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641CE3">
      <w:pPr>
        <w:ind w:firstLine="480"/>
        <w:rPr>
          <w:rFonts w:ascii="Times New Roman" w:hAnsi="Times New Roman" w:cs="Times New Roman"/>
          <w:szCs w:val="28"/>
        </w:rPr>
      </w:pPr>
      <w:bookmarkStart w:id="93" w:name="_GoBack"/>
      <w:bookmarkEnd w:id="93"/>
    </w:p>
    <w:p w14:paraId="5816C865">
      <w:pPr>
        <w:ind w:firstLine="480"/>
        <w:rPr>
          <w:rFonts w:ascii="Times New Roman" w:hAnsi="Times New Roman" w:cs="Times New Roman"/>
        </w:rPr>
      </w:pPr>
    </w:p>
    <w:p w14:paraId="1DB50FA0">
      <w:pPr>
        <w:ind w:firstLine="480"/>
        <w:rPr>
          <w:rFonts w:ascii="Times New Roman" w:hAnsi="Times New Roman" w:cs="Times New Roman"/>
        </w:rPr>
      </w:pPr>
    </w:p>
    <w:p w14:paraId="46253AD3">
      <w:pPr>
        <w:ind w:firstLine="480"/>
        <w:rPr>
          <w:rFonts w:ascii="Times New Roman" w:hAnsi="Times New Roman" w:cs="Times New Roman"/>
        </w:rPr>
      </w:pPr>
    </w:p>
    <w:p w14:paraId="380B2F46">
      <w:pPr>
        <w:jc w:val="center"/>
        <w:rPr>
          <w:rFonts w:ascii="Times New Roman" w:hAnsi="Times New Roman" w:cs="Times New Roman"/>
          <w:b/>
          <w:bCs/>
          <w:sz w:val="52"/>
          <w:szCs w:val="52"/>
        </w:rPr>
      </w:pPr>
      <w:bookmarkStart w:id="0" w:name="_Hlk101431002"/>
      <w:r>
        <w:rPr>
          <w:rFonts w:ascii="Times New Roman" w:hAnsi="Times New Roman" w:cs="Times New Roman"/>
          <w:b/>
          <w:bCs/>
          <w:sz w:val="52"/>
          <w:szCs w:val="52"/>
        </w:rPr>
        <w:t>广东东粤化学科技有限公司</w:t>
      </w:r>
      <w:bookmarkEnd w:id="0"/>
    </w:p>
    <w:p w14:paraId="24B63D6D">
      <w:pPr>
        <w:jc w:val="center"/>
        <w:rPr>
          <w:rFonts w:ascii="Times New Roman" w:hAnsi="Times New Roman" w:cs="Times New Roman"/>
          <w:b/>
          <w:bCs/>
          <w:sz w:val="52"/>
          <w:szCs w:val="52"/>
        </w:rPr>
      </w:pPr>
      <w:r>
        <w:rPr>
          <w:rFonts w:ascii="Times New Roman" w:hAnsi="Times New Roman" w:cs="Times New Roman"/>
          <w:b/>
          <w:bCs/>
          <w:sz w:val="52"/>
          <w:szCs w:val="52"/>
        </w:rPr>
        <w:t>土壤</w:t>
      </w:r>
      <w:r>
        <w:rPr>
          <w:rFonts w:hint="eastAsia" w:ascii="Times New Roman" w:hAnsi="Times New Roman" w:cs="Times New Roman"/>
          <w:b/>
          <w:bCs/>
          <w:sz w:val="52"/>
          <w:szCs w:val="52"/>
        </w:rPr>
        <w:t>污染隐患排查报告</w:t>
      </w:r>
    </w:p>
    <w:p w14:paraId="4FA2D593">
      <w:pPr>
        <w:jc w:val="center"/>
        <w:rPr>
          <w:rFonts w:ascii="Times New Roman" w:hAnsi="Times New Roman" w:cs="Times New Roman"/>
          <w:b/>
          <w:bCs/>
          <w:sz w:val="52"/>
          <w:szCs w:val="52"/>
        </w:rPr>
      </w:pPr>
    </w:p>
    <w:p w14:paraId="34E855B9">
      <w:pPr>
        <w:jc w:val="center"/>
        <w:rPr>
          <w:rFonts w:ascii="Times New Roman" w:hAnsi="Times New Roman" w:cs="Times New Roman"/>
          <w:b/>
          <w:bCs/>
          <w:sz w:val="52"/>
          <w:szCs w:val="52"/>
        </w:rPr>
      </w:pPr>
    </w:p>
    <w:p w14:paraId="502D7492">
      <w:pPr>
        <w:jc w:val="center"/>
        <w:rPr>
          <w:rFonts w:ascii="Times New Roman" w:hAnsi="Times New Roman" w:cs="Times New Roman"/>
          <w:b/>
          <w:bCs/>
          <w:sz w:val="52"/>
          <w:szCs w:val="52"/>
        </w:rPr>
      </w:pPr>
    </w:p>
    <w:p w14:paraId="7ADDE11F">
      <w:pPr>
        <w:jc w:val="center"/>
        <w:rPr>
          <w:rFonts w:ascii="Times New Roman" w:hAnsi="Times New Roman" w:cs="Times New Roman"/>
          <w:b/>
          <w:bCs/>
          <w:sz w:val="52"/>
          <w:szCs w:val="52"/>
        </w:rPr>
      </w:pPr>
    </w:p>
    <w:p w14:paraId="2D126B88">
      <w:pPr>
        <w:jc w:val="center"/>
        <w:rPr>
          <w:rFonts w:ascii="Times New Roman" w:hAnsi="Times New Roman" w:cs="Times New Roman"/>
          <w:b/>
          <w:bCs/>
          <w:sz w:val="52"/>
          <w:szCs w:val="52"/>
        </w:rPr>
      </w:pPr>
    </w:p>
    <w:p w14:paraId="7EE326C3">
      <w:pPr>
        <w:jc w:val="center"/>
        <w:rPr>
          <w:rFonts w:ascii="Times New Roman" w:hAnsi="Times New Roman" w:cs="Times New Roman"/>
          <w:b/>
          <w:bCs/>
          <w:sz w:val="52"/>
          <w:szCs w:val="52"/>
        </w:rPr>
      </w:pPr>
    </w:p>
    <w:p w14:paraId="36B41141">
      <w:pPr>
        <w:jc w:val="center"/>
        <w:rPr>
          <w:rFonts w:ascii="Times New Roman" w:hAnsi="Times New Roman" w:cs="Times New Roman"/>
          <w:b/>
          <w:bCs/>
          <w:sz w:val="52"/>
          <w:szCs w:val="52"/>
        </w:rPr>
      </w:pPr>
    </w:p>
    <w:p w14:paraId="75D9FF22">
      <w:pPr>
        <w:jc w:val="center"/>
        <w:rPr>
          <w:rFonts w:ascii="Times New Roman" w:hAnsi="Times New Roman" w:cs="Times New Roman"/>
          <w:b/>
          <w:bCs/>
          <w:sz w:val="52"/>
          <w:szCs w:val="52"/>
        </w:rPr>
      </w:pPr>
    </w:p>
    <w:p w14:paraId="48BE4032">
      <w:pPr>
        <w:jc w:val="center"/>
        <w:rPr>
          <w:rFonts w:ascii="Times New Roman" w:hAnsi="Times New Roman" w:cs="Times New Roman"/>
          <w:b/>
          <w:bCs/>
          <w:sz w:val="52"/>
          <w:szCs w:val="52"/>
        </w:rPr>
      </w:pPr>
    </w:p>
    <w:p w14:paraId="768EA315">
      <w:pPr>
        <w:jc w:val="center"/>
        <w:rPr>
          <w:rFonts w:ascii="Times New Roman" w:hAnsi="Times New Roman" w:cs="Times New Roman"/>
          <w:b/>
          <w:bCs/>
          <w:sz w:val="52"/>
          <w:szCs w:val="52"/>
        </w:rPr>
      </w:pPr>
    </w:p>
    <w:p w14:paraId="2E58885B">
      <w:pPr>
        <w:jc w:val="center"/>
        <w:rPr>
          <w:rFonts w:ascii="Times New Roman" w:hAnsi="Times New Roman" w:cs="Times New Roman"/>
          <w:b/>
          <w:bCs/>
          <w:sz w:val="52"/>
          <w:szCs w:val="52"/>
        </w:rPr>
      </w:pPr>
    </w:p>
    <w:p w14:paraId="3506C414">
      <w:pPr>
        <w:jc w:val="center"/>
        <w:rPr>
          <w:rFonts w:ascii="Times New Roman" w:hAnsi="Times New Roman" w:cs="Times New Roman"/>
          <w:b/>
          <w:bCs/>
          <w:sz w:val="52"/>
          <w:szCs w:val="52"/>
        </w:rPr>
      </w:pPr>
    </w:p>
    <w:p w14:paraId="5F9D0875">
      <w:pPr>
        <w:rPr>
          <w:rFonts w:ascii="Times New Roman" w:hAnsi="Times New Roman" w:cs="Times New Roman"/>
          <w:b/>
          <w:bCs/>
          <w:sz w:val="52"/>
          <w:szCs w:val="52"/>
        </w:rPr>
      </w:pPr>
    </w:p>
    <w:p w14:paraId="6EA70D95">
      <w:pPr>
        <w:jc w:val="center"/>
        <w:rPr>
          <w:rFonts w:ascii="Times New Roman" w:hAnsi="Times New Roman" w:cs="Times New Roman"/>
          <w:b/>
          <w:bCs/>
          <w:sz w:val="28"/>
          <w:szCs w:val="28"/>
        </w:rPr>
      </w:pPr>
      <w:r>
        <w:rPr>
          <w:rFonts w:ascii="Times New Roman" w:hAnsi="Times New Roman" w:cs="Times New Roman"/>
          <w:b/>
          <w:bCs/>
          <w:sz w:val="28"/>
          <w:szCs w:val="28"/>
        </w:rPr>
        <w:t>编制单位：广东东粤化学科技有限公司</w:t>
      </w:r>
    </w:p>
    <w:p w14:paraId="2B41288F">
      <w:pPr>
        <w:jc w:val="center"/>
        <w:rPr>
          <w:rFonts w:ascii="Times New Roman" w:hAnsi="Times New Roman" w:cs="Times New Roman"/>
          <w:b/>
          <w:bCs/>
          <w:sz w:val="28"/>
          <w:szCs w:val="28"/>
        </w:rPr>
        <w:sectPr>
          <w:footerReference r:id="rId3" w:type="default"/>
          <w:pgSz w:w="11906" w:h="16838"/>
          <w:pgMar w:top="1440" w:right="1800" w:bottom="1440" w:left="1800" w:header="851" w:footer="992" w:gutter="0"/>
          <w:cols w:space="425" w:num="1"/>
          <w:docGrid w:type="lines" w:linePitch="312" w:charSpace="0"/>
        </w:sectPr>
      </w:pPr>
      <w:r>
        <w:rPr>
          <w:rFonts w:ascii="Times New Roman" w:hAnsi="Times New Roman" w:cs="Times New Roman"/>
          <w:b/>
          <w:bCs/>
          <w:sz w:val="28"/>
          <w:szCs w:val="28"/>
        </w:rPr>
        <w:t>2025年10月</w:t>
      </w:r>
    </w:p>
    <w:p w14:paraId="7DBDB602">
      <w:pPr>
        <w:jc w:val="center"/>
        <w:rPr>
          <w:rFonts w:ascii="Times New Roman" w:hAnsi="Times New Roman" w:cs="Times New Roman"/>
          <w:b/>
          <w:bCs/>
          <w:sz w:val="32"/>
          <w:szCs w:val="32"/>
        </w:rPr>
      </w:pPr>
      <w:r>
        <w:rPr>
          <w:rFonts w:ascii="Times New Roman" w:hAnsi="Times New Roman" w:cs="Times New Roman"/>
          <w:b/>
          <w:bCs/>
          <w:sz w:val="32"/>
          <w:szCs w:val="32"/>
        </w:rPr>
        <w:t>承  诺  书</w:t>
      </w:r>
    </w:p>
    <w:p w14:paraId="71FC768A">
      <w:pPr>
        <w:spacing w:line="360" w:lineRule="auto"/>
        <w:jc w:val="center"/>
        <w:rPr>
          <w:rFonts w:ascii="Times New Roman" w:hAnsi="Times New Roman" w:cs="Times New Roman"/>
        </w:rPr>
      </w:pPr>
    </w:p>
    <w:p w14:paraId="7D5C8A3C">
      <w:pPr>
        <w:spacing w:line="360" w:lineRule="auto"/>
        <w:jc w:val="center"/>
        <w:rPr>
          <w:rFonts w:ascii="Times New Roman" w:hAnsi="Times New Roman" w:cs="Times New Roman"/>
        </w:rPr>
      </w:pPr>
    </w:p>
    <w:p w14:paraId="4427486F">
      <w:pPr>
        <w:spacing w:line="360" w:lineRule="auto"/>
        <w:ind w:firstLine="560" w:firstLineChars="200"/>
        <w:rPr>
          <w:rFonts w:ascii="Segoe UI" w:hAnsi="Segoe UI" w:cs="Segoe UI"/>
          <w:sz w:val="28"/>
          <w:szCs w:val="28"/>
          <w:shd w:val="clear" w:color="auto" w:fill="FFFFFF"/>
        </w:rPr>
      </w:pPr>
      <w:r>
        <w:rPr>
          <w:rFonts w:ascii="Segoe UI" w:hAnsi="Segoe UI" w:cs="Segoe UI"/>
          <w:sz w:val="28"/>
          <w:szCs w:val="28"/>
          <w:shd w:val="clear" w:color="auto" w:fill="FFFFFF"/>
        </w:rPr>
        <w:t>根据重点监管单位土壤污染隐患排查指南（试行）特对本文件作如下承诺</w:t>
      </w:r>
      <w:r>
        <w:rPr>
          <w:rFonts w:hint="eastAsia" w:ascii="Segoe UI" w:hAnsi="Segoe UI" w:cs="Segoe UI"/>
          <w:sz w:val="28"/>
          <w:szCs w:val="28"/>
          <w:shd w:val="clear" w:color="auto" w:fill="FFFFFF"/>
        </w:rPr>
        <w:t>：</w:t>
      </w:r>
    </w:p>
    <w:p w14:paraId="21C2EDDE">
      <w:pPr>
        <w:spacing w:line="360" w:lineRule="auto"/>
        <w:ind w:firstLine="560" w:firstLineChars="200"/>
        <w:rPr>
          <w:rFonts w:ascii="Times New Roman" w:hAnsi="Times New Roman" w:cs="Times New Roman"/>
          <w:sz w:val="28"/>
          <w:szCs w:val="28"/>
        </w:rPr>
      </w:pPr>
      <w:r>
        <w:rPr>
          <w:rFonts w:ascii="Segoe UI" w:hAnsi="Segoe UI" w:cs="Segoe UI"/>
          <w:sz w:val="28"/>
          <w:szCs w:val="28"/>
          <w:shd w:val="clear" w:color="auto" w:fill="FFFFFF"/>
        </w:rPr>
        <w:t>我们承诺对提交报告的真实性和完整性负责，对排查的结果公正、客观性负责；如违反上述事项，在编制隐患排查报告的工作中不负责任或弄虚作假等致使文件失实，我们将承担由此引起的一切责任。</w:t>
      </w:r>
    </w:p>
    <w:p w14:paraId="3A4ADED0">
      <w:pPr>
        <w:spacing w:line="360" w:lineRule="auto"/>
        <w:rPr>
          <w:rFonts w:ascii="Times New Roman" w:hAnsi="Times New Roman" w:cs="Times New Roman"/>
        </w:rPr>
      </w:pPr>
    </w:p>
    <w:p w14:paraId="72499071">
      <w:pPr>
        <w:spacing w:line="360" w:lineRule="auto"/>
        <w:rPr>
          <w:rFonts w:ascii="Times New Roman" w:hAnsi="Times New Roman" w:cs="Times New Roman"/>
        </w:rPr>
      </w:pPr>
    </w:p>
    <w:p w14:paraId="3ADFFDDC">
      <w:pPr>
        <w:spacing w:line="360" w:lineRule="auto"/>
        <w:rPr>
          <w:rFonts w:ascii="Times New Roman" w:hAnsi="Times New Roman" w:cs="Times New Roman"/>
        </w:rPr>
      </w:pPr>
    </w:p>
    <w:p w14:paraId="6552B298">
      <w:pPr>
        <w:spacing w:line="360" w:lineRule="auto"/>
        <w:rPr>
          <w:rFonts w:ascii="Times New Roman" w:hAnsi="Times New Roman" w:cs="Times New Roman"/>
          <w:sz w:val="28"/>
          <w:szCs w:val="28"/>
        </w:rPr>
      </w:pPr>
    </w:p>
    <w:p w14:paraId="309A53AD">
      <w:pPr>
        <w:spacing w:line="360" w:lineRule="auto"/>
        <w:jc w:val="right"/>
        <w:rPr>
          <w:rFonts w:ascii="Times New Roman" w:hAnsi="Times New Roman" w:cs="Times New Roman"/>
          <w:sz w:val="28"/>
          <w:szCs w:val="28"/>
        </w:rPr>
      </w:pPr>
      <w:r>
        <w:rPr>
          <w:rFonts w:ascii="Times New Roman" w:hAnsi="Times New Roman" w:cs="Times New Roman"/>
          <w:sz w:val="28"/>
          <w:szCs w:val="28"/>
        </w:rPr>
        <w:t>广东东粤化学科技有限公司</w:t>
      </w:r>
    </w:p>
    <w:p w14:paraId="2B88E140">
      <w:pPr>
        <w:wordWrap w:val="0"/>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年      月      日</w:t>
      </w:r>
    </w:p>
    <w:p w14:paraId="3D362014">
      <w:pPr>
        <w:spacing w:line="360" w:lineRule="auto"/>
        <w:rPr>
          <w:rFonts w:ascii="Times New Roman" w:hAnsi="Times New Roman" w:cs="Times New Roman"/>
          <w:sz w:val="28"/>
          <w:szCs w:val="28"/>
        </w:rPr>
      </w:pPr>
    </w:p>
    <w:p w14:paraId="60797236">
      <w:pPr>
        <w:jc w:val="center"/>
        <w:rPr>
          <w:rFonts w:ascii="Times New Roman" w:hAnsi="Times New Roman" w:cs="Times New Roman"/>
          <w:sz w:val="28"/>
          <w:szCs w:val="28"/>
        </w:rPr>
      </w:pPr>
    </w:p>
    <w:p w14:paraId="2E1F5E61">
      <w:pPr>
        <w:jc w:val="center"/>
        <w:rPr>
          <w:rFonts w:ascii="Times New Roman" w:hAnsi="Times New Roman" w:cs="Times New Roman"/>
          <w:sz w:val="28"/>
          <w:szCs w:val="28"/>
        </w:rPr>
        <w:sectPr>
          <w:footerReference r:id="rId4" w:type="default"/>
          <w:pgSz w:w="11906" w:h="16838"/>
          <w:pgMar w:top="1440" w:right="1800" w:bottom="1440" w:left="1800" w:header="851" w:footer="992" w:gutter="0"/>
          <w:pgNumType w:start="1"/>
          <w:cols w:space="425" w:num="1"/>
          <w:docGrid w:type="lines" w:linePitch="312" w:charSpace="0"/>
        </w:sectPr>
      </w:pPr>
    </w:p>
    <w:p w14:paraId="1617A306">
      <w:pPr>
        <w:pStyle w:val="28"/>
        <w:widowControl w:val="0"/>
        <w:tabs>
          <w:tab w:val="right" w:leader="dot" w:pos="8296"/>
        </w:tabs>
        <w:spacing w:after="0" w:line="400" w:lineRule="exact"/>
        <w:jc w:val="center"/>
        <w:rPr>
          <w:rStyle w:val="49"/>
          <w:color w:val="auto"/>
        </w:rPr>
      </w:pPr>
      <w:r>
        <w:rPr>
          <w:rStyle w:val="49"/>
          <w:iCs w:val="0"/>
          <w:caps w:val="0"/>
          <w:color w:val="auto"/>
          <w:sz w:val="32"/>
          <w:szCs w:val="32"/>
        </w:rPr>
        <w:t>目   录</w:t>
      </w:r>
    </w:p>
    <w:p w14:paraId="0FEC47F4">
      <w:pPr>
        <w:pStyle w:val="28"/>
        <w:tabs>
          <w:tab w:val="left" w:pos="480"/>
          <w:tab w:val="right" w:leader="dot" w:pos="8296"/>
        </w:tabs>
        <w:rPr>
          <w:rStyle w:val="49"/>
        </w:rPr>
      </w:pPr>
      <w:r>
        <w:rPr>
          <w:rStyle w:val="49"/>
        </w:rPr>
        <w:fldChar w:fldCharType="begin"/>
      </w:r>
      <w:r>
        <w:rPr>
          <w:rStyle w:val="49"/>
        </w:rPr>
        <w:instrText xml:space="preserve"> </w:instrText>
      </w:r>
      <w:r>
        <w:rPr>
          <w:rStyle w:val="49"/>
          <w:rFonts w:hint="eastAsia"/>
        </w:rPr>
        <w:instrText xml:space="preserve">TOC \o "1-2" \u</w:instrText>
      </w:r>
      <w:r>
        <w:rPr>
          <w:rStyle w:val="49"/>
        </w:rPr>
        <w:instrText xml:space="preserve"> </w:instrText>
      </w:r>
      <w:r>
        <w:rPr>
          <w:rStyle w:val="49"/>
        </w:rPr>
        <w:fldChar w:fldCharType="separate"/>
      </w:r>
      <w:r>
        <w:rPr>
          <w:rStyle w:val="49"/>
        </w:rPr>
        <w:t>1</w:t>
      </w:r>
      <w:r>
        <w:rPr>
          <w:rStyle w:val="49"/>
        </w:rPr>
        <w:tab/>
      </w:r>
      <w:r>
        <w:rPr>
          <w:rStyle w:val="49"/>
        </w:rPr>
        <w:t>总论</w:t>
      </w:r>
      <w:r>
        <w:rPr>
          <w:rStyle w:val="49"/>
        </w:rPr>
        <w:tab/>
      </w:r>
      <w:r>
        <w:rPr>
          <w:rStyle w:val="49"/>
        </w:rPr>
        <w:fldChar w:fldCharType="begin"/>
      </w:r>
      <w:r>
        <w:rPr>
          <w:rStyle w:val="49"/>
        </w:rPr>
        <w:instrText xml:space="preserve"> PAGEREF _Toc210915258 \h </w:instrText>
      </w:r>
      <w:r>
        <w:rPr>
          <w:rStyle w:val="49"/>
        </w:rPr>
        <w:fldChar w:fldCharType="separate"/>
      </w:r>
      <w:r>
        <w:rPr>
          <w:rStyle w:val="49"/>
        </w:rPr>
        <w:t>2</w:t>
      </w:r>
      <w:r>
        <w:rPr>
          <w:rStyle w:val="49"/>
        </w:rPr>
        <w:fldChar w:fldCharType="end"/>
      </w:r>
    </w:p>
    <w:p w14:paraId="76910D51">
      <w:pPr>
        <w:pStyle w:val="33"/>
        <w:tabs>
          <w:tab w:val="left" w:pos="960"/>
          <w:tab w:val="right" w:leader="dot" w:pos="8296"/>
        </w:tabs>
        <w:rPr>
          <w:rStyle w:val="49"/>
        </w:rPr>
      </w:pPr>
      <w:r>
        <w:rPr>
          <w:rStyle w:val="49"/>
        </w:rPr>
        <w:t>1.1</w:t>
      </w:r>
      <w:r>
        <w:rPr>
          <w:rStyle w:val="49"/>
        </w:rPr>
        <w:tab/>
      </w:r>
      <w:r>
        <w:rPr>
          <w:rStyle w:val="49"/>
        </w:rPr>
        <w:t>编制背景</w:t>
      </w:r>
      <w:r>
        <w:rPr>
          <w:rStyle w:val="49"/>
        </w:rPr>
        <w:tab/>
      </w:r>
      <w:r>
        <w:rPr>
          <w:rStyle w:val="49"/>
        </w:rPr>
        <w:fldChar w:fldCharType="begin"/>
      </w:r>
      <w:r>
        <w:rPr>
          <w:rStyle w:val="49"/>
        </w:rPr>
        <w:instrText xml:space="preserve"> PAGEREF _Toc210915259 \h </w:instrText>
      </w:r>
      <w:r>
        <w:rPr>
          <w:rStyle w:val="49"/>
        </w:rPr>
        <w:fldChar w:fldCharType="separate"/>
      </w:r>
      <w:r>
        <w:rPr>
          <w:rStyle w:val="49"/>
        </w:rPr>
        <w:t>2</w:t>
      </w:r>
      <w:r>
        <w:rPr>
          <w:rStyle w:val="49"/>
        </w:rPr>
        <w:fldChar w:fldCharType="end"/>
      </w:r>
    </w:p>
    <w:p w14:paraId="35B8C6AD">
      <w:pPr>
        <w:pStyle w:val="33"/>
        <w:tabs>
          <w:tab w:val="left" w:pos="960"/>
          <w:tab w:val="right" w:leader="dot" w:pos="8296"/>
        </w:tabs>
        <w:rPr>
          <w:rStyle w:val="49"/>
        </w:rPr>
      </w:pPr>
      <w:r>
        <w:rPr>
          <w:rStyle w:val="49"/>
        </w:rPr>
        <w:t>1.2</w:t>
      </w:r>
      <w:r>
        <w:rPr>
          <w:rStyle w:val="49"/>
        </w:rPr>
        <w:tab/>
      </w:r>
      <w:r>
        <w:rPr>
          <w:rStyle w:val="49"/>
        </w:rPr>
        <w:t>排查目的和原则</w:t>
      </w:r>
      <w:r>
        <w:rPr>
          <w:rStyle w:val="49"/>
        </w:rPr>
        <w:tab/>
      </w:r>
      <w:r>
        <w:rPr>
          <w:rStyle w:val="49"/>
        </w:rPr>
        <w:fldChar w:fldCharType="begin"/>
      </w:r>
      <w:r>
        <w:rPr>
          <w:rStyle w:val="49"/>
        </w:rPr>
        <w:instrText xml:space="preserve"> PAGEREF _Toc210915260 \h </w:instrText>
      </w:r>
      <w:r>
        <w:rPr>
          <w:rStyle w:val="49"/>
        </w:rPr>
        <w:fldChar w:fldCharType="separate"/>
      </w:r>
      <w:r>
        <w:rPr>
          <w:rStyle w:val="49"/>
        </w:rPr>
        <w:t>2</w:t>
      </w:r>
      <w:r>
        <w:rPr>
          <w:rStyle w:val="49"/>
        </w:rPr>
        <w:fldChar w:fldCharType="end"/>
      </w:r>
    </w:p>
    <w:p w14:paraId="0CAAA435">
      <w:pPr>
        <w:pStyle w:val="33"/>
        <w:tabs>
          <w:tab w:val="left" w:pos="960"/>
          <w:tab w:val="right" w:leader="dot" w:pos="8296"/>
        </w:tabs>
        <w:rPr>
          <w:rStyle w:val="49"/>
        </w:rPr>
      </w:pPr>
      <w:r>
        <w:rPr>
          <w:rStyle w:val="49"/>
        </w:rPr>
        <w:t>1.3</w:t>
      </w:r>
      <w:r>
        <w:rPr>
          <w:rStyle w:val="49"/>
        </w:rPr>
        <w:tab/>
      </w:r>
      <w:r>
        <w:rPr>
          <w:rStyle w:val="49"/>
        </w:rPr>
        <w:t>排查范围</w:t>
      </w:r>
      <w:r>
        <w:rPr>
          <w:rStyle w:val="49"/>
        </w:rPr>
        <w:tab/>
      </w:r>
      <w:r>
        <w:rPr>
          <w:rStyle w:val="49"/>
        </w:rPr>
        <w:fldChar w:fldCharType="begin"/>
      </w:r>
      <w:r>
        <w:rPr>
          <w:rStyle w:val="49"/>
        </w:rPr>
        <w:instrText xml:space="preserve"> PAGEREF _Toc210915261 \h </w:instrText>
      </w:r>
      <w:r>
        <w:rPr>
          <w:rStyle w:val="49"/>
        </w:rPr>
        <w:fldChar w:fldCharType="separate"/>
      </w:r>
      <w:r>
        <w:rPr>
          <w:rStyle w:val="49"/>
        </w:rPr>
        <w:t>3</w:t>
      </w:r>
      <w:r>
        <w:rPr>
          <w:rStyle w:val="49"/>
        </w:rPr>
        <w:fldChar w:fldCharType="end"/>
      </w:r>
    </w:p>
    <w:p w14:paraId="096A3211">
      <w:pPr>
        <w:pStyle w:val="33"/>
        <w:tabs>
          <w:tab w:val="left" w:pos="960"/>
          <w:tab w:val="right" w:leader="dot" w:pos="8296"/>
        </w:tabs>
        <w:rPr>
          <w:rStyle w:val="49"/>
        </w:rPr>
      </w:pPr>
      <w:r>
        <w:rPr>
          <w:rStyle w:val="49"/>
        </w:rPr>
        <w:t>1.4</w:t>
      </w:r>
      <w:r>
        <w:rPr>
          <w:rStyle w:val="49"/>
        </w:rPr>
        <w:tab/>
      </w:r>
      <w:r>
        <w:rPr>
          <w:rStyle w:val="49"/>
        </w:rPr>
        <w:t>编制依据</w:t>
      </w:r>
      <w:r>
        <w:rPr>
          <w:rStyle w:val="49"/>
        </w:rPr>
        <w:tab/>
      </w:r>
      <w:r>
        <w:rPr>
          <w:rStyle w:val="49"/>
        </w:rPr>
        <w:fldChar w:fldCharType="begin"/>
      </w:r>
      <w:r>
        <w:rPr>
          <w:rStyle w:val="49"/>
        </w:rPr>
        <w:instrText xml:space="preserve"> PAGEREF _Toc210915262 \h </w:instrText>
      </w:r>
      <w:r>
        <w:rPr>
          <w:rStyle w:val="49"/>
        </w:rPr>
        <w:fldChar w:fldCharType="separate"/>
      </w:r>
      <w:r>
        <w:rPr>
          <w:rStyle w:val="49"/>
        </w:rPr>
        <w:t>4</w:t>
      </w:r>
      <w:r>
        <w:rPr>
          <w:rStyle w:val="49"/>
        </w:rPr>
        <w:fldChar w:fldCharType="end"/>
      </w:r>
    </w:p>
    <w:p w14:paraId="4A0F5B1D">
      <w:pPr>
        <w:pStyle w:val="28"/>
        <w:tabs>
          <w:tab w:val="left" w:pos="480"/>
          <w:tab w:val="right" w:leader="dot" w:pos="8296"/>
        </w:tabs>
        <w:rPr>
          <w:rStyle w:val="49"/>
        </w:rPr>
      </w:pPr>
      <w:r>
        <w:rPr>
          <w:rStyle w:val="49"/>
        </w:rPr>
        <w:t>2</w:t>
      </w:r>
      <w:r>
        <w:rPr>
          <w:rStyle w:val="49"/>
        </w:rPr>
        <w:tab/>
      </w:r>
      <w:r>
        <w:rPr>
          <w:rStyle w:val="49"/>
        </w:rPr>
        <w:t>企业概况</w:t>
      </w:r>
      <w:r>
        <w:rPr>
          <w:rStyle w:val="49"/>
        </w:rPr>
        <w:tab/>
      </w:r>
      <w:r>
        <w:rPr>
          <w:rStyle w:val="49"/>
        </w:rPr>
        <w:fldChar w:fldCharType="begin"/>
      </w:r>
      <w:r>
        <w:rPr>
          <w:rStyle w:val="49"/>
        </w:rPr>
        <w:instrText xml:space="preserve"> PAGEREF _Toc210915263 \h </w:instrText>
      </w:r>
      <w:r>
        <w:rPr>
          <w:rStyle w:val="49"/>
        </w:rPr>
        <w:fldChar w:fldCharType="separate"/>
      </w:r>
      <w:r>
        <w:rPr>
          <w:rStyle w:val="49"/>
        </w:rPr>
        <w:t>6</w:t>
      </w:r>
      <w:r>
        <w:rPr>
          <w:rStyle w:val="49"/>
        </w:rPr>
        <w:fldChar w:fldCharType="end"/>
      </w:r>
    </w:p>
    <w:p w14:paraId="4A27566E">
      <w:pPr>
        <w:pStyle w:val="33"/>
        <w:tabs>
          <w:tab w:val="left" w:pos="960"/>
          <w:tab w:val="right" w:leader="dot" w:pos="8296"/>
        </w:tabs>
        <w:rPr>
          <w:rStyle w:val="49"/>
        </w:rPr>
      </w:pPr>
      <w:r>
        <w:rPr>
          <w:rStyle w:val="49"/>
        </w:rPr>
        <w:t>2.1</w:t>
      </w:r>
      <w:r>
        <w:rPr>
          <w:rStyle w:val="49"/>
        </w:rPr>
        <w:tab/>
      </w:r>
      <w:r>
        <w:rPr>
          <w:rStyle w:val="49"/>
        </w:rPr>
        <w:t>企业基础信息</w:t>
      </w:r>
      <w:r>
        <w:rPr>
          <w:rStyle w:val="49"/>
        </w:rPr>
        <w:tab/>
      </w:r>
      <w:r>
        <w:rPr>
          <w:rStyle w:val="49"/>
        </w:rPr>
        <w:fldChar w:fldCharType="begin"/>
      </w:r>
      <w:r>
        <w:rPr>
          <w:rStyle w:val="49"/>
        </w:rPr>
        <w:instrText xml:space="preserve"> PAGEREF _Toc210915264 \h </w:instrText>
      </w:r>
      <w:r>
        <w:rPr>
          <w:rStyle w:val="49"/>
        </w:rPr>
        <w:fldChar w:fldCharType="separate"/>
      </w:r>
      <w:r>
        <w:rPr>
          <w:rStyle w:val="49"/>
        </w:rPr>
        <w:t>6</w:t>
      </w:r>
      <w:r>
        <w:rPr>
          <w:rStyle w:val="49"/>
        </w:rPr>
        <w:fldChar w:fldCharType="end"/>
      </w:r>
    </w:p>
    <w:p w14:paraId="622B8D34">
      <w:pPr>
        <w:pStyle w:val="33"/>
        <w:tabs>
          <w:tab w:val="left" w:pos="960"/>
          <w:tab w:val="right" w:leader="dot" w:pos="8296"/>
        </w:tabs>
        <w:rPr>
          <w:rStyle w:val="49"/>
        </w:rPr>
      </w:pPr>
      <w:r>
        <w:rPr>
          <w:rStyle w:val="49"/>
        </w:rPr>
        <w:t>2.2</w:t>
      </w:r>
      <w:r>
        <w:rPr>
          <w:rStyle w:val="49"/>
        </w:rPr>
        <w:tab/>
      </w:r>
      <w:r>
        <w:rPr>
          <w:rStyle w:val="49"/>
        </w:rPr>
        <w:t>建设项目概况</w:t>
      </w:r>
      <w:r>
        <w:rPr>
          <w:rStyle w:val="49"/>
        </w:rPr>
        <w:tab/>
      </w:r>
      <w:r>
        <w:rPr>
          <w:rStyle w:val="49"/>
        </w:rPr>
        <w:fldChar w:fldCharType="begin"/>
      </w:r>
      <w:r>
        <w:rPr>
          <w:rStyle w:val="49"/>
        </w:rPr>
        <w:instrText xml:space="preserve"> PAGEREF _Toc210915265 \h </w:instrText>
      </w:r>
      <w:r>
        <w:rPr>
          <w:rStyle w:val="49"/>
        </w:rPr>
        <w:fldChar w:fldCharType="separate"/>
      </w:r>
      <w:r>
        <w:rPr>
          <w:rStyle w:val="49"/>
        </w:rPr>
        <w:t>6</w:t>
      </w:r>
      <w:r>
        <w:rPr>
          <w:rStyle w:val="49"/>
        </w:rPr>
        <w:fldChar w:fldCharType="end"/>
      </w:r>
    </w:p>
    <w:p w14:paraId="3BD4FC87">
      <w:pPr>
        <w:pStyle w:val="33"/>
        <w:tabs>
          <w:tab w:val="left" w:pos="960"/>
          <w:tab w:val="right" w:leader="dot" w:pos="8296"/>
        </w:tabs>
        <w:rPr>
          <w:rStyle w:val="49"/>
        </w:rPr>
      </w:pPr>
      <w:r>
        <w:rPr>
          <w:rStyle w:val="49"/>
        </w:rPr>
        <w:t>2.3</w:t>
      </w:r>
      <w:r>
        <w:rPr>
          <w:rStyle w:val="49"/>
        </w:rPr>
        <w:tab/>
      </w:r>
      <w:r>
        <w:rPr>
          <w:rStyle w:val="49"/>
        </w:rPr>
        <w:t>原辅料及产品情况</w:t>
      </w:r>
      <w:r>
        <w:rPr>
          <w:rStyle w:val="49"/>
        </w:rPr>
        <w:tab/>
      </w:r>
      <w:r>
        <w:rPr>
          <w:rStyle w:val="49"/>
        </w:rPr>
        <w:fldChar w:fldCharType="begin"/>
      </w:r>
      <w:r>
        <w:rPr>
          <w:rStyle w:val="49"/>
        </w:rPr>
        <w:instrText xml:space="preserve"> PAGEREF _Toc210915266 \h </w:instrText>
      </w:r>
      <w:r>
        <w:rPr>
          <w:rStyle w:val="49"/>
        </w:rPr>
        <w:fldChar w:fldCharType="separate"/>
      </w:r>
      <w:r>
        <w:rPr>
          <w:rStyle w:val="49"/>
        </w:rPr>
        <w:t>7</w:t>
      </w:r>
      <w:r>
        <w:rPr>
          <w:rStyle w:val="49"/>
        </w:rPr>
        <w:fldChar w:fldCharType="end"/>
      </w:r>
    </w:p>
    <w:p w14:paraId="74E88B73">
      <w:pPr>
        <w:pStyle w:val="33"/>
        <w:tabs>
          <w:tab w:val="left" w:pos="960"/>
          <w:tab w:val="right" w:leader="dot" w:pos="8296"/>
        </w:tabs>
        <w:rPr>
          <w:rStyle w:val="49"/>
        </w:rPr>
      </w:pPr>
      <w:r>
        <w:rPr>
          <w:rStyle w:val="49"/>
        </w:rPr>
        <w:t>2.4</w:t>
      </w:r>
      <w:r>
        <w:rPr>
          <w:rStyle w:val="49"/>
        </w:rPr>
        <w:tab/>
      </w:r>
      <w:r>
        <w:rPr>
          <w:rStyle w:val="49"/>
        </w:rPr>
        <w:t>生产工艺及产排污环节</w:t>
      </w:r>
      <w:r>
        <w:rPr>
          <w:rStyle w:val="49"/>
        </w:rPr>
        <w:tab/>
      </w:r>
      <w:r>
        <w:rPr>
          <w:rStyle w:val="49"/>
        </w:rPr>
        <w:fldChar w:fldCharType="begin"/>
      </w:r>
      <w:r>
        <w:rPr>
          <w:rStyle w:val="49"/>
        </w:rPr>
        <w:instrText xml:space="preserve"> PAGEREF _Toc210915267 \h </w:instrText>
      </w:r>
      <w:r>
        <w:rPr>
          <w:rStyle w:val="49"/>
        </w:rPr>
        <w:fldChar w:fldCharType="separate"/>
      </w:r>
      <w:r>
        <w:rPr>
          <w:rStyle w:val="49"/>
        </w:rPr>
        <w:t>8</w:t>
      </w:r>
      <w:r>
        <w:rPr>
          <w:rStyle w:val="49"/>
        </w:rPr>
        <w:fldChar w:fldCharType="end"/>
      </w:r>
    </w:p>
    <w:p w14:paraId="183AB4C3">
      <w:pPr>
        <w:pStyle w:val="33"/>
        <w:tabs>
          <w:tab w:val="left" w:pos="960"/>
          <w:tab w:val="right" w:leader="dot" w:pos="8296"/>
        </w:tabs>
        <w:rPr>
          <w:rStyle w:val="49"/>
        </w:rPr>
      </w:pPr>
      <w:r>
        <w:rPr>
          <w:rStyle w:val="49"/>
        </w:rPr>
        <w:t>2.5</w:t>
      </w:r>
      <w:r>
        <w:rPr>
          <w:rStyle w:val="49"/>
        </w:rPr>
        <w:tab/>
      </w:r>
      <w:r>
        <w:rPr>
          <w:rStyle w:val="49"/>
        </w:rPr>
        <w:t>涉及的有毒有害物质</w:t>
      </w:r>
      <w:r>
        <w:rPr>
          <w:rStyle w:val="49"/>
        </w:rPr>
        <w:tab/>
      </w:r>
      <w:r>
        <w:rPr>
          <w:rStyle w:val="49"/>
        </w:rPr>
        <w:fldChar w:fldCharType="begin"/>
      </w:r>
      <w:r>
        <w:rPr>
          <w:rStyle w:val="49"/>
        </w:rPr>
        <w:instrText xml:space="preserve"> PAGEREF _Toc210915268 \h </w:instrText>
      </w:r>
      <w:r>
        <w:rPr>
          <w:rStyle w:val="49"/>
        </w:rPr>
        <w:fldChar w:fldCharType="separate"/>
      </w:r>
      <w:r>
        <w:rPr>
          <w:rStyle w:val="49"/>
        </w:rPr>
        <w:t>22</w:t>
      </w:r>
      <w:r>
        <w:rPr>
          <w:rStyle w:val="49"/>
        </w:rPr>
        <w:fldChar w:fldCharType="end"/>
      </w:r>
    </w:p>
    <w:p w14:paraId="1F356B98">
      <w:pPr>
        <w:pStyle w:val="33"/>
        <w:tabs>
          <w:tab w:val="left" w:pos="960"/>
          <w:tab w:val="right" w:leader="dot" w:pos="8296"/>
        </w:tabs>
        <w:rPr>
          <w:rStyle w:val="49"/>
        </w:rPr>
      </w:pPr>
      <w:r>
        <w:rPr>
          <w:rStyle w:val="49"/>
        </w:rPr>
        <w:t>2.6</w:t>
      </w:r>
      <w:r>
        <w:rPr>
          <w:rStyle w:val="49"/>
        </w:rPr>
        <w:tab/>
      </w:r>
      <w:r>
        <w:rPr>
          <w:rStyle w:val="49"/>
        </w:rPr>
        <w:t>污染防治措施</w:t>
      </w:r>
      <w:r>
        <w:rPr>
          <w:rStyle w:val="49"/>
        </w:rPr>
        <w:tab/>
      </w:r>
      <w:r>
        <w:rPr>
          <w:rStyle w:val="49"/>
        </w:rPr>
        <w:fldChar w:fldCharType="begin"/>
      </w:r>
      <w:r>
        <w:rPr>
          <w:rStyle w:val="49"/>
        </w:rPr>
        <w:instrText xml:space="preserve"> PAGEREF _Toc210915269 \h </w:instrText>
      </w:r>
      <w:r>
        <w:rPr>
          <w:rStyle w:val="49"/>
        </w:rPr>
        <w:fldChar w:fldCharType="separate"/>
      </w:r>
      <w:r>
        <w:rPr>
          <w:rStyle w:val="49"/>
        </w:rPr>
        <w:t>53</w:t>
      </w:r>
      <w:r>
        <w:rPr>
          <w:rStyle w:val="49"/>
        </w:rPr>
        <w:fldChar w:fldCharType="end"/>
      </w:r>
    </w:p>
    <w:p w14:paraId="5F6D5605">
      <w:pPr>
        <w:pStyle w:val="33"/>
        <w:tabs>
          <w:tab w:val="left" w:pos="960"/>
          <w:tab w:val="right" w:leader="dot" w:pos="8296"/>
        </w:tabs>
        <w:rPr>
          <w:rStyle w:val="49"/>
        </w:rPr>
      </w:pPr>
      <w:r>
        <w:rPr>
          <w:rStyle w:val="49"/>
        </w:rPr>
        <w:t>2.7</w:t>
      </w:r>
      <w:r>
        <w:rPr>
          <w:rStyle w:val="49"/>
        </w:rPr>
        <w:tab/>
      </w:r>
      <w:r>
        <w:rPr>
          <w:rStyle w:val="49"/>
        </w:rPr>
        <w:t>历史土壤和地下水环境监测信息</w:t>
      </w:r>
      <w:r>
        <w:rPr>
          <w:rStyle w:val="49"/>
        </w:rPr>
        <w:tab/>
      </w:r>
      <w:r>
        <w:rPr>
          <w:rStyle w:val="49"/>
        </w:rPr>
        <w:fldChar w:fldCharType="begin"/>
      </w:r>
      <w:r>
        <w:rPr>
          <w:rStyle w:val="49"/>
        </w:rPr>
        <w:instrText xml:space="preserve"> PAGEREF _Toc210915270 \h </w:instrText>
      </w:r>
      <w:r>
        <w:rPr>
          <w:rStyle w:val="49"/>
        </w:rPr>
        <w:fldChar w:fldCharType="separate"/>
      </w:r>
      <w:r>
        <w:rPr>
          <w:rStyle w:val="49"/>
        </w:rPr>
        <w:t>55</w:t>
      </w:r>
      <w:r>
        <w:rPr>
          <w:rStyle w:val="49"/>
        </w:rPr>
        <w:fldChar w:fldCharType="end"/>
      </w:r>
    </w:p>
    <w:p w14:paraId="0089F9AD">
      <w:pPr>
        <w:pStyle w:val="28"/>
        <w:tabs>
          <w:tab w:val="left" w:pos="480"/>
          <w:tab w:val="right" w:leader="dot" w:pos="8296"/>
        </w:tabs>
        <w:rPr>
          <w:rStyle w:val="49"/>
        </w:rPr>
      </w:pPr>
      <w:r>
        <w:rPr>
          <w:rStyle w:val="49"/>
        </w:rPr>
        <w:t>3</w:t>
      </w:r>
      <w:r>
        <w:rPr>
          <w:rStyle w:val="49"/>
        </w:rPr>
        <w:tab/>
      </w:r>
      <w:r>
        <w:rPr>
          <w:rStyle w:val="49"/>
        </w:rPr>
        <w:t>排查方法</w:t>
      </w:r>
      <w:r>
        <w:rPr>
          <w:rStyle w:val="49"/>
        </w:rPr>
        <w:tab/>
      </w:r>
      <w:r>
        <w:rPr>
          <w:rStyle w:val="49"/>
        </w:rPr>
        <w:fldChar w:fldCharType="begin"/>
      </w:r>
      <w:r>
        <w:rPr>
          <w:rStyle w:val="49"/>
        </w:rPr>
        <w:instrText xml:space="preserve"> PAGEREF _Toc210915271 \h </w:instrText>
      </w:r>
      <w:r>
        <w:rPr>
          <w:rStyle w:val="49"/>
        </w:rPr>
        <w:fldChar w:fldCharType="separate"/>
      </w:r>
      <w:r>
        <w:rPr>
          <w:rStyle w:val="49"/>
        </w:rPr>
        <w:t>81</w:t>
      </w:r>
      <w:r>
        <w:rPr>
          <w:rStyle w:val="49"/>
        </w:rPr>
        <w:fldChar w:fldCharType="end"/>
      </w:r>
    </w:p>
    <w:p w14:paraId="483C1EFD">
      <w:pPr>
        <w:pStyle w:val="33"/>
        <w:tabs>
          <w:tab w:val="left" w:pos="960"/>
          <w:tab w:val="right" w:leader="dot" w:pos="8296"/>
        </w:tabs>
        <w:rPr>
          <w:rStyle w:val="49"/>
        </w:rPr>
      </w:pPr>
      <w:r>
        <w:rPr>
          <w:rStyle w:val="49"/>
        </w:rPr>
        <w:t>3.1</w:t>
      </w:r>
      <w:r>
        <w:rPr>
          <w:rStyle w:val="49"/>
        </w:rPr>
        <w:tab/>
      </w:r>
      <w:r>
        <w:rPr>
          <w:rStyle w:val="49"/>
        </w:rPr>
        <w:t>资料收集</w:t>
      </w:r>
      <w:r>
        <w:rPr>
          <w:rStyle w:val="49"/>
        </w:rPr>
        <w:tab/>
      </w:r>
      <w:r>
        <w:rPr>
          <w:rStyle w:val="49"/>
        </w:rPr>
        <w:fldChar w:fldCharType="begin"/>
      </w:r>
      <w:r>
        <w:rPr>
          <w:rStyle w:val="49"/>
        </w:rPr>
        <w:instrText xml:space="preserve"> PAGEREF _Toc210915272 \h </w:instrText>
      </w:r>
      <w:r>
        <w:rPr>
          <w:rStyle w:val="49"/>
        </w:rPr>
        <w:fldChar w:fldCharType="separate"/>
      </w:r>
      <w:r>
        <w:rPr>
          <w:rStyle w:val="49"/>
        </w:rPr>
        <w:t>81</w:t>
      </w:r>
      <w:r>
        <w:rPr>
          <w:rStyle w:val="49"/>
        </w:rPr>
        <w:fldChar w:fldCharType="end"/>
      </w:r>
    </w:p>
    <w:p w14:paraId="457DB224">
      <w:pPr>
        <w:pStyle w:val="33"/>
        <w:tabs>
          <w:tab w:val="left" w:pos="960"/>
          <w:tab w:val="right" w:leader="dot" w:pos="8296"/>
        </w:tabs>
        <w:rPr>
          <w:rStyle w:val="49"/>
        </w:rPr>
      </w:pPr>
      <w:r>
        <w:rPr>
          <w:rStyle w:val="49"/>
        </w:rPr>
        <w:t>3.2</w:t>
      </w:r>
      <w:r>
        <w:rPr>
          <w:rStyle w:val="49"/>
        </w:rPr>
        <w:tab/>
      </w:r>
      <w:r>
        <w:rPr>
          <w:rStyle w:val="49"/>
        </w:rPr>
        <w:t>人员访谈</w:t>
      </w:r>
      <w:r>
        <w:rPr>
          <w:rStyle w:val="49"/>
        </w:rPr>
        <w:tab/>
      </w:r>
      <w:r>
        <w:rPr>
          <w:rStyle w:val="49"/>
        </w:rPr>
        <w:fldChar w:fldCharType="begin"/>
      </w:r>
      <w:r>
        <w:rPr>
          <w:rStyle w:val="49"/>
        </w:rPr>
        <w:instrText xml:space="preserve"> PAGEREF _Toc210915273 \h </w:instrText>
      </w:r>
      <w:r>
        <w:rPr>
          <w:rStyle w:val="49"/>
        </w:rPr>
        <w:fldChar w:fldCharType="separate"/>
      </w:r>
      <w:r>
        <w:rPr>
          <w:rStyle w:val="49"/>
        </w:rPr>
        <w:t>82</w:t>
      </w:r>
      <w:r>
        <w:rPr>
          <w:rStyle w:val="49"/>
        </w:rPr>
        <w:fldChar w:fldCharType="end"/>
      </w:r>
    </w:p>
    <w:p w14:paraId="0227F968">
      <w:pPr>
        <w:pStyle w:val="33"/>
        <w:tabs>
          <w:tab w:val="left" w:pos="960"/>
          <w:tab w:val="right" w:leader="dot" w:pos="8296"/>
        </w:tabs>
        <w:rPr>
          <w:rStyle w:val="49"/>
        </w:rPr>
      </w:pPr>
      <w:r>
        <w:rPr>
          <w:rStyle w:val="49"/>
        </w:rPr>
        <w:t>3.3</w:t>
      </w:r>
      <w:r>
        <w:rPr>
          <w:rStyle w:val="49"/>
        </w:rPr>
        <w:tab/>
      </w:r>
      <w:r>
        <w:rPr>
          <w:rStyle w:val="49"/>
        </w:rPr>
        <w:t>重点设施设备</w:t>
      </w:r>
      <w:r>
        <w:rPr>
          <w:rStyle w:val="49"/>
        </w:rPr>
        <w:tab/>
      </w:r>
      <w:r>
        <w:rPr>
          <w:rStyle w:val="49"/>
        </w:rPr>
        <w:fldChar w:fldCharType="begin"/>
      </w:r>
      <w:r>
        <w:rPr>
          <w:rStyle w:val="49"/>
        </w:rPr>
        <w:instrText xml:space="preserve"> PAGEREF _Toc210915274 \h </w:instrText>
      </w:r>
      <w:r>
        <w:rPr>
          <w:rStyle w:val="49"/>
        </w:rPr>
        <w:fldChar w:fldCharType="separate"/>
      </w:r>
      <w:r>
        <w:rPr>
          <w:rStyle w:val="49"/>
        </w:rPr>
        <w:t>83</w:t>
      </w:r>
      <w:r>
        <w:rPr>
          <w:rStyle w:val="49"/>
        </w:rPr>
        <w:fldChar w:fldCharType="end"/>
      </w:r>
    </w:p>
    <w:p w14:paraId="5297B497">
      <w:pPr>
        <w:pStyle w:val="33"/>
        <w:tabs>
          <w:tab w:val="left" w:pos="960"/>
          <w:tab w:val="right" w:leader="dot" w:pos="8296"/>
        </w:tabs>
        <w:rPr>
          <w:rStyle w:val="49"/>
        </w:rPr>
      </w:pPr>
      <w:r>
        <w:rPr>
          <w:rStyle w:val="49"/>
        </w:rPr>
        <w:t>3.4</w:t>
      </w:r>
      <w:r>
        <w:rPr>
          <w:rStyle w:val="49"/>
        </w:rPr>
        <w:tab/>
      </w:r>
      <w:r>
        <w:rPr>
          <w:rStyle w:val="49"/>
        </w:rPr>
        <w:t>现场排查方法</w:t>
      </w:r>
      <w:r>
        <w:rPr>
          <w:rStyle w:val="49"/>
        </w:rPr>
        <w:tab/>
      </w:r>
      <w:r>
        <w:rPr>
          <w:rStyle w:val="49"/>
        </w:rPr>
        <w:fldChar w:fldCharType="begin"/>
      </w:r>
      <w:r>
        <w:rPr>
          <w:rStyle w:val="49"/>
        </w:rPr>
        <w:instrText xml:space="preserve"> PAGEREF _Toc210915275 \h </w:instrText>
      </w:r>
      <w:r>
        <w:rPr>
          <w:rStyle w:val="49"/>
        </w:rPr>
        <w:fldChar w:fldCharType="separate"/>
      </w:r>
      <w:r>
        <w:rPr>
          <w:rStyle w:val="49"/>
        </w:rPr>
        <w:t>87</w:t>
      </w:r>
      <w:r>
        <w:rPr>
          <w:rStyle w:val="49"/>
        </w:rPr>
        <w:fldChar w:fldCharType="end"/>
      </w:r>
    </w:p>
    <w:p w14:paraId="20F7EC56">
      <w:pPr>
        <w:pStyle w:val="28"/>
        <w:tabs>
          <w:tab w:val="left" w:pos="480"/>
          <w:tab w:val="right" w:leader="dot" w:pos="8296"/>
        </w:tabs>
        <w:rPr>
          <w:rStyle w:val="49"/>
        </w:rPr>
      </w:pPr>
      <w:r>
        <w:rPr>
          <w:rStyle w:val="49"/>
        </w:rPr>
        <w:t>4</w:t>
      </w:r>
      <w:r>
        <w:rPr>
          <w:rStyle w:val="49"/>
        </w:rPr>
        <w:tab/>
      </w:r>
      <w:r>
        <w:rPr>
          <w:rStyle w:val="49"/>
        </w:rPr>
        <w:t>土壤污染隐患排查</w:t>
      </w:r>
      <w:r>
        <w:rPr>
          <w:rStyle w:val="49"/>
        </w:rPr>
        <w:tab/>
      </w:r>
      <w:r>
        <w:rPr>
          <w:rStyle w:val="49"/>
        </w:rPr>
        <w:fldChar w:fldCharType="begin"/>
      </w:r>
      <w:r>
        <w:rPr>
          <w:rStyle w:val="49"/>
        </w:rPr>
        <w:instrText xml:space="preserve"> PAGEREF _Toc210915276 \h </w:instrText>
      </w:r>
      <w:r>
        <w:rPr>
          <w:rStyle w:val="49"/>
        </w:rPr>
        <w:fldChar w:fldCharType="separate"/>
      </w:r>
      <w:r>
        <w:rPr>
          <w:rStyle w:val="49"/>
        </w:rPr>
        <w:t>88</w:t>
      </w:r>
      <w:r>
        <w:rPr>
          <w:rStyle w:val="49"/>
        </w:rPr>
        <w:fldChar w:fldCharType="end"/>
      </w:r>
    </w:p>
    <w:p w14:paraId="623263CD">
      <w:pPr>
        <w:pStyle w:val="33"/>
        <w:tabs>
          <w:tab w:val="left" w:pos="960"/>
          <w:tab w:val="right" w:leader="dot" w:pos="8296"/>
        </w:tabs>
        <w:rPr>
          <w:rStyle w:val="49"/>
        </w:rPr>
      </w:pPr>
      <w:r>
        <w:rPr>
          <w:rStyle w:val="49"/>
        </w:rPr>
        <w:t>4.1</w:t>
      </w:r>
      <w:r>
        <w:rPr>
          <w:rStyle w:val="49"/>
        </w:rPr>
        <w:tab/>
      </w:r>
      <w:r>
        <w:rPr>
          <w:rStyle w:val="49"/>
        </w:rPr>
        <w:t>重点场所、重点设施设备隐患排查</w:t>
      </w:r>
      <w:r>
        <w:rPr>
          <w:rStyle w:val="49"/>
        </w:rPr>
        <w:tab/>
      </w:r>
      <w:r>
        <w:rPr>
          <w:rStyle w:val="49"/>
        </w:rPr>
        <w:fldChar w:fldCharType="begin"/>
      </w:r>
      <w:r>
        <w:rPr>
          <w:rStyle w:val="49"/>
        </w:rPr>
        <w:instrText xml:space="preserve"> PAGEREF _Toc210915277 \h </w:instrText>
      </w:r>
      <w:r>
        <w:rPr>
          <w:rStyle w:val="49"/>
        </w:rPr>
        <w:fldChar w:fldCharType="separate"/>
      </w:r>
      <w:r>
        <w:rPr>
          <w:rStyle w:val="49"/>
        </w:rPr>
        <w:t>88</w:t>
      </w:r>
      <w:r>
        <w:rPr>
          <w:rStyle w:val="49"/>
        </w:rPr>
        <w:fldChar w:fldCharType="end"/>
      </w:r>
    </w:p>
    <w:p w14:paraId="422B9108">
      <w:pPr>
        <w:pStyle w:val="33"/>
        <w:tabs>
          <w:tab w:val="left" w:pos="960"/>
          <w:tab w:val="right" w:leader="dot" w:pos="8296"/>
        </w:tabs>
        <w:rPr>
          <w:rStyle w:val="49"/>
        </w:rPr>
      </w:pPr>
      <w:r>
        <w:rPr>
          <w:rStyle w:val="49"/>
        </w:rPr>
        <w:t>4.2</w:t>
      </w:r>
      <w:r>
        <w:rPr>
          <w:rStyle w:val="49"/>
        </w:rPr>
        <w:tab/>
      </w:r>
      <w:r>
        <w:rPr>
          <w:rStyle w:val="49"/>
        </w:rPr>
        <w:t>隐患排查台账</w:t>
      </w:r>
      <w:r>
        <w:rPr>
          <w:rStyle w:val="49"/>
        </w:rPr>
        <w:tab/>
      </w:r>
      <w:r>
        <w:rPr>
          <w:rStyle w:val="49"/>
        </w:rPr>
        <w:fldChar w:fldCharType="begin"/>
      </w:r>
      <w:r>
        <w:rPr>
          <w:rStyle w:val="49"/>
        </w:rPr>
        <w:instrText xml:space="preserve"> PAGEREF _Toc210915278 \h </w:instrText>
      </w:r>
      <w:r>
        <w:rPr>
          <w:rStyle w:val="49"/>
        </w:rPr>
        <w:fldChar w:fldCharType="separate"/>
      </w:r>
      <w:r>
        <w:rPr>
          <w:rStyle w:val="49"/>
        </w:rPr>
        <w:t>108</w:t>
      </w:r>
      <w:r>
        <w:rPr>
          <w:rStyle w:val="49"/>
        </w:rPr>
        <w:fldChar w:fldCharType="end"/>
      </w:r>
    </w:p>
    <w:p w14:paraId="1C67A66B">
      <w:pPr>
        <w:pStyle w:val="28"/>
        <w:tabs>
          <w:tab w:val="left" w:pos="480"/>
          <w:tab w:val="right" w:leader="dot" w:pos="8296"/>
        </w:tabs>
        <w:rPr>
          <w:rStyle w:val="49"/>
        </w:rPr>
      </w:pPr>
      <w:r>
        <w:rPr>
          <w:rStyle w:val="49"/>
        </w:rPr>
        <w:t>5</w:t>
      </w:r>
      <w:r>
        <w:rPr>
          <w:rStyle w:val="49"/>
        </w:rPr>
        <w:tab/>
      </w:r>
      <w:r>
        <w:rPr>
          <w:rStyle w:val="49"/>
        </w:rPr>
        <w:t>结论与建议</w:t>
      </w:r>
      <w:r>
        <w:rPr>
          <w:rStyle w:val="49"/>
        </w:rPr>
        <w:tab/>
      </w:r>
      <w:r>
        <w:rPr>
          <w:rStyle w:val="49"/>
        </w:rPr>
        <w:fldChar w:fldCharType="begin"/>
      </w:r>
      <w:r>
        <w:rPr>
          <w:rStyle w:val="49"/>
        </w:rPr>
        <w:instrText xml:space="preserve"> PAGEREF _Toc210915279 \h </w:instrText>
      </w:r>
      <w:r>
        <w:rPr>
          <w:rStyle w:val="49"/>
        </w:rPr>
        <w:fldChar w:fldCharType="separate"/>
      </w:r>
      <w:r>
        <w:rPr>
          <w:rStyle w:val="49"/>
        </w:rPr>
        <w:t>110</w:t>
      </w:r>
      <w:r>
        <w:rPr>
          <w:rStyle w:val="49"/>
        </w:rPr>
        <w:fldChar w:fldCharType="end"/>
      </w:r>
    </w:p>
    <w:p w14:paraId="4F68076D">
      <w:pPr>
        <w:pStyle w:val="33"/>
        <w:tabs>
          <w:tab w:val="left" w:pos="960"/>
          <w:tab w:val="right" w:leader="dot" w:pos="8296"/>
        </w:tabs>
        <w:rPr>
          <w:rStyle w:val="49"/>
        </w:rPr>
      </w:pPr>
      <w:r>
        <w:rPr>
          <w:rStyle w:val="49"/>
        </w:rPr>
        <w:t>5.1</w:t>
      </w:r>
      <w:r>
        <w:rPr>
          <w:rStyle w:val="49"/>
        </w:rPr>
        <w:tab/>
      </w:r>
      <w:r>
        <w:rPr>
          <w:rStyle w:val="49"/>
        </w:rPr>
        <w:t>隐患排查结论</w:t>
      </w:r>
      <w:r>
        <w:rPr>
          <w:rStyle w:val="49"/>
        </w:rPr>
        <w:tab/>
      </w:r>
      <w:r>
        <w:rPr>
          <w:rStyle w:val="49"/>
        </w:rPr>
        <w:fldChar w:fldCharType="begin"/>
      </w:r>
      <w:r>
        <w:rPr>
          <w:rStyle w:val="49"/>
        </w:rPr>
        <w:instrText xml:space="preserve"> PAGEREF _Toc210915280 \h </w:instrText>
      </w:r>
      <w:r>
        <w:rPr>
          <w:rStyle w:val="49"/>
        </w:rPr>
        <w:fldChar w:fldCharType="separate"/>
      </w:r>
      <w:r>
        <w:rPr>
          <w:rStyle w:val="49"/>
        </w:rPr>
        <w:t>110</w:t>
      </w:r>
      <w:r>
        <w:rPr>
          <w:rStyle w:val="49"/>
        </w:rPr>
        <w:fldChar w:fldCharType="end"/>
      </w:r>
    </w:p>
    <w:p w14:paraId="64F1AF0C">
      <w:pPr>
        <w:pStyle w:val="33"/>
        <w:tabs>
          <w:tab w:val="left" w:pos="960"/>
          <w:tab w:val="right" w:leader="dot" w:pos="8296"/>
        </w:tabs>
        <w:rPr>
          <w:rStyle w:val="49"/>
        </w:rPr>
      </w:pPr>
      <w:r>
        <w:rPr>
          <w:rStyle w:val="49"/>
        </w:rPr>
        <w:t>5.2</w:t>
      </w:r>
      <w:r>
        <w:rPr>
          <w:rStyle w:val="49"/>
        </w:rPr>
        <w:tab/>
      </w:r>
      <w:r>
        <w:rPr>
          <w:rStyle w:val="49"/>
        </w:rPr>
        <w:t>隐患整改方案或建议</w:t>
      </w:r>
      <w:r>
        <w:rPr>
          <w:rStyle w:val="49"/>
        </w:rPr>
        <w:tab/>
      </w:r>
      <w:r>
        <w:rPr>
          <w:rStyle w:val="49"/>
        </w:rPr>
        <w:fldChar w:fldCharType="begin"/>
      </w:r>
      <w:r>
        <w:rPr>
          <w:rStyle w:val="49"/>
        </w:rPr>
        <w:instrText xml:space="preserve"> PAGEREF _Toc210915281 \h </w:instrText>
      </w:r>
      <w:r>
        <w:rPr>
          <w:rStyle w:val="49"/>
        </w:rPr>
        <w:fldChar w:fldCharType="separate"/>
      </w:r>
      <w:r>
        <w:rPr>
          <w:rStyle w:val="49"/>
        </w:rPr>
        <w:t>110</w:t>
      </w:r>
      <w:r>
        <w:rPr>
          <w:rStyle w:val="49"/>
        </w:rPr>
        <w:fldChar w:fldCharType="end"/>
      </w:r>
    </w:p>
    <w:p w14:paraId="26D54005">
      <w:pPr>
        <w:pStyle w:val="33"/>
        <w:tabs>
          <w:tab w:val="left" w:pos="960"/>
          <w:tab w:val="right" w:leader="dot" w:pos="8296"/>
        </w:tabs>
        <w:rPr>
          <w:rStyle w:val="49"/>
        </w:rPr>
      </w:pPr>
      <w:r>
        <w:rPr>
          <w:rStyle w:val="49"/>
        </w:rPr>
        <w:t>5.3</w:t>
      </w:r>
      <w:r>
        <w:rPr>
          <w:rStyle w:val="49"/>
        </w:rPr>
        <w:tab/>
      </w:r>
      <w:r>
        <w:rPr>
          <w:rStyle w:val="49"/>
        </w:rPr>
        <w:t>对土壤和地下水自行监测工作建议</w:t>
      </w:r>
      <w:r>
        <w:rPr>
          <w:rStyle w:val="49"/>
        </w:rPr>
        <w:tab/>
      </w:r>
      <w:r>
        <w:rPr>
          <w:rStyle w:val="49"/>
        </w:rPr>
        <w:fldChar w:fldCharType="begin"/>
      </w:r>
      <w:r>
        <w:rPr>
          <w:rStyle w:val="49"/>
        </w:rPr>
        <w:instrText xml:space="preserve"> PAGEREF _Toc210915282 \h </w:instrText>
      </w:r>
      <w:r>
        <w:rPr>
          <w:rStyle w:val="49"/>
        </w:rPr>
        <w:fldChar w:fldCharType="separate"/>
      </w:r>
      <w:r>
        <w:rPr>
          <w:rStyle w:val="49"/>
        </w:rPr>
        <w:t>110</w:t>
      </w:r>
      <w:r>
        <w:rPr>
          <w:rStyle w:val="49"/>
        </w:rPr>
        <w:fldChar w:fldCharType="end"/>
      </w:r>
    </w:p>
    <w:p w14:paraId="5E05BF6E">
      <w:pPr>
        <w:pStyle w:val="28"/>
        <w:tabs>
          <w:tab w:val="right" w:leader="dot" w:pos="8296"/>
        </w:tabs>
        <w:rPr>
          <w:rStyle w:val="49"/>
        </w:rPr>
      </w:pPr>
      <w:r>
        <w:rPr>
          <w:rStyle w:val="49"/>
        </w:rPr>
        <w:t>附图1 项目地理位置</w:t>
      </w:r>
      <w:r>
        <w:rPr>
          <w:rStyle w:val="49"/>
        </w:rPr>
        <w:tab/>
      </w:r>
      <w:r>
        <w:rPr>
          <w:rStyle w:val="49"/>
        </w:rPr>
        <w:fldChar w:fldCharType="begin"/>
      </w:r>
      <w:r>
        <w:rPr>
          <w:rStyle w:val="49"/>
        </w:rPr>
        <w:instrText xml:space="preserve"> PAGEREF _Toc210915283 \h </w:instrText>
      </w:r>
      <w:r>
        <w:rPr>
          <w:rStyle w:val="49"/>
        </w:rPr>
        <w:fldChar w:fldCharType="separate"/>
      </w:r>
      <w:r>
        <w:rPr>
          <w:rStyle w:val="49"/>
        </w:rPr>
        <w:t>111</w:t>
      </w:r>
      <w:r>
        <w:rPr>
          <w:rStyle w:val="49"/>
        </w:rPr>
        <w:fldChar w:fldCharType="end"/>
      </w:r>
    </w:p>
    <w:p w14:paraId="1D8DC0F8">
      <w:pPr>
        <w:pStyle w:val="28"/>
        <w:tabs>
          <w:tab w:val="right" w:leader="dot" w:pos="8296"/>
        </w:tabs>
        <w:rPr>
          <w:rStyle w:val="49"/>
        </w:rPr>
      </w:pPr>
      <w:r>
        <w:rPr>
          <w:rStyle w:val="49"/>
        </w:rPr>
        <w:t>附图2 公司标识牌示意图</w:t>
      </w:r>
      <w:r>
        <w:rPr>
          <w:rStyle w:val="49"/>
        </w:rPr>
        <w:tab/>
      </w:r>
      <w:r>
        <w:rPr>
          <w:rStyle w:val="49"/>
        </w:rPr>
        <w:fldChar w:fldCharType="begin"/>
      </w:r>
      <w:r>
        <w:rPr>
          <w:rStyle w:val="49"/>
        </w:rPr>
        <w:instrText xml:space="preserve"> PAGEREF _Toc210915284 \h </w:instrText>
      </w:r>
      <w:r>
        <w:rPr>
          <w:rStyle w:val="49"/>
        </w:rPr>
        <w:fldChar w:fldCharType="separate"/>
      </w:r>
      <w:r>
        <w:rPr>
          <w:rStyle w:val="49"/>
        </w:rPr>
        <w:t>112</w:t>
      </w:r>
      <w:r>
        <w:rPr>
          <w:rStyle w:val="49"/>
        </w:rPr>
        <w:fldChar w:fldCharType="end"/>
      </w:r>
    </w:p>
    <w:p w14:paraId="6230B40C">
      <w:pPr>
        <w:pStyle w:val="28"/>
        <w:tabs>
          <w:tab w:val="right" w:leader="dot" w:pos="8296"/>
        </w:tabs>
        <w:rPr>
          <w:rStyle w:val="49"/>
        </w:rPr>
      </w:pPr>
      <w:r>
        <w:rPr>
          <w:rStyle w:val="49"/>
        </w:rPr>
        <w:t>附图3 公司安全制度文件清单截图</w:t>
      </w:r>
      <w:r>
        <w:rPr>
          <w:rStyle w:val="49"/>
        </w:rPr>
        <w:tab/>
      </w:r>
      <w:r>
        <w:rPr>
          <w:rStyle w:val="49"/>
        </w:rPr>
        <w:fldChar w:fldCharType="begin"/>
      </w:r>
      <w:r>
        <w:rPr>
          <w:rStyle w:val="49"/>
        </w:rPr>
        <w:instrText xml:space="preserve"> PAGEREF _Toc210915285 \h </w:instrText>
      </w:r>
      <w:r>
        <w:rPr>
          <w:rStyle w:val="49"/>
        </w:rPr>
        <w:fldChar w:fldCharType="separate"/>
      </w:r>
      <w:r>
        <w:rPr>
          <w:rStyle w:val="49"/>
        </w:rPr>
        <w:t>113</w:t>
      </w:r>
      <w:r>
        <w:rPr>
          <w:rStyle w:val="49"/>
        </w:rPr>
        <w:fldChar w:fldCharType="end"/>
      </w:r>
    </w:p>
    <w:p w14:paraId="017814EB">
      <w:pPr>
        <w:pStyle w:val="28"/>
        <w:tabs>
          <w:tab w:val="right" w:leader="dot" w:pos="8296"/>
        </w:tabs>
        <w:rPr>
          <w:rStyle w:val="49"/>
        </w:rPr>
      </w:pPr>
      <w:r>
        <w:rPr>
          <w:rStyle w:val="49"/>
        </w:rPr>
        <w:t>附件1 人员访谈表</w:t>
      </w:r>
      <w:r>
        <w:rPr>
          <w:rStyle w:val="49"/>
        </w:rPr>
        <w:tab/>
      </w:r>
      <w:r>
        <w:rPr>
          <w:rStyle w:val="49"/>
        </w:rPr>
        <w:fldChar w:fldCharType="begin"/>
      </w:r>
      <w:r>
        <w:rPr>
          <w:rStyle w:val="49"/>
        </w:rPr>
        <w:instrText xml:space="preserve"> PAGEREF _Toc210915286 \h </w:instrText>
      </w:r>
      <w:r>
        <w:rPr>
          <w:rStyle w:val="49"/>
        </w:rPr>
        <w:fldChar w:fldCharType="separate"/>
      </w:r>
      <w:r>
        <w:rPr>
          <w:rStyle w:val="49"/>
        </w:rPr>
        <w:t>114</w:t>
      </w:r>
      <w:r>
        <w:rPr>
          <w:rStyle w:val="49"/>
        </w:rPr>
        <w:fldChar w:fldCharType="end"/>
      </w:r>
    </w:p>
    <w:p w14:paraId="76C725B4">
      <w:pPr>
        <w:pStyle w:val="28"/>
        <w:tabs>
          <w:tab w:val="right" w:leader="dot" w:pos="8296"/>
        </w:tabs>
        <w:rPr>
          <w:rStyle w:val="49"/>
        </w:rPr>
      </w:pPr>
      <w:r>
        <w:rPr>
          <w:rStyle w:val="49"/>
        </w:rPr>
        <w:t>附件2 评审会议签到表</w:t>
      </w:r>
      <w:r>
        <w:rPr>
          <w:rStyle w:val="49"/>
        </w:rPr>
        <w:tab/>
      </w:r>
      <w:r>
        <w:rPr>
          <w:rStyle w:val="49"/>
        </w:rPr>
        <w:fldChar w:fldCharType="begin"/>
      </w:r>
      <w:r>
        <w:rPr>
          <w:rStyle w:val="49"/>
        </w:rPr>
        <w:instrText xml:space="preserve"> PAGEREF _Toc210915287 \h </w:instrText>
      </w:r>
      <w:r>
        <w:rPr>
          <w:rStyle w:val="49"/>
        </w:rPr>
        <w:fldChar w:fldCharType="separate"/>
      </w:r>
      <w:r>
        <w:rPr>
          <w:rStyle w:val="49"/>
        </w:rPr>
        <w:t>120</w:t>
      </w:r>
      <w:r>
        <w:rPr>
          <w:rStyle w:val="49"/>
        </w:rPr>
        <w:fldChar w:fldCharType="end"/>
      </w:r>
    </w:p>
    <w:p w14:paraId="50FE5C48">
      <w:pPr>
        <w:pStyle w:val="28"/>
        <w:tabs>
          <w:tab w:val="right" w:leader="dot" w:pos="8296"/>
        </w:tabs>
        <w:rPr>
          <w:rStyle w:val="49"/>
        </w:rPr>
      </w:pPr>
      <w:r>
        <w:rPr>
          <w:rStyle w:val="49"/>
        </w:rPr>
        <w:t>附件3 专家评审意见</w:t>
      </w:r>
      <w:r>
        <w:rPr>
          <w:rStyle w:val="49"/>
        </w:rPr>
        <w:tab/>
      </w:r>
      <w:r>
        <w:rPr>
          <w:rStyle w:val="49"/>
        </w:rPr>
        <w:fldChar w:fldCharType="begin"/>
      </w:r>
      <w:r>
        <w:rPr>
          <w:rStyle w:val="49"/>
        </w:rPr>
        <w:instrText xml:space="preserve"> PAGEREF _Toc210915288 \h </w:instrText>
      </w:r>
      <w:r>
        <w:rPr>
          <w:rStyle w:val="49"/>
        </w:rPr>
        <w:fldChar w:fldCharType="separate"/>
      </w:r>
      <w:r>
        <w:rPr>
          <w:rStyle w:val="49"/>
          <w:rFonts w:hint="eastAsia"/>
          <w:b w:val="0"/>
          <w:bCs w:val="0"/>
        </w:rPr>
        <w:t>错误!未定义书签。</w:t>
      </w:r>
      <w:r>
        <w:rPr>
          <w:rStyle w:val="49"/>
        </w:rPr>
        <w:fldChar w:fldCharType="end"/>
      </w:r>
    </w:p>
    <w:p w14:paraId="49271F21">
      <w:pPr>
        <w:pStyle w:val="28"/>
        <w:tabs>
          <w:tab w:val="right" w:leader="dot" w:pos="8296"/>
        </w:tabs>
        <w:rPr>
          <w:rStyle w:val="49"/>
        </w:rPr>
      </w:pPr>
      <w:r>
        <w:rPr>
          <w:rStyle w:val="49"/>
        </w:rPr>
        <w:t>附件4 修改说明</w:t>
      </w:r>
      <w:r>
        <w:rPr>
          <w:rStyle w:val="49"/>
        </w:rPr>
        <w:tab/>
      </w:r>
      <w:r>
        <w:rPr>
          <w:rStyle w:val="49"/>
        </w:rPr>
        <w:fldChar w:fldCharType="begin"/>
      </w:r>
      <w:r>
        <w:rPr>
          <w:rStyle w:val="49"/>
        </w:rPr>
        <w:instrText xml:space="preserve"> PAGEREF _Toc210915289 \h </w:instrText>
      </w:r>
      <w:r>
        <w:rPr>
          <w:rStyle w:val="49"/>
        </w:rPr>
        <w:fldChar w:fldCharType="separate"/>
      </w:r>
      <w:r>
        <w:rPr>
          <w:rStyle w:val="49"/>
          <w:rFonts w:hint="eastAsia"/>
          <w:b w:val="0"/>
          <w:bCs w:val="0"/>
        </w:rPr>
        <w:t>错误!未定义书签。</w:t>
      </w:r>
      <w:r>
        <w:rPr>
          <w:rStyle w:val="49"/>
        </w:rPr>
        <w:fldChar w:fldCharType="end"/>
      </w:r>
    </w:p>
    <w:p w14:paraId="72A9E684">
      <w:pPr>
        <w:spacing w:line="400" w:lineRule="exact"/>
        <w:rPr>
          <w:rStyle w:val="49"/>
        </w:rPr>
      </w:pPr>
      <w:r>
        <w:rPr>
          <w:rStyle w:val="49"/>
        </w:rPr>
        <w:fldChar w:fldCharType="end"/>
      </w:r>
    </w:p>
    <w:p w14:paraId="5FCB9D26">
      <w:pPr>
        <w:pStyle w:val="3"/>
        <w:spacing w:line="360" w:lineRule="exact"/>
        <w:ind w:firstLine="480"/>
      </w:pPr>
    </w:p>
    <w:p w14:paraId="39C15078">
      <w:pPr>
        <w:spacing w:line="360" w:lineRule="exact"/>
        <w:rPr>
          <w:rFonts w:ascii="Times New Roman" w:hAnsi="Times New Roman" w:cs="Times New Roman"/>
        </w:rPr>
      </w:pPr>
    </w:p>
    <w:p w14:paraId="4838DA7E">
      <w:pPr>
        <w:jc w:val="center"/>
        <w:rPr>
          <w:rFonts w:ascii="Times New Roman" w:hAnsi="Times New Roman" w:cs="Times New Roman"/>
        </w:rPr>
        <w:sectPr>
          <w:footerReference r:id="rId5" w:type="default"/>
          <w:pgSz w:w="11906" w:h="16838"/>
          <w:pgMar w:top="1440" w:right="1800" w:bottom="1440" w:left="1800" w:header="851" w:footer="992" w:gutter="0"/>
          <w:pgNumType w:fmt="upperRoman" w:start="1"/>
          <w:cols w:space="425" w:num="1"/>
          <w:docGrid w:type="lines" w:linePitch="312" w:charSpace="0"/>
        </w:sectPr>
      </w:pPr>
    </w:p>
    <w:p w14:paraId="4822F7E1">
      <w:pPr>
        <w:pStyle w:val="2"/>
      </w:pPr>
      <w:bookmarkStart w:id="1" w:name="_Toc210915258"/>
      <w:bookmarkStart w:id="2" w:name="_Toc200527719"/>
      <w:r>
        <w:rPr>
          <w:rFonts w:hint="eastAsia"/>
        </w:rPr>
        <w:t>总论</w:t>
      </w:r>
      <w:bookmarkEnd w:id="1"/>
      <w:bookmarkEnd w:id="2"/>
    </w:p>
    <w:p w14:paraId="4A7E5E8D">
      <w:pPr>
        <w:pStyle w:val="4"/>
      </w:pPr>
      <w:bookmarkStart w:id="3" w:name="_Toc200527720"/>
      <w:bookmarkStart w:id="4" w:name="_Toc210915259"/>
      <w:r>
        <w:rPr>
          <w:rFonts w:hint="eastAsia"/>
        </w:rPr>
        <w:t>编制</w:t>
      </w:r>
      <w:r>
        <w:t>背景</w:t>
      </w:r>
      <w:bookmarkEnd w:id="3"/>
      <w:bookmarkEnd w:id="4"/>
    </w:p>
    <w:p w14:paraId="093D4E78">
      <w:pPr>
        <w:pStyle w:val="3"/>
        <w:ind w:firstLine="480"/>
      </w:pPr>
      <w:r>
        <w:t>为贯彻《土壤污染防治行动计划》（国发〔2016〕31号）和《工矿用地土壤环境管理办法（试行）》关于防范建设用地新增污染的要求，落实企业污染防治的主体责任，我司被列入</w:t>
      </w:r>
      <w:r>
        <w:rPr>
          <w:rFonts w:hint="eastAsia"/>
        </w:rPr>
        <w:t>揭阳市</w:t>
      </w:r>
      <w:r>
        <w:t>2025年土壤</w:t>
      </w:r>
      <w:r>
        <w:rPr>
          <w:rFonts w:hint="eastAsia"/>
        </w:rPr>
        <w:t>污染</w:t>
      </w:r>
      <w:r>
        <w:t>重点监管企业名录。我司应自行对所用土地开展土壤污染隐患排查，重点对生产区以及原材料与废物堆存区、储放区、转运区、污染治理设施等及其运行管理开展排查，并根据排查结果制定整改方案。</w:t>
      </w:r>
    </w:p>
    <w:p w14:paraId="39A03C33">
      <w:pPr>
        <w:pStyle w:val="3"/>
        <w:ind w:firstLine="480"/>
      </w:pPr>
      <w:r>
        <w:t>因此，我司组织安环部及车间管理人员对厂区土壤隐患进行排查，排查技术与方法参照《重点监管单位土壤污染隐患排查指南（试行）》(环办便函〔2020〕313号)。我司根据排查结果最终编制此排查报告，为</w:t>
      </w:r>
      <w:r>
        <w:rPr>
          <w:rFonts w:hint="eastAsia"/>
        </w:rPr>
        <w:t>揭阳市</w:t>
      </w:r>
      <w:r>
        <w:t>生态环境局的管理及下一步整改提供依据。</w:t>
      </w:r>
    </w:p>
    <w:p w14:paraId="28A5E5FA">
      <w:pPr>
        <w:pStyle w:val="4"/>
      </w:pPr>
      <w:bookmarkStart w:id="5" w:name="_Toc210915260"/>
      <w:bookmarkStart w:id="6" w:name="_Toc200527721"/>
      <w:r>
        <w:t>排查目的和原则</w:t>
      </w:r>
      <w:bookmarkEnd w:id="5"/>
      <w:bookmarkEnd w:id="6"/>
    </w:p>
    <w:p w14:paraId="18265FA0">
      <w:pPr>
        <w:pStyle w:val="5"/>
        <w:rPr>
          <w:color w:val="auto"/>
        </w:rPr>
      </w:pPr>
      <w:r>
        <w:rPr>
          <w:color w:val="auto"/>
        </w:rPr>
        <w:t>排查目的</w:t>
      </w:r>
    </w:p>
    <w:p w14:paraId="474DB397">
      <w:pPr>
        <w:pStyle w:val="3"/>
        <w:ind w:firstLine="480"/>
      </w:pPr>
      <w:r>
        <w:t>本企业土壤污染隐患排查目的如下：</w:t>
      </w:r>
    </w:p>
    <w:p w14:paraId="5104EFFB">
      <w:pPr>
        <w:pStyle w:val="3"/>
        <w:ind w:firstLine="480"/>
      </w:pPr>
      <w:r>
        <w:t>(1)通过土壤污染隐患排查，及时发现土壤污染隐患或者土壤污染，及早采取措施消除隐患，管控风险，防止污染或者污染扩散和加重，降低后期风险管控或修复成本。</w:t>
      </w:r>
    </w:p>
    <w:p w14:paraId="7B5660A7">
      <w:pPr>
        <w:pStyle w:val="3"/>
        <w:ind w:firstLine="480"/>
      </w:pPr>
      <w:r>
        <w:t>(2)通过隐患排查，提出科学有效的整改措施，并通过建立排查档案，为开展土壤污染状况调查评估和管理监管部门提供的一项重要资料。</w:t>
      </w:r>
    </w:p>
    <w:p w14:paraId="6CA5D036">
      <w:pPr>
        <w:pStyle w:val="3"/>
        <w:ind w:firstLine="480"/>
      </w:pPr>
      <w:r>
        <w:t>(3)落实环保责任，通过隐患排查，将土壤污染的责任落实到企业甚至是个人，是企业勇于承担社会责任的体现。</w:t>
      </w:r>
    </w:p>
    <w:p w14:paraId="5A0664AD">
      <w:pPr>
        <w:pStyle w:val="5"/>
        <w:rPr>
          <w:color w:val="auto"/>
        </w:rPr>
      </w:pPr>
      <w:r>
        <w:rPr>
          <w:color w:val="auto"/>
        </w:rPr>
        <w:t>排查原则</w:t>
      </w:r>
    </w:p>
    <w:p w14:paraId="5C9B82AD">
      <w:pPr>
        <w:pStyle w:val="3"/>
        <w:ind w:firstLine="480"/>
      </w:pPr>
      <w:r>
        <w:t>本企业隐患排查原则如下</w:t>
      </w:r>
      <w:r>
        <w:rPr>
          <w:rFonts w:hint="eastAsia"/>
        </w:rPr>
        <w:t>：</w:t>
      </w:r>
    </w:p>
    <w:p w14:paraId="5C277227">
      <w:pPr>
        <w:pStyle w:val="3"/>
        <w:ind w:firstLine="480"/>
      </w:pPr>
      <w:r>
        <w:t>(1)公司以保护土壤环境质量为核心，以保证土壤安全为出发点，坚持预防为主、保护优先、风险管控、严控污染，规范管理，做好隐患排查工作，促进土壤资源可持续利用；</w:t>
      </w:r>
    </w:p>
    <w:p w14:paraId="345FBCA8">
      <w:pPr>
        <w:pStyle w:val="3"/>
        <w:ind w:firstLine="480"/>
      </w:pPr>
      <w:r>
        <w:t>(2)按照“谁污染，谁治理”的原则，对本企业土壤和地下水的污染状况实施隐患排查工作；</w:t>
      </w:r>
    </w:p>
    <w:p w14:paraId="5CF8B1CD">
      <w:pPr>
        <w:pStyle w:val="3"/>
        <w:ind w:firstLine="480"/>
      </w:pPr>
      <w:r>
        <w:t>(3)按照《关于发布《重点监管单位土壤污染隐患排查指南（试行）》的公告》（2021年第1号）的相关要求，并结合企业生产工艺及所用原辅材料等相关资料，对企业展开综合性的污染隐患排查，主要涉及重点场所及重点设施，主要包括液体储存、散装液体转运与厂内运输、货物的储存和运输、生产区及其它活动区等。</w:t>
      </w:r>
    </w:p>
    <w:p w14:paraId="4A7FAA6A">
      <w:pPr>
        <w:pStyle w:val="4"/>
      </w:pPr>
      <w:bookmarkStart w:id="7" w:name="_Toc200527722"/>
      <w:bookmarkStart w:id="8" w:name="_Toc210915261"/>
      <w:r>
        <w:t>排查范围</w:t>
      </w:r>
      <w:bookmarkEnd w:id="7"/>
      <w:bookmarkEnd w:id="8"/>
    </w:p>
    <w:p w14:paraId="49823156">
      <w:pPr>
        <w:pStyle w:val="3"/>
        <w:ind w:firstLine="480"/>
      </w:pPr>
      <w:r>
        <w:t>根据现场踏勘，广东东粤化学科技有限公司（以下简称“东粤化学”）成立于2023年，系</w:t>
      </w:r>
      <w:r>
        <w:rPr>
          <w:bCs/>
        </w:rPr>
        <w:t>青岛惠城环保科技集团股份有限公司子公司，</w:t>
      </w:r>
      <w:bookmarkStart w:id="9" w:name="_Hlk149031226"/>
      <w:r>
        <w:t>位于广东省揭阳市惠来县石化大道500号，占地约</w:t>
      </w:r>
      <w:bookmarkStart w:id="10" w:name="_Hlk172640401"/>
      <w:r>
        <w:t>143595</w:t>
      </w:r>
      <w:bookmarkEnd w:id="10"/>
      <w:r>
        <w:t>平方米</w:t>
      </w:r>
      <w:bookmarkEnd w:id="9"/>
      <w:r>
        <w:rPr>
          <w:rFonts w:hint="eastAsia"/>
        </w:rPr>
        <w:t>。</w:t>
      </w:r>
      <w:r>
        <w:t>此次排查主要区域为</w:t>
      </w:r>
      <w:r>
        <w:rPr>
          <w:rFonts w:hint="eastAsia"/>
        </w:rPr>
        <w:t>裂解单元区、原料处理单元、球罐组区、装卸车设施、除盐水站、雨水监控池、事故水池、原料仓库、危废库、污水收集池、污水提升泵站等，</w:t>
      </w:r>
      <w:r>
        <w:t>排查范围见下图，详细的厂区平面布置图见</w:t>
      </w:r>
      <w:r>
        <w:rPr>
          <w:rFonts w:hint="eastAsia"/>
        </w:rPr>
        <w:t>下图。</w:t>
      </w:r>
    </w:p>
    <w:p w14:paraId="28A1B3F3">
      <w:pPr>
        <w:pStyle w:val="78"/>
      </w:pPr>
      <w:r>
        <w:drawing>
          <wp:inline distT="0" distB="0" distL="0" distR="0">
            <wp:extent cx="4968240" cy="3917315"/>
            <wp:effectExtent l="0" t="0" r="381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980752" cy="3927155"/>
                    </a:xfrm>
                    <a:prstGeom prst="rect">
                      <a:avLst/>
                    </a:prstGeom>
                  </pic:spPr>
                </pic:pic>
              </a:graphicData>
            </a:graphic>
          </wp:inline>
        </w:drawing>
      </w:r>
    </w:p>
    <w:p w14:paraId="46D5810C">
      <w:pPr>
        <w:pStyle w:val="14"/>
        <w:rPr>
          <w:color w:val="auto"/>
        </w:rPr>
      </w:pPr>
      <w:bookmarkStart w:id="11" w:name="_Ref179275614"/>
      <w:r>
        <w:rPr>
          <w:rFonts w:cs="Times New Roman"/>
          <w:color w:val="auto"/>
          <w:sz w:val="24"/>
          <w:szCs w:val="24"/>
        </w:rPr>
        <w:t xml:space="preserve">图 </w:t>
      </w:r>
      <w:r>
        <w:rPr>
          <w:rFonts w:cs="Times New Roman"/>
          <w:color w:val="auto"/>
          <w:sz w:val="24"/>
          <w:szCs w:val="24"/>
        </w:rPr>
        <w:fldChar w:fldCharType="begin"/>
      </w:r>
      <w:r>
        <w:rPr>
          <w:rFonts w:cs="Times New Roman"/>
          <w:color w:val="auto"/>
          <w:sz w:val="24"/>
          <w:szCs w:val="24"/>
        </w:rPr>
        <w:instrText xml:space="preserve"> STYLEREF 2 \s </w:instrText>
      </w:r>
      <w:r>
        <w:rPr>
          <w:rFonts w:cs="Times New Roman"/>
          <w:color w:val="auto"/>
          <w:sz w:val="24"/>
          <w:szCs w:val="24"/>
        </w:rPr>
        <w:fldChar w:fldCharType="separate"/>
      </w:r>
      <w:r>
        <w:rPr>
          <w:rFonts w:cs="Times New Roman"/>
          <w:color w:val="auto"/>
          <w:sz w:val="24"/>
          <w:szCs w:val="24"/>
        </w:rPr>
        <w:t>1.3</w:t>
      </w:r>
      <w:r>
        <w:rPr>
          <w:rFonts w:cs="Times New Roman"/>
          <w:color w:val="auto"/>
          <w:sz w:val="24"/>
          <w:szCs w:val="24"/>
        </w:rPr>
        <w:fldChar w:fldCharType="end"/>
      </w:r>
      <w:r>
        <w:rPr>
          <w:rFonts w:cs="Times New Roman"/>
          <w:color w:val="auto"/>
          <w:sz w:val="24"/>
          <w:szCs w:val="24"/>
        </w:rPr>
        <w:noBreakHyphen/>
      </w:r>
      <w:r>
        <w:rPr>
          <w:rFonts w:cs="Times New Roman"/>
          <w:color w:val="auto"/>
          <w:sz w:val="24"/>
          <w:szCs w:val="24"/>
        </w:rPr>
        <w:fldChar w:fldCharType="begin"/>
      </w:r>
      <w:r>
        <w:rPr>
          <w:rFonts w:cs="Times New Roman"/>
          <w:color w:val="auto"/>
          <w:sz w:val="24"/>
          <w:szCs w:val="24"/>
        </w:rPr>
        <w:instrText xml:space="preserve"> SEQ 图 \* ARABIC \s 2 </w:instrText>
      </w:r>
      <w:r>
        <w:rPr>
          <w:rFonts w:cs="Times New Roman"/>
          <w:color w:val="auto"/>
          <w:sz w:val="24"/>
          <w:szCs w:val="24"/>
        </w:rPr>
        <w:fldChar w:fldCharType="separate"/>
      </w:r>
      <w:r>
        <w:rPr>
          <w:rFonts w:cs="Times New Roman"/>
          <w:color w:val="auto"/>
          <w:sz w:val="24"/>
          <w:szCs w:val="24"/>
        </w:rPr>
        <w:t>1</w:t>
      </w:r>
      <w:r>
        <w:rPr>
          <w:rFonts w:cs="Times New Roman"/>
          <w:color w:val="auto"/>
          <w:sz w:val="24"/>
          <w:szCs w:val="24"/>
        </w:rPr>
        <w:fldChar w:fldCharType="end"/>
      </w:r>
      <w:bookmarkEnd w:id="11"/>
      <w:r>
        <w:rPr>
          <w:rFonts w:cs="Times New Roman"/>
          <w:color w:val="auto"/>
          <w:sz w:val="24"/>
          <w:szCs w:val="24"/>
        </w:rPr>
        <w:t xml:space="preserve">  </w:t>
      </w:r>
      <w:r>
        <w:rPr>
          <w:color w:val="auto"/>
        </w:rPr>
        <w:t>现状厂区调查范围</w:t>
      </w:r>
    </w:p>
    <w:p w14:paraId="79359206">
      <w:pPr>
        <w:pStyle w:val="4"/>
      </w:pPr>
      <w:bookmarkStart w:id="12" w:name="_Toc200527723"/>
      <w:bookmarkStart w:id="13" w:name="_Toc210915262"/>
      <w:r>
        <w:t>编制依据</w:t>
      </w:r>
      <w:bookmarkEnd w:id="12"/>
      <w:bookmarkEnd w:id="13"/>
    </w:p>
    <w:p w14:paraId="7F26916C">
      <w:pPr>
        <w:pStyle w:val="3"/>
        <w:ind w:firstLine="480"/>
      </w:pPr>
      <w:r>
        <w:t>(1)《中华人民共和国环境保护法》，2015年1月1日；</w:t>
      </w:r>
    </w:p>
    <w:p w14:paraId="7868CE2B">
      <w:pPr>
        <w:pStyle w:val="3"/>
        <w:ind w:firstLine="480"/>
      </w:pPr>
      <w:r>
        <w:t>(2)《中华人民共和国土壤污染防治法》（2019年1月1日起施行）；</w:t>
      </w:r>
    </w:p>
    <w:p w14:paraId="17A5CD1E">
      <w:pPr>
        <w:pStyle w:val="3"/>
        <w:ind w:firstLine="480"/>
      </w:pPr>
      <w:r>
        <w:t>(3)《中华人民共和国污水染防治法》（修订），2018年1月1日；</w:t>
      </w:r>
    </w:p>
    <w:p w14:paraId="239A85FA">
      <w:pPr>
        <w:pStyle w:val="3"/>
        <w:ind w:firstLine="480"/>
      </w:pPr>
      <w:r>
        <w:t>(4)《中华人民共和国大气污染防治法》，2018年10月26日；</w:t>
      </w:r>
    </w:p>
    <w:p w14:paraId="6842826E">
      <w:pPr>
        <w:pStyle w:val="3"/>
        <w:ind w:firstLine="480"/>
      </w:pPr>
      <w:r>
        <w:t>(5)《中华人民共和国固体废物污染环境防治法》，2020年9月1日起实施；</w:t>
      </w:r>
    </w:p>
    <w:p w14:paraId="624029A3">
      <w:pPr>
        <w:pStyle w:val="3"/>
        <w:ind w:firstLine="480"/>
      </w:pPr>
      <w:r>
        <w:t>(6)《土壤污染防治行动计划》（国发〔2016〕31号）》，2016年5月28日；</w:t>
      </w:r>
    </w:p>
    <w:p w14:paraId="28E5030D">
      <w:pPr>
        <w:pStyle w:val="3"/>
        <w:ind w:firstLine="480"/>
      </w:pPr>
      <w:r>
        <w:t>(7)《工矿用地土壤环境管理办法（试行）》（部令第3号），2018年8月1日；</w:t>
      </w:r>
    </w:p>
    <w:p w14:paraId="60AA4E25">
      <w:pPr>
        <w:pStyle w:val="3"/>
        <w:ind w:firstLine="480"/>
      </w:pPr>
      <w:r>
        <w:t>(8)《中华人民共和国土地管理法》，2020年1月1日；</w:t>
      </w:r>
    </w:p>
    <w:p w14:paraId="3E0970E2">
      <w:pPr>
        <w:pStyle w:val="3"/>
        <w:ind w:firstLine="480"/>
      </w:pPr>
      <w:r>
        <w:t>(9)《危险化学品安全管理条例》，2011年12月1日；</w:t>
      </w:r>
    </w:p>
    <w:p w14:paraId="2B825ECD">
      <w:pPr>
        <w:pStyle w:val="3"/>
        <w:ind w:firstLine="480"/>
      </w:pPr>
      <w:r>
        <w:t>(10)《国家危险废物分类名录》，2021年1月1日；</w:t>
      </w:r>
    </w:p>
    <w:p w14:paraId="0A08A3F9">
      <w:pPr>
        <w:pStyle w:val="3"/>
        <w:ind w:firstLine="480"/>
      </w:pPr>
      <w:r>
        <w:t>(11)《污染地块土壤环境管理办法（试行）》，2017年7月1日；</w:t>
      </w:r>
    </w:p>
    <w:p w14:paraId="7894DA99">
      <w:pPr>
        <w:pStyle w:val="3"/>
        <w:ind w:firstLine="480"/>
      </w:pPr>
      <w:r>
        <w:t>(12)《关于印发广东省2020年土壤污染防治工作方案的通知》(粤环函〔2020〕201号)；</w:t>
      </w:r>
    </w:p>
    <w:p w14:paraId="45E8D9BE">
      <w:pPr>
        <w:pStyle w:val="3"/>
        <w:ind w:firstLine="480"/>
      </w:pPr>
      <w:r>
        <w:t>(13)《</w:t>
      </w:r>
      <w:r>
        <w:rPr>
          <w:rFonts w:hint="eastAsia"/>
        </w:rPr>
        <w:t>揭阳市人民政府关于印发揭阳市土壤污染防治行动计划工作方案的通知</w:t>
      </w:r>
      <w:r>
        <w:t>》（</w:t>
      </w:r>
      <w:r>
        <w:rPr>
          <w:rFonts w:hint="eastAsia"/>
        </w:rPr>
        <w:t>揭府〔2017〕55号</w:t>
      </w:r>
      <w:r>
        <w:t>），2017年9月19日；</w:t>
      </w:r>
    </w:p>
    <w:p w14:paraId="4DD8C1B9">
      <w:pPr>
        <w:pStyle w:val="3"/>
        <w:ind w:firstLine="480"/>
      </w:pPr>
      <w:r>
        <w:t>(14)《重点监管单位土壤污染隐患排查指南（试行）》（生态环境部公告2021年第1号）；</w:t>
      </w:r>
    </w:p>
    <w:p w14:paraId="2A700A79">
      <w:pPr>
        <w:pStyle w:val="3"/>
        <w:ind w:firstLine="480"/>
      </w:pPr>
      <w:r>
        <w:t>(15)《建设用地土壤环境调查评估技术指南（试行）》（生态环境部2017年12月15日）；</w:t>
      </w:r>
    </w:p>
    <w:p w14:paraId="1A35BA5E">
      <w:pPr>
        <w:pStyle w:val="3"/>
        <w:ind w:firstLine="480"/>
      </w:pPr>
      <w:r>
        <w:t>(16)《土壤环境质量建设用地土壤污染风险管控标准》（GB36600-2018）；</w:t>
      </w:r>
    </w:p>
    <w:p w14:paraId="5810707A">
      <w:pPr>
        <w:pStyle w:val="3"/>
        <w:ind w:firstLine="480"/>
      </w:pPr>
      <w:r>
        <w:t>(17)《工业企业场地环境调查评估与修复工作指南（试行）)》（环境保护部，2014年12月1月）；</w:t>
      </w:r>
    </w:p>
    <w:p w14:paraId="03CF8151">
      <w:pPr>
        <w:pStyle w:val="3"/>
        <w:ind w:firstLine="480"/>
      </w:pPr>
      <w:r>
        <w:t>(18)《建设用地土壤污染风险管控和修复术语》(HJ682-2019)；</w:t>
      </w:r>
    </w:p>
    <w:p w14:paraId="0965B6C6">
      <w:pPr>
        <w:pStyle w:val="3"/>
        <w:ind w:firstLine="480"/>
      </w:pPr>
      <w:r>
        <w:t>(19)《建设用地土壤污染状况调查技术导则》(HJ25.1-2019)；</w:t>
      </w:r>
    </w:p>
    <w:p w14:paraId="18937FA8">
      <w:pPr>
        <w:pStyle w:val="3"/>
        <w:ind w:firstLine="480"/>
      </w:pPr>
      <w:r>
        <w:t>(</w:t>
      </w:r>
      <w:r>
        <w:rPr>
          <w:rFonts w:hint="eastAsia"/>
        </w:rPr>
        <w:t>2</w:t>
      </w:r>
      <w:r>
        <w:t>0)《广东东粤化学科技有限公司20万吨/年混合废塑料资源化综合利用示范性项目（重新报批）》（揭市环审〔2024〕16号）；</w:t>
      </w:r>
    </w:p>
    <w:p w14:paraId="6D950A40">
      <w:pPr>
        <w:pStyle w:val="3"/>
        <w:ind w:firstLine="480"/>
      </w:pPr>
      <w:r>
        <w:t>(</w:t>
      </w:r>
      <w:r>
        <w:rPr>
          <w:rFonts w:hint="eastAsia"/>
        </w:rPr>
        <w:t>2</w:t>
      </w:r>
      <w:r>
        <w:t>1)《揭阳市生态环境局关于广东东粤化学科技有限公司20万吨/年混合废塑料资源化综合利用示范性项目（重新报批）环境影响报告书的批复》（揭市环审〔2024〕16号）；</w:t>
      </w:r>
    </w:p>
    <w:p w14:paraId="09B71843">
      <w:pPr>
        <w:pStyle w:val="3"/>
        <w:ind w:firstLine="480"/>
      </w:pPr>
      <w:r>
        <w:t>(</w:t>
      </w:r>
      <w:r>
        <w:rPr>
          <w:rFonts w:hint="eastAsia"/>
        </w:rPr>
        <w:t>2</w:t>
      </w:r>
      <w:r>
        <w:t>2)企业提供的其他与本项目相关的资料。</w:t>
      </w:r>
    </w:p>
    <w:p w14:paraId="27B6ECA8">
      <w:pPr>
        <w:pStyle w:val="3"/>
        <w:ind w:firstLine="480"/>
        <w:sectPr>
          <w:footerReference r:id="rId6" w:type="default"/>
          <w:pgSz w:w="11906" w:h="16838"/>
          <w:pgMar w:top="1440" w:right="1800" w:bottom="1440" w:left="1800" w:header="851" w:footer="992" w:gutter="0"/>
          <w:cols w:space="425" w:num="1"/>
          <w:docGrid w:type="lines" w:linePitch="312" w:charSpace="0"/>
        </w:sectPr>
      </w:pPr>
    </w:p>
    <w:p w14:paraId="3F0A5E5D">
      <w:pPr>
        <w:pStyle w:val="2"/>
        <w:spacing w:before="240" w:after="480"/>
      </w:pPr>
      <w:bookmarkStart w:id="14" w:name="_Toc210915263"/>
      <w:bookmarkStart w:id="15" w:name="_Toc200527724"/>
      <w:r>
        <w:t>企业概况</w:t>
      </w:r>
      <w:bookmarkEnd w:id="14"/>
      <w:bookmarkEnd w:id="15"/>
    </w:p>
    <w:p w14:paraId="208EBCBD">
      <w:pPr>
        <w:pStyle w:val="4"/>
      </w:pPr>
      <w:bookmarkStart w:id="16" w:name="_Toc210915264"/>
      <w:bookmarkStart w:id="17" w:name="_Toc200527725"/>
      <w:r>
        <w:t>企业基础信息</w:t>
      </w:r>
      <w:bookmarkEnd w:id="16"/>
      <w:bookmarkEnd w:id="17"/>
    </w:p>
    <w:p w14:paraId="385CF7E2">
      <w:pPr>
        <w:pStyle w:val="3"/>
        <w:ind w:firstLine="480"/>
      </w:pPr>
      <w:r>
        <w:t>广东东粤化学科技有限公司（以下简称“东粤化学”）成立于2023年，主要从事再生资源加工、基础化学原料制造、化工用品生产与销售。位于广东省揭阳市惠来县石化大道500号，地理坐标为</w:t>
      </w:r>
      <w:bookmarkStart w:id="18" w:name="_Hlk149031190"/>
      <w:bookmarkStart w:id="19" w:name="_Hlk173744715"/>
      <w:r>
        <w:t>116°12′10.4353″</w:t>
      </w:r>
      <w:bookmarkEnd w:id="18"/>
      <w:r>
        <w:t>E、</w:t>
      </w:r>
      <w:bookmarkStart w:id="20" w:name="_Hlk149031204"/>
      <w:r>
        <w:t>22°56′39.9290"</w:t>
      </w:r>
      <w:bookmarkEnd w:id="20"/>
      <w:r>
        <w:t>N</w:t>
      </w:r>
      <w:bookmarkEnd w:id="19"/>
      <w:r>
        <w:t>，占地约143595平方米。基础信息表如下表所示。</w:t>
      </w:r>
    </w:p>
    <w:p w14:paraId="619E580A">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2.1</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企业基本情况表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09"/>
        <w:gridCol w:w="1863"/>
        <w:gridCol w:w="1115"/>
        <w:gridCol w:w="1381"/>
        <w:gridCol w:w="1106"/>
        <w:gridCol w:w="1922"/>
      </w:tblGrid>
      <w:tr w14:paraId="49B4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jc w:val="center"/>
        </w:trPr>
        <w:tc>
          <w:tcPr>
            <w:tcW w:w="909" w:type="dxa"/>
            <w:vAlign w:val="center"/>
          </w:tcPr>
          <w:p w14:paraId="14279137">
            <w:pPr>
              <w:pStyle w:val="78"/>
            </w:pPr>
            <w:r>
              <w:t>企业名称</w:t>
            </w:r>
          </w:p>
        </w:tc>
        <w:tc>
          <w:tcPr>
            <w:tcW w:w="7387" w:type="dxa"/>
            <w:gridSpan w:val="5"/>
            <w:vAlign w:val="center"/>
          </w:tcPr>
          <w:p w14:paraId="4CFAB9BB">
            <w:pPr>
              <w:pStyle w:val="78"/>
            </w:pPr>
            <w:r>
              <w:t>广东东粤化学科技有限公司</w:t>
            </w:r>
          </w:p>
        </w:tc>
      </w:tr>
      <w:tr w14:paraId="3C82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09" w:type="dxa"/>
            <w:vAlign w:val="center"/>
          </w:tcPr>
          <w:p w14:paraId="1C00E7F1">
            <w:pPr>
              <w:pStyle w:val="78"/>
            </w:pPr>
            <w:r>
              <w:t>企业地址</w:t>
            </w:r>
          </w:p>
        </w:tc>
        <w:tc>
          <w:tcPr>
            <w:tcW w:w="7387" w:type="dxa"/>
            <w:gridSpan w:val="5"/>
            <w:vAlign w:val="center"/>
          </w:tcPr>
          <w:p w14:paraId="69CEC5B1">
            <w:pPr>
              <w:pStyle w:val="78"/>
            </w:pPr>
            <w:r>
              <w:t>广东省揭阳市惠来县石化大道500号</w:t>
            </w:r>
          </w:p>
        </w:tc>
      </w:tr>
      <w:tr w14:paraId="332F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09" w:type="dxa"/>
            <w:vAlign w:val="center"/>
          </w:tcPr>
          <w:p w14:paraId="07ABB545">
            <w:pPr>
              <w:pStyle w:val="78"/>
            </w:pPr>
            <w:r>
              <w:rPr>
                <w:rFonts w:hint="eastAsia"/>
              </w:rPr>
              <w:t>经纬度</w:t>
            </w:r>
          </w:p>
        </w:tc>
        <w:tc>
          <w:tcPr>
            <w:tcW w:w="7387" w:type="dxa"/>
            <w:gridSpan w:val="5"/>
            <w:vAlign w:val="center"/>
          </w:tcPr>
          <w:p w14:paraId="6155C9E4">
            <w:pPr>
              <w:pStyle w:val="78"/>
            </w:pPr>
            <w:r>
              <w:t>116°12′10.4353″E、22°56′39.9290"N</w:t>
            </w:r>
          </w:p>
        </w:tc>
      </w:tr>
      <w:tr w14:paraId="0914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09" w:type="dxa"/>
            <w:vAlign w:val="center"/>
          </w:tcPr>
          <w:p w14:paraId="331EE26B">
            <w:pPr>
              <w:pStyle w:val="78"/>
            </w:pPr>
            <w:r>
              <w:t>占地面积</w:t>
            </w:r>
          </w:p>
        </w:tc>
        <w:tc>
          <w:tcPr>
            <w:tcW w:w="1863" w:type="dxa"/>
            <w:vAlign w:val="center"/>
          </w:tcPr>
          <w:p w14:paraId="42E0E8DB">
            <w:pPr>
              <w:pStyle w:val="78"/>
            </w:pPr>
            <w:r>
              <w:t>143595m</w:t>
            </w:r>
            <w:r>
              <w:rPr>
                <w:vertAlign w:val="superscript"/>
              </w:rPr>
              <w:t>2</w:t>
            </w:r>
          </w:p>
        </w:tc>
        <w:tc>
          <w:tcPr>
            <w:tcW w:w="1115" w:type="dxa"/>
            <w:vAlign w:val="center"/>
          </w:tcPr>
          <w:p w14:paraId="4951E60F">
            <w:pPr>
              <w:pStyle w:val="78"/>
            </w:pPr>
            <w:r>
              <w:t>法定代表人</w:t>
            </w:r>
          </w:p>
        </w:tc>
        <w:tc>
          <w:tcPr>
            <w:tcW w:w="1381" w:type="dxa"/>
            <w:vAlign w:val="center"/>
          </w:tcPr>
          <w:p w14:paraId="65F3B8BF">
            <w:pPr>
              <w:pStyle w:val="78"/>
            </w:pPr>
            <w:r>
              <w:rPr>
                <w:rFonts w:hint="eastAsia"/>
              </w:rPr>
              <w:t>李恩泉</w:t>
            </w:r>
          </w:p>
        </w:tc>
        <w:tc>
          <w:tcPr>
            <w:tcW w:w="1106" w:type="dxa"/>
            <w:vAlign w:val="center"/>
          </w:tcPr>
          <w:p w14:paraId="5203556C">
            <w:pPr>
              <w:pStyle w:val="78"/>
            </w:pPr>
            <w:r>
              <w:t>行业类别</w:t>
            </w:r>
          </w:p>
        </w:tc>
        <w:tc>
          <w:tcPr>
            <w:tcW w:w="1922" w:type="dxa"/>
            <w:vAlign w:val="center"/>
          </w:tcPr>
          <w:p w14:paraId="64F0E87F">
            <w:pPr>
              <w:pStyle w:val="78"/>
            </w:pPr>
            <w:r>
              <w:rPr>
                <w:rFonts w:hint="eastAsia"/>
              </w:rPr>
              <w:t>非金属废料和碎屑加工处理C4220、有机化学原料制造C2614</w:t>
            </w:r>
          </w:p>
        </w:tc>
      </w:tr>
      <w:tr w14:paraId="5AFA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09" w:type="dxa"/>
            <w:vAlign w:val="center"/>
          </w:tcPr>
          <w:p w14:paraId="6B32AD16">
            <w:pPr>
              <w:pStyle w:val="78"/>
            </w:pPr>
            <w:r>
              <w:rPr>
                <w:rFonts w:hint="eastAsia"/>
              </w:rPr>
              <w:t>建厂年月</w:t>
            </w:r>
          </w:p>
        </w:tc>
        <w:tc>
          <w:tcPr>
            <w:tcW w:w="2978" w:type="dxa"/>
            <w:gridSpan w:val="2"/>
            <w:vAlign w:val="center"/>
          </w:tcPr>
          <w:p w14:paraId="122711B7">
            <w:pPr>
              <w:pStyle w:val="78"/>
            </w:pPr>
            <w:r>
              <w:rPr>
                <w:rFonts w:hint="eastAsia"/>
              </w:rPr>
              <w:t>2024.03</w:t>
            </w:r>
          </w:p>
        </w:tc>
        <w:tc>
          <w:tcPr>
            <w:tcW w:w="1381" w:type="dxa"/>
            <w:vAlign w:val="center"/>
          </w:tcPr>
          <w:p w14:paraId="7FDF6288">
            <w:pPr>
              <w:pStyle w:val="78"/>
            </w:pPr>
            <w:r>
              <w:rPr>
                <w:rFonts w:hint="eastAsia"/>
              </w:rPr>
              <w:t>最新改扩建年月</w:t>
            </w:r>
          </w:p>
        </w:tc>
        <w:tc>
          <w:tcPr>
            <w:tcW w:w="3028" w:type="dxa"/>
            <w:gridSpan w:val="2"/>
            <w:vAlign w:val="center"/>
          </w:tcPr>
          <w:p w14:paraId="37D3FF6E">
            <w:pPr>
              <w:pStyle w:val="78"/>
            </w:pPr>
            <w:r>
              <w:t>/</w:t>
            </w:r>
          </w:p>
        </w:tc>
      </w:tr>
      <w:tr w14:paraId="3484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69781E85">
            <w:pPr>
              <w:pStyle w:val="78"/>
            </w:pPr>
            <w:r>
              <w:t>联系人</w:t>
            </w:r>
          </w:p>
        </w:tc>
        <w:tc>
          <w:tcPr>
            <w:tcW w:w="1863" w:type="dxa"/>
            <w:vAlign w:val="center"/>
          </w:tcPr>
          <w:p w14:paraId="4037D3C5">
            <w:pPr>
              <w:pStyle w:val="78"/>
            </w:pPr>
            <w:r>
              <w:rPr>
                <w:rFonts w:hint="eastAsia"/>
              </w:rPr>
              <w:t>黄楚鹏</w:t>
            </w:r>
          </w:p>
        </w:tc>
        <w:tc>
          <w:tcPr>
            <w:tcW w:w="1115" w:type="dxa"/>
            <w:vAlign w:val="center"/>
          </w:tcPr>
          <w:p w14:paraId="38C40548">
            <w:pPr>
              <w:pStyle w:val="78"/>
            </w:pPr>
            <w:r>
              <w:t>联系电话</w:t>
            </w:r>
          </w:p>
        </w:tc>
        <w:tc>
          <w:tcPr>
            <w:tcW w:w="1381" w:type="dxa"/>
            <w:vAlign w:val="center"/>
          </w:tcPr>
          <w:p w14:paraId="530B7764">
            <w:pPr>
              <w:pStyle w:val="78"/>
            </w:pPr>
            <w:r>
              <w:rPr>
                <w:rFonts w:hint="eastAsia"/>
              </w:rPr>
              <w:t>13822057736</w:t>
            </w:r>
          </w:p>
        </w:tc>
        <w:tc>
          <w:tcPr>
            <w:tcW w:w="1106" w:type="dxa"/>
            <w:vAlign w:val="center"/>
          </w:tcPr>
          <w:p w14:paraId="79F0282B">
            <w:pPr>
              <w:pStyle w:val="78"/>
            </w:pPr>
            <w:r>
              <w:t>传真</w:t>
            </w:r>
          </w:p>
        </w:tc>
        <w:tc>
          <w:tcPr>
            <w:tcW w:w="1922" w:type="dxa"/>
            <w:vAlign w:val="center"/>
          </w:tcPr>
          <w:p w14:paraId="0D41E898">
            <w:pPr>
              <w:pStyle w:val="78"/>
            </w:pPr>
            <w:r>
              <w:t>/</w:t>
            </w:r>
          </w:p>
        </w:tc>
      </w:tr>
      <w:tr w14:paraId="2C90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643F378F">
            <w:pPr>
              <w:pStyle w:val="78"/>
            </w:pPr>
            <w:r>
              <w:t>邮箱</w:t>
            </w:r>
          </w:p>
        </w:tc>
        <w:tc>
          <w:tcPr>
            <w:tcW w:w="1863" w:type="dxa"/>
            <w:vAlign w:val="center"/>
          </w:tcPr>
          <w:p w14:paraId="68434FF9">
            <w:pPr>
              <w:pStyle w:val="78"/>
            </w:pPr>
            <w:r>
              <w:rPr>
                <w:rFonts w:hint="eastAsia"/>
              </w:rPr>
              <w:t>dyhx-qg@hcpect.com</w:t>
            </w:r>
          </w:p>
        </w:tc>
        <w:tc>
          <w:tcPr>
            <w:tcW w:w="1115" w:type="dxa"/>
            <w:vAlign w:val="center"/>
          </w:tcPr>
          <w:p w14:paraId="795FFA4A">
            <w:pPr>
              <w:pStyle w:val="78"/>
            </w:pPr>
            <w:r>
              <w:t>职工人数</w:t>
            </w:r>
          </w:p>
        </w:tc>
        <w:tc>
          <w:tcPr>
            <w:tcW w:w="1381" w:type="dxa"/>
            <w:vAlign w:val="center"/>
          </w:tcPr>
          <w:p w14:paraId="7211EC3B">
            <w:pPr>
              <w:pStyle w:val="78"/>
            </w:pPr>
            <w:r>
              <w:rPr>
                <w:rFonts w:hint="eastAsia"/>
              </w:rPr>
              <w:t>240</w:t>
            </w:r>
          </w:p>
        </w:tc>
        <w:tc>
          <w:tcPr>
            <w:tcW w:w="1106" w:type="dxa"/>
            <w:vAlign w:val="center"/>
          </w:tcPr>
          <w:p w14:paraId="34A07D4F">
            <w:pPr>
              <w:pStyle w:val="78"/>
            </w:pPr>
            <w:r>
              <w:t>特种作业员</w:t>
            </w:r>
          </w:p>
        </w:tc>
        <w:tc>
          <w:tcPr>
            <w:tcW w:w="1922" w:type="dxa"/>
            <w:vAlign w:val="center"/>
          </w:tcPr>
          <w:p w14:paraId="0BF40C81">
            <w:pPr>
              <w:pStyle w:val="78"/>
            </w:pPr>
            <w:r>
              <w:t>95</w:t>
            </w:r>
          </w:p>
        </w:tc>
      </w:tr>
      <w:tr w14:paraId="6FF1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jc w:val="center"/>
        </w:trPr>
        <w:tc>
          <w:tcPr>
            <w:tcW w:w="909" w:type="dxa"/>
            <w:vAlign w:val="center"/>
          </w:tcPr>
          <w:p w14:paraId="3B718340">
            <w:pPr>
              <w:pStyle w:val="78"/>
            </w:pPr>
            <w:r>
              <w:t>安全/环保管理人</w:t>
            </w:r>
          </w:p>
        </w:tc>
        <w:tc>
          <w:tcPr>
            <w:tcW w:w="1863" w:type="dxa"/>
            <w:vAlign w:val="center"/>
          </w:tcPr>
          <w:p w14:paraId="0CC50804">
            <w:pPr>
              <w:pStyle w:val="78"/>
            </w:pPr>
            <w:r>
              <w:rPr>
                <w:rFonts w:hint="eastAsia"/>
              </w:rPr>
              <w:t>黄楚鹏</w:t>
            </w:r>
          </w:p>
        </w:tc>
        <w:tc>
          <w:tcPr>
            <w:tcW w:w="1115" w:type="dxa"/>
            <w:vAlign w:val="center"/>
          </w:tcPr>
          <w:p w14:paraId="7DD14C27">
            <w:pPr>
              <w:pStyle w:val="78"/>
            </w:pPr>
            <w:r>
              <w:t>技术管理人数</w:t>
            </w:r>
          </w:p>
        </w:tc>
        <w:tc>
          <w:tcPr>
            <w:tcW w:w="1381" w:type="dxa"/>
            <w:vAlign w:val="center"/>
          </w:tcPr>
          <w:p w14:paraId="6163780A">
            <w:pPr>
              <w:pStyle w:val="78"/>
            </w:pPr>
            <w:r>
              <w:rPr>
                <w:rFonts w:hint="eastAsia"/>
              </w:rPr>
              <w:t>1</w:t>
            </w:r>
            <w:r>
              <w:t>20</w:t>
            </w:r>
          </w:p>
        </w:tc>
        <w:tc>
          <w:tcPr>
            <w:tcW w:w="1106" w:type="dxa"/>
            <w:vAlign w:val="center"/>
          </w:tcPr>
          <w:p w14:paraId="40010BD9">
            <w:pPr>
              <w:pStyle w:val="78"/>
            </w:pPr>
            <w:r>
              <w:t>企业规模</w:t>
            </w:r>
          </w:p>
        </w:tc>
        <w:tc>
          <w:tcPr>
            <w:tcW w:w="1922" w:type="dxa"/>
            <w:vAlign w:val="center"/>
          </w:tcPr>
          <w:p w14:paraId="0330531C">
            <w:pPr>
              <w:pStyle w:val="78"/>
            </w:pPr>
            <w:r>
              <w:rPr>
                <w:rFonts w:hint="eastAsia"/>
              </w:rPr>
              <w:t>微小型企业</w:t>
            </w:r>
          </w:p>
        </w:tc>
      </w:tr>
      <w:tr w14:paraId="5328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0E81C258">
            <w:pPr>
              <w:pStyle w:val="78"/>
            </w:pPr>
            <w:r>
              <w:t>年工作天数</w:t>
            </w:r>
          </w:p>
        </w:tc>
        <w:tc>
          <w:tcPr>
            <w:tcW w:w="1863" w:type="dxa"/>
            <w:vAlign w:val="center"/>
          </w:tcPr>
          <w:p w14:paraId="23095A73">
            <w:pPr>
              <w:pStyle w:val="78"/>
            </w:pPr>
            <w:r>
              <w:t>350天</w:t>
            </w:r>
          </w:p>
        </w:tc>
        <w:tc>
          <w:tcPr>
            <w:tcW w:w="1115" w:type="dxa"/>
            <w:vAlign w:val="center"/>
          </w:tcPr>
          <w:p w14:paraId="38DFB542">
            <w:pPr>
              <w:pStyle w:val="78"/>
            </w:pPr>
            <w:r>
              <w:t>工作制度</w:t>
            </w:r>
          </w:p>
        </w:tc>
        <w:tc>
          <w:tcPr>
            <w:tcW w:w="1381" w:type="dxa"/>
            <w:vAlign w:val="center"/>
          </w:tcPr>
          <w:p w14:paraId="793989C0">
            <w:pPr>
              <w:pStyle w:val="78"/>
            </w:pPr>
            <w:r>
              <w:rPr>
                <w:rFonts w:hint="eastAsia"/>
                <w:kern w:val="0"/>
              </w:rPr>
              <w:t>四班</w:t>
            </w:r>
            <w:r>
              <w:rPr>
                <w:kern w:val="0"/>
              </w:rPr>
              <w:t>三</w:t>
            </w:r>
            <w:r>
              <w:rPr>
                <w:rFonts w:hint="eastAsia"/>
                <w:kern w:val="0"/>
              </w:rPr>
              <w:t>倒</w:t>
            </w:r>
            <w:r>
              <w:rPr>
                <w:kern w:val="0"/>
              </w:rPr>
              <w:t>制</w:t>
            </w:r>
            <w:r>
              <w:t>，每天24小时</w:t>
            </w:r>
          </w:p>
        </w:tc>
        <w:tc>
          <w:tcPr>
            <w:tcW w:w="1106" w:type="dxa"/>
            <w:vAlign w:val="center"/>
          </w:tcPr>
          <w:p w14:paraId="2F6696B8">
            <w:pPr>
              <w:pStyle w:val="78"/>
            </w:pPr>
            <w:r>
              <w:t>营业执照注册号</w:t>
            </w:r>
          </w:p>
        </w:tc>
        <w:tc>
          <w:tcPr>
            <w:tcW w:w="1922" w:type="dxa"/>
            <w:vAlign w:val="center"/>
          </w:tcPr>
          <w:p w14:paraId="0DB0D003">
            <w:pPr>
              <w:pStyle w:val="78"/>
            </w:pPr>
            <w:r>
              <w:t>91445200MACK97TH9Y</w:t>
            </w:r>
          </w:p>
        </w:tc>
      </w:tr>
      <w:tr w14:paraId="59E4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5CA5C233">
            <w:pPr>
              <w:pStyle w:val="78"/>
            </w:pPr>
            <w:r>
              <w:t>经营范围</w:t>
            </w:r>
          </w:p>
        </w:tc>
        <w:tc>
          <w:tcPr>
            <w:tcW w:w="7387" w:type="dxa"/>
            <w:gridSpan w:val="5"/>
            <w:vAlign w:val="center"/>
          </w:tcPr>
          <w:p w14:paraId="5E1800D5">
            <w:pPr>
              <w:pStyle w:val="78"/>
            </w:pPr>
            <w:r>
              <w:rPr>
                <w:rFonts w:hint="eastAsia"/>
              </w:rPr>
              <w:t>再生资源加工、</w:t>
            </w:r>
            <w:r>
              <w:t>基础化学原料制造、化工用品生产</w:t>
            </w:r>
            <w:r>
              <w:rPr>
                <w:rFonts w:hint="eastAsia"/>
              </w:rPr>
              <w:t>与销售</w:t>
            </w:r>
          </w:p>
        </w:tc>
      </w:tr>
      <w:tr w14:paraId="36F9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3A3AB253">
            <w:pPr>
              <w:pStyle w:val="78"/>
            </w:pPr>
            <w:r>
              <w:rPr>
                <w:rFonts w:hint="eastAsia"/>
              </w:rPr>
              <w:t>企业规模</w:t>
            </w:r>
          </w:p>
        </w:tc>
        <w:tc>
          <w:tcPr>
            <w:tcW w:w="7387" w:type="dxa"/>
            <w:gridSpan w:val="5"/>
            <w:vAlign w:val="center"/>
          </w:tcPr>
          <w:p w14:paraId="78D7EC58">
            <w:pPr>
              <w:pStyle w:val="78"/>
            </w:pPr>
            <w:r>
              <w:rPr>
                <w:rFonts w:hint="eastAsia"/>
              </w:rPr>
              <w:t>环评批复年综合利用</w:t>
            </w:r>
            <w:r>
              <w:t>20万吨/年混合废塑料，</w:t>
            </w:r>
          </w:p>
          <w:p w14:paraId="0E92F624">
            <w:pPr>
              <w:pStyle w:val="78"/>
              <w:rPr>
                <w:rFonts w:cs="Times New Roman"/>
              </w:rPr>
            </w:pPr>
            <w:r>
              <w:rPr>
                <w:rFonts w:hint="eastAsia"/>
              </w:rPr>
              <w:t>主要产品为</w:t>
            </w:r>
            <w:r>
              <w:t>10.51万吨/年液化塑料裂解气、1.76万吨/年塑料裂解轻油</w:t>
            </w:r>
          </w:p>
        </w:tc>
      </w:tr>
    </w:tbl>
    <w:p w14:paraId="653857FB">
      <w:pPr>
        <w:pStyle w:val="4"/>
      </w:pPr>
      <w:bookmarkStart w:id="21" w:name="_Toc200527726"/>
      <w:bookmarkStart w:id="22" w:name="_Toc210915265"/>
      <w:r>
        <w:t>建设项目概况</w:t>
      </w:r>
      <w:bookmarkEnd w:id="21"/>
      <w:bookmarkEnd w:id="22"/>
    </w:p>
    <w:p w14:paraId="42F194E1">
      <w:pPr>
        <w:pStyle w:val="3"/>
        <w:ind w:firstLine="480"/>
      </w:pPr>
      <w:r>
        <w:rPr>
          <w:rFonts w:hint="eastAsia"/>
        </w:rPr>
        <w:t>广东东粤化学科技</w:t>
      </w:r>
      <w:r>
        <w:t>有限公司属于</w:t>
      </w:r>
      <w:r>
        <w:rPr>
          <w:rFonts w:hint="eastAsia"/>
        </w:rPr>
        <w:t>一般工业固体废物处置及综合利用、化学原料和化学制品制造行业，主要从事于废塑料综合利用，产品主要为液化塑料裂解气、塑料裂解轻油</w:t>
      </w:r>
      <w:r>
        <w:t>，公司现状的建设内容按照生产性质、火灾危险性类别、管理、物流输送、安全环保等要求进行分区布置，新建设施共分为6个功能区，即：管理区、生产装置区、辅助设施区、储罐区、汽车装卸区、火炬区。性质相近，功能联系密切的单元紧凑布置，各功能区以通道分隔。</w:t>
      </w:r>
      <w:r>
        <w:rPr>
          <w:rFonts w:hint="eastAsia"/>
        </w:rPr>
        <w:t>目前，</w:t>
      </w:r>
      <w:r>
        <w:t>公司</w:t>
      </w:r>
      <w:r>
        <w:rPr>
          <w:rFonts w:hint="eastAsia"/>
        </w:rPr>
        <w:t>尚未完成竣工环保验收，</w:t>
      </w:r>
      <w:r>
        <w:t>处于</w:t>
      </w:r>
      <w:r>
        <w:rPr>
          <w:rFonts w:hint="eastAsia"/>
        </w:rPr>
        <w:t>设备调试状态</w:t>
      </w:r>
      <w:r>
        <w:t>中，</w:t>
      </w:r>
      <w:r>
        <w:rPr>
          <w:rFonts w:hint="eastAsia"/>
        </w:rPr>
        <w:t>尚未投入正式生产，</w:t>
      </w:r>
      <w:r>
        <w:t>厂内建筑物布置情况见下表：</w:t>
      </w:r>
    </w:p>
    <w:p w14:paraId="66444ABE">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厂内建筑物布置情况一览表</w:t>
      </w:r>
    </w:p>
    <w:tbl>
      <w:tblPr>
        <w:tblStyle w:val="41"/>
        <w:tblW w:w="5000" w:type="pct"/>
        <w:tblInd w:w="0" w:type="dxa"/>
        <w:tblLayout w:type="autofit"/>
        <w:tblCellMar>
          <w:top w:w="0" w:type="dxa"/>
          <w:left w:w="108" w:type="dxa"/>
          <w:bottom w:w="0" w:type="dxa"/>
          <w:right w:w="108" w:type="dxa"/>
        </w:tblCellMar>
      </w:tblPr>
      <w:tblGrid>
        <w:gridCol w:w="564"/>
        <w:gridCol w:w="1713"/>
        <w:gridCol w:w="1135"/>
        <w:gridCol w:w="854"/>
        <w:gridCol w:w="995"/>
        <w:gridCol w:w="1135"/>
        <w:gridCol w:w="1113"/>
        <w:gridCol w:w="1013"/>
      </w:tblGrid>
      <w:tr w14:paraId="6EE7D600">
        <w:tblPrEx>
          <w:tblCellMar>
            <w:top w:w="0" w:type="dxa"/>
            <w:left w:w="108" w:type="dxa"/>
            <w:bottom w:w="0" w:type="dxa"/>
            <w:right w:w="108" w:type="dxa"/>
          </w:tblCellMar>
        </w:tblPrEx>
        <w:trPr>
          <w:trHeight w:val="20" w:hRule="atLeast"/>
        </w:trPr>
        <w:tc>
          <w:tcPr>
            <w:tcW w:w="331" w:type="pct"/>
            <w:tcBorders>
              <w:top w:val="single" w:color="auto" w:sz="4" w:space="0"/>
              <w:left w:val="single" w:color="auto" w:sz="4" w:space="0"/>
              <w:bottom w:val="single" w:color="auto" w:sz="4" w:space="0"/>
              <w:right w:val="single" w:color="auto" w:sz="4" w:space="0"/>
            </w:tcBorders>
            <w:shd w:val="clear" w:color="000000" w:fill="FFFFFF"/>
            <w:vAlign w:val="center"/>
          </w:tcPr>
          <w:p w14:paraId="772AF95A">
            <w:pPr>
              <w:pStyle w:val="78"/>
            </w:pPr>
            <w:bookmarkStart w:id="23" w:name="_Hlk173765932"/>
            <w:r>
              <w:t>序号</w:t>
            </w:r>
          </w:p>
        </w:tc>
        <w:tc>
          <w:tcPr>
            <w:tcW w:w="1004" w:type="pct"/>
            <w:tcBorders>
              <w:top w:val="single" w:color="auto" w:sz="4" w:space="0"/>
              <w:left w:val="nil"/>
              <w:bottom w:val="single" w:color="auto" w:sz="4" w:space="0"/>
              <w:right w:val="single" w:color="auto" w:sz="4" w:space="0"/>
            </w:tcBorders>
            <w:shd w:val="clear" w:color="000000" w:fill="FFFFFF"/>
            <w:vAlign w:val="center"/>
          </w:tcPr>
          <w:p w14:paraId="46ACDF64">
            <w:pPr>
              <w:pStyle w:val="78"/>
            </w:pPr>
            <w:r>
              <w:t>单体名称</w:t>
            </w:r>
          </w:p>
        </w:tc>
        <w:tc>
          <w:tcPr>
            <w:tcW w:w="666" w:type="pct"/>
            <w:tcBorders>
              <w:top w:val="single" w:color="auto" w:sz="4" w:space="0"/>
              <w:left w:val="nil"/>
              <w:bottom w:val="single" w:color="auto" w:sz="4" w:space="0"/>
              <w:right w:val="single" w:color="auto" w:sz="4" w:space="0"/>
            </w:tcBorders>
            <w:shd w:val="clear" w:color="000000" w:fill="FFFFFF"/>
            <w:vAlign w:val="center"/>
          </w:tcPr>
          <w:p w14:paraId="7102D62B">
            <w:pPr>
              <w:pStyle w:val="78"/>
            </w:pPr>
            <w:r>
              <w:t>火灾危险性分类</w:t>
            </w:r>
          </w:p>
        </w:tc>
        <w:tc>
          <w:tcPr>
            <w:tcW w:w="501" w:type="pct"/>
            <w:tcBorders>
              <w:top w:val="single" w:color="auto" w:sz="4" w:space="0"/>
              <w:left w:val="nil"/>
              <w:bottom w:val="single" w:color="auto" w:sz="4" w:space="0"/>
              <w:right w:val="single" w:color="auto" w:sz="4" w:space="0"/>
            </w:tcBorders>
            <w:shd w:val="clear" w:color="000000" w:fill="FFFFFF"/>
            <w:vAlign w:val="center"/>
          </w:tcPr>
          <w:p w14:paraId="14DF1D78">
            <w:pPr>
              <w:pStyle w:val="78"/>
            </w:pPr>
            <w:r>
              <w:t>耐火等级</w:t>
            </w:r>
          </w:p>
        </w:tc>
        <w:tc>
          <w:tcPr>
            <w:tcW w:w="584" w:type="pct"/>
            <w:tcBorders>
              <w:top w:val="single" w:color="auto" w:sz="4" w:space="0"/>
              <w:left w:val="nil"/>
              <w:bottom w:val="single" w:color="auto" w:sz="4" w:space="0"/>
              <w:right w:val="single" w:color="auto" w:sz="4" w:space="0"/>
            </w:tcBorders>
            <w:shd w:val="clear" w:color="000000" w:fill="FFFFFF"/>
            <w:vAlign w:val="center"/>
          </w:tcPr>
          <w:p w14:paraId="4E7A4329">
            <w:pPr>
              <w:pStyle w:val="78"/>
            </w:pPr>
            <w:r>
              <w:t>层数</w:t>
            </w:r>
          </w:p>
        </w:tc>
        <w:tc>
          <w:tcPr>
            <w:tcW w:w="666" w:type="pct"/>
            <w:tcBorders>
              <w:top w:val="single" w:color="auto" w:sz="4" w:space="0"/>
              <w:left w:val="nil"/>
              <w:bottom w:val="single" w:color="auto" w:sz="4" w:space="0"/>
              <w:right w:val="single" w:color="auto" w:sz="4" w:space="0"/>
            </w:tcBorders>
            <w:shd w:val="clear" w:color="000000" w:fill="FFFFFF"/>
            <w:vAlign w:val="center"/>
          </w:tcPr>
          <w:p w14:paraId="436F4912">
            <w:pPr>
              <w:pStyle w:val="78"/>
            </w:pPr>
            <w:r>
              <w:t>占地面积（m</w:t>
            </w:r>
            <w:r>
              <w:rPr>
                <w:vertAlign w:val="superscript"/>
              </w:rPr>
              <w:t>2</w:t>
            </w:r>
            <w:r>
              <w:t>）</w:t>
            </w:r>
          </w:p>
        </w:tc>
        <w:tc>
          <w:tcPr>
            <w:tcW w:w="653" w:type="pct"/>
            <w:tcBorders>
              <w:top w:val="single" w:color="auto" w:sz="4" w:space="0"/>
              <w:left w:val="nil"/>
              <w:bottom w:val="single" w:color="auto" w:sz="4" w:space="0"/>
              <w:right w:val="single" w:color="auto" w:sz="4" w:space="0"/>
            </w:tcBorders>
            <w:shd w:val="clear" w:color="000000" w:fill="FFFFFF"/>
            <w:vAlign w:val="center"/>
          </w:tcPr>
          <w:p w14:paraId="1F5314D4">
            <w:pPr>
              <w:pStyle w:val="78"/>
            </w:pPr>
            <w:r>
              <w:t>建筑面积（m</w:t>
            </w:r>
            <w:r>
              <w:rPr>
                <w:vertAlign w:val="superscript"/>
              </w:rPr>
              <w:t>2</w:t>
            </w:r>
            <w:r>
              <w:t>）</w:t>
            </w:r>
          </w:p>
        </w:tc>
        <w:tc>
          <w:tcPr>
            <w:tcW w:w="595" w:type="pct"/>
            <w:tcBorders>
              <w:top w:val="single" w:color="auto" w:sz="4" w:space="0"/>
              <w:left w:val="nil"/>
              <w:bottom w:val="single" w:color="auto" w:sz="4" w:space="0"/>
              <w:right w:val="single" w:color="auto" w:sz="4" w:space="0"/>
            </w:tcBorders>
            <w:shd w:val="clear" w:color="000000" w:fill="FFFFFF"/>
            <w:vAlign w:val="center"/>
          </w:tcPr>
          <w:p w14:paraId="5152C1F6">
            <w:pPr>
              <w:pStyle w:val="78"/>
            </w:pPr>
            <w:r>
              <w:t>高度（m)</w:t>
            </w:r>
          </w:p>
        </w:tc>
      </w:tr>
      <w:tr w14:paraId="0117AF8E">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4F09C3D2">
            <w:pPr>
              <w:pStyle w:val="78"/>
            </w:pPr>
            <w:r>
              <w:t>1</w:t>
            </w:r>
          </w:p>
        </w:tc>
        <w:tc>
          <w:tcPr>
            <w:tcW w:w="1004" w:type="pct"/>
            <w:tcBorders>
              <w:top w:val="nil"/>
              <w:left w:val="nil"/>
              <w:bottom w:val="single" w:color="auto" w:sz="4" w:space="0"/>
              <w:right w:val="single" w:color="auto" w:sz="4" w:space="0"/>
            </w:tcBorders>
            <w:shd w:val="clear" w:color="000000" w:fill="FFFFFF"/>
            <w:vAlign w:val="center"/>
          </w:tcPr>
          <w:p w14:paraId="44AA3903">
            <w:pPr>
              <w:pStyle w:val="78"/>
            </w:pPr>
            <w:r>
              <w:t>守卫室1</w:t>
            </w:r>
          </w:p>
        </w:tc>
        <w:tc>
          <w:tcPr>
            <w:tcW w:w="666" w:type="pct"/>
            <w:tcBorders>
              <w:top w:val="nil"/>
              <w:left w:val="nil"/>
              <w:bottom w:val="single" w:color="auto" w:sz="4" w:space="0"/>
              <w:right w:val="single" w:color="auto" w:sz="4" w:space="0"/>
            </w:tcBorders>
            <w:shd w:val="clear" w:color="000000" w:fill="FFFFFF"/>
            <w:vAlign w:val="center"/>
          </w:tcPr>
          <w:p w14:paraId="515A0D3E">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06BAE59C">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4B073C3B">
            <w:pPr>
              <w:pStyle w:val="78"/>
            </w:pPr>
            <w:r>
              <w:t>1</w:t>
            </w:r>
          </w:p>
        </w:tc>
        <w:tc>
          <w:tcPr>
            <w:tcW w:w="666" w:type="pct"/>
            <w:tcBorders>
              <w:top w:val="nil"/>
              <w:left w:val="nil"/>
              <w:bottom w:val="single" w:color="auto" w:sz="4" w:space="0"/>
              <w:right w:val="single" w:color="auto" w:sz="4" w:space="0"/>
            </w:tcBorders>
            <w:shd w:val="clear" w:color="000000" w:fill="FFFFFF"/>
            <w:vAlign w:val="center"/>
          </w:tcPr>
          <w:p w14:paraId="6F9E83DD">
            <w:pPr>
              <w:pStyle w:val="78"/>
            </w:pPr>
            <w:r>
              <w:t>35</w:t>
            </w:r>
          </w:p>
        </w:tc>
        <w:tc>
          <w:tcPr>
            <w:tcW w:w="653" w:type="pct"/>
            <w:tcBorders>
              <w:top w:val="nil"/>
              <w:left w:val="nil"/>
              <w:bottom w:val="single" w:color="auto" w:sz="4" w:space="0"/>
              <w:right w:val="single" w:color="auto" w:sz="4" w:space="0"/>
            </w:tcBorders>
            <w:shd w:val="clear" w:color="000000" w:fill="FFFFFF"/>
            <w:vAlign w:val="center"/>
          </w:tcPr>
          <w:p w14:paraId="2F35ACB9">
            <w:pPr>
              <w:pStyle w:val="78"/>
            </w:pPr>
            <w:r>
              <w:t>35</w:t>
            </w:r>
          </w:p>
        </w:tc>
        <w:tc>
          <w:tcPr>
            <w:tcW w:w="595" w:type="pct"/>
            <w:tcBorders>
              <w:top w:val="nil"/>
              <w:left w:val="nil"/>
              <w:bottom w:val="single" w:color="auto" w:sz="4" w:space="0"/>
              <w:right w:val="single" w:color="auto" w:sz="4" w:space="0"/>
            </w:tcBorders>
            <w:shd w:val="clear" w:color="000000" w:fill="FFFFFF"/>
            <w:vAlign w:val="center"/>
          </w:tcPr>
          <w:p w14:paraId="392FFD5D">
            <w:pPr>
              <w:pStyle w:val="78"/>
            </w:pPr>
            <w:r>
              <w:t>4.2</w:t>
            </w:r>
          </w:p>
        </w:tc>
      </w:tr>
      <w:tr w14:paraId="63B207D2">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04B69B1A">
            <w:pPr>
              <w:pStyle w:val="78"/>
            </w:pPr>
            <w:r>
              <w:t>2</w:t>
            </w:r>
          </w:p>
        </w:tc>
        <w:tc>
          <w:tcPr>
            <w:tcW w:w="1004" w:type="pct"/>
            <w:tcBorders>
              <w:top w:val="nil"/>
              <w:left w:val="nil"/>
              <w:bottom w:val="single" w:color="auto" w:sz="4" w:space="0"/>
              <w:right w:val="single" w:color="auto" w:sz="4" w:space="0"/>
            </w:tcBorders>
            <w:shd w:val="clear" w:color="000000" w:fill="FFFFFF"/>
            <w:vAlign w:val="center"/>
          </w:tcPr>
          <w:p w14:paraId="6C68F6FB">
            <w:pPr>
              <w:pStyle w:val="78"/>
            </w:pPr>
            <w:r>
              <w:t>守卫室2</w:t>
            </w:r>
          </w:p>
        </w:tc>
        <w:tc>
          <w:tcPr>
            <w:tcW w:w="666" w:type="pct"/>
            <w:tcBorders>
              <w:top w:val="nil"/>
              <w:left w:val="nil"/>
              <w:bottom w:val="single" w:color="auto" w:sz="4" w:space="0"/>
              <w:right w:val="single" w:color="auto" w:sz="4" w:space="0"/>
            </w:tcBorders>
            <w:shd w:val="clear" w:color="000000" w:fill="FFFFFF"/>
            <w:vAlign w:val="center"/>
          </w:tcPr>
          <w:p w14:paraId="11D7EBE9">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23821373">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5030F965">
            <w:pPr>
              <w:pStyle w:val="78"/>
            </w:pPr>
            <w:r>
              <w:t>1</w:t>
            </w:r>
          </w:p>
        </w:tc>
        <w:tc>
          <w:tcPr>
            <w:tcW w:w="666" w:type="pct"/>
            <w:tcBorders>
              <w:top w:val="nil"/>
              <w:left w:val="nil"/>
              <w:bottom w:val="single" w:color="auto" w:sz="4" w:space="0"/>
              <w:right w:val="single" w:color="auto" w:sz="4" w:space="0"/>
            </w:tcBorders>
            <w:shd w:val="clear" w:color="000000" w:fill="FFFFFF"/>
            <w:vAlign w:val="center"/>
          </w:tcPr>
          <w:p w14:paraId="01DC70A3">
            <w:pPr>
              <w:pStyle w:val="78"/>
            </w:pPr>
            <w:r>
              <w:t>55.66</w:t>
            </w:r>
          </w:p>
        </w:tc>
        <w:tc>
          <w:tcPr>
            <w:tcW w:w="653" w:type="pct"/>
            <w:tcBorders>
              <w:top w:val="nil"/>
              <w:left w:val="nil"/>
              <w:bottom w:val="single" w:color="auto" w:sz="4" w:space="0"/>
              <w:right w:val="single" w:color="auto" w:sz="4" w:space="0"/>
            </w:tcBorders>
            <w:shd w:val="clear" w:color="000000" w:fill="FFFFFF"/>
            <w:vAlign w:val="center"/>
          </w:tcPr>
          <w:p w14:paraId="00D9C1A2">
            <w:pPr>
              <w:pStyle w:val="78"/>
            </w:pPr>
            <w:r>
              <w:t>55.66</w:t>
            </w:r>
          </w:p>
        </w:tc>
        <w:tc>
          <w:tcPr>
            <w:tcW w:w="595" w:type="pct"/>
            <w:tcBorders>
              <w:top w:val="nil"/>
              <w:left w:val="nil"/>
              <w:bottom w:val="single" w:color="auto" w:sz="4" w:space="0"/>
              <w:right w:val="single" w:color="auto" w:sz="4" w:space="0"/>
            </w:tcBorders>
            <w:shd w:val="clear" w:color="000000" w:fill="FFFFFF"/>
            <w:vAlign w:val="center"/>
          </w:tcPr>
          <w:p w14:paraId="3CE621F8">
            <w:pPr>
              <w:pStyle w:val="78"/>
            </w:pPr>
            <w:r>
              <w:t>4.2</w:t>
            </w:r>
          </w:p>
        </w:tc>
      </w:tr>
      <w:tr w14:paraId="2E2AF129">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3FE2DD21">
            <w:pPr>
              <w:pStyle w:val="78"/>
            </w:pPr>
            <w:r>
              <w:t>3</w:t>
            </w:r>
          </w:p>
        </w:tc>
        <w:tc>
          <w:tcPr>
            <w:tcW w:w="1004" w:type="pct"/>
            <w:tcBorders>
              <w:top w:val="nil"/>
              <w:left w:val="nil"/>
              <w:bottom w:val="single" w:color="auto" w:sz="4" w:space="0"/>
              <w:right w:val="single" w:color="auto" w:sz="4" w:space="0"/>
            </w:tcBorders>
            <w:shd w:val="clear" w:color="000000" w:fill="FFFFFF"/>
            <w:vAlign w:val="center"/>
          </w:tcPr>
          <w:p w14:paraId="7D4A0CA8">
            <w:pPr>
              <w:pStyle w:val="78"/>
            </w:pPr>
            <w:r>
              <w:t>区域变电所</w:t>
            </w:r>
          </w:p>
        </w:tc>
        <w:tc>
          <w:tcPr>
            <w:tcW w:w="666" w:type="pct"/>
            <w:tcBorders>
              <w:top w:val="nil"/>
              <w:left w:val="nil"/>
              <w:bottom w:val="single" w:color="auto" w:sz="4" w:space="0"/>
              <w:right w:val="single" w:color="auto" w:sz="4" w:space="0"/>
            </w:tcBorders>
            <w:shd w:val="clear" w:color="000000" w:fill="FFFFFF"/>
            <w:vAlign w:val="center"/>
          </w:tcPr>
          <w:p w14:paraId="1CD488C9">
            <w:pPr>
              <w:pStyle w:val="78"/>
            </w:pPr>
            <w:r>
              <w:t>丁类</w:t>
            </w:r>
          </w:p>
        </w:tc>
        <w:tc>
          <w:tcPr>
            <w:tcW w:w="501" w:type="pct"/>
            <w:tcBorders>
              <w:top w:val="nil"/>
              <w:left w:val="nil"/>
              <w:bottom w:val="single" w:color="auto" w:sz="4" w:space="0"/>
              <w:right w:val="single" w:color="auto" w:sz="4" w:space="0"/>
            </w:tcBorders>
            <w:shd w:val="clear" w:color="000000" w:fill="FFFFFF"/>
            <w:vAlign w:val="center"/>
          </w:tcPr>
          <w:p w14:paraId="20905552">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5C25FD82">
            <w:pPr>
              <w:pStyle w:val="78"/>
            </w:pPr>
            <w:r>
              <w:t>2</w:t>
            </w:r>
          </w:p>
        </w:tc>
        <w:tc>
          <w:tcPr>
            <w:tcW w:w="666" w:type="pct"/>
            <w:tcBorders>
              <w:top w:val="nil"/>
              <w:left w:val="nil"/>
              <w:bottom w:val="single" w:color="auto" w:sz="4" w:space="0"/>
              <w:right w:val="single" w:color="auto" w:sz="4" w:space="0"/>
            </w:tcBorders>
            <w:shd w:val="clear" w:color="000000" w:fill="FFFFFF"/>
            <w:vAlign w:val="center"/>
          </w:tcPr>
          <w:p w14:paraId="387B5272">
            <w:pPr>
              <w:pStyle w:val="78"/>
            </w:pPr>
            <w:r>
              <w:t>1812</w:t>
            </w:r>
          </w:p>
        </w:tc>
        <w:tc>
          <w:tcPr>
            <w:tcW w:w="653" w:type="pct"/>
            <w:tcBorders>
              <w:top w:val="nil"/>
              <w:left w:val="nil"/>
              <w:bottom w:val="single" w:color="auto" w:sz="4" w:space="0"/>
              <w:right w:val="single" w:color="auto" w:sz="4" w:space="0"/>
            </w:tcBorders>
            <w:shd w:val="clear" w:color="000000" w:fill="FFFFFF"/>
            <w:vAlign w:val="center"/>
          </w:tcPr>
          <w:p w14:paraId="6E16C0AB">
            <w:pPr>
              <w:pStyle w:val="78"/>
            </w:pPr>
            <w:r>
              <w:t>3659</w:t>
            </w:r>
          </w:p>
        </w:tc>
        <w:tc>
          <w:tcPr>
            <w:tcW w:w="595" w:type="pct"/>
            <w:tcBorders>
              <w:top w:val="nil"/>
              <w:left w:val="nil"/>
              <w:bottom w:val="single" w:color="auto" w:sz="4" w:space="0"/>
              <w:right w:val="single" w:color="auto" w:sz="4" w:space="0"/>
            </w:tcBorders>
            <w:shd w:val="clear" w:color="000000" w:fill="FFFFFF"/>
            <w:vAlign w:val="center"/>
          </w:tcPr>
          <w:p w14:paraId="79EA577B">
            <w:pPr>
              <w:pStyle w:val="78"/>
            </w:pPr>
            <w:r>
              <w:t>10.3</w:t>
            </w:r>
          </w:p>
        </w:tc>
      </w:tr>
      <w:tr w14:paraId="08094195">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407285E4">
            <w:pPr>
              <w:pStyle w:val="78"/>
            </w:pPr>
            <w:r>
              <w:t>4</w:t>
            </w:r>
          </w:p>
        </w:tc>
        <w:tc>
          <w:tcPr>
            <w:tcW w:w="1004" w:type="pct"/>
            <w:tcBorders>
              <w:top w:val="nil"/>
              <w:left w:val="nil"/>
              <w:bottom w:val="single" w:color="auto" w:sz="4" w:space="0"/>
              <w:right w:val="single" w:color="auto" w:sz="4" w:space="0"/>
            </w:tcBorders>
            <w:shd w:val="clear" w:color="000000" w:fill="FFFFFF"/>
            <w:vAlign w:val="center"/>
          </w:tcPr>
          <w:p w14:paraId="0487470F">
            <w:pPr>
              <w:pStyle w:val="78"/>
            </w:pPr>
            <w:r>
              <w:t>公用工程变电所</w:t>
            </w:r>
          </w:p>
        </w:tc>
        <w:tc>
          <w:tcPr>
            <w:tcW w:w="666" w:type="pct"/>
            <w:tcBorders>
              <w:top w:val="nil"/>
              <w:left w:val="nil"/>
              <w:bottom w:val="single" w:color="auto" w:sz="4" w:space="0"/>
              <w:right w:val="single" w:color="auto" w:sz="4" w:space="0"/>
            </w:tcBorders>
            <w:shd w:val="clear" w:color="000000" w:fill="FFFFFF"/>
            <w:vAlign w:val="center"/>
          </w:tcPr>
          <w:p w14:paraId="54BDCC03">
            <w:pPr>
              <w:pStyle w:val="78"/>
            </w:pPr>
            <w:r>
              <w:t>丁类</w:t>
            </w:r>
          </w:p>
        </w:tc>
        <w:tc>
          <w:tcPr>
            <w:tcW w:w="501" w:type="pct"/>
            <w:tcBorders>
              <w:top w:val="nil"/>
              <w:left w:val="nil"/>
              <w:bottom w:val="single" w:color="auto" w:sz="4" w:space="0"/>
              <w:right w:val="single" w:color="auto" w:sz="4" w:space="0"/>
            </w:tcBorders>
            <w:shd w:val="clear" w:color="000000" w:fill="FFFFFF"/>
            <w:vAlign w:val="center"/>
          </w:tcPr>
          <w:p w14:paraId="10486676">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448F6867">
            <w:pPr>
              <w:pStyle w:val="78"/>
            </w:pPr>
            <w:r>
              <w:t>2</w:t>
            </w:r>
          </w:p>
        </w:tc>
        <w:tc>
          <w:tcPr>
            <w:tcW w:w="666" w:type="pct"/>
            <w:tcBorders>
              <w:top w:val="nil"/>
              <w:left w:val="nil"/>
              <w:bottom w:val="single" w:color="auto" w:sz="4" w:space="0"/>
              <w:right w:val="single" w:color="auto" w:sz="4" w:space="0"/>
            </w:tcBorders>
            <w:shd w:val="clear" w:color="000000" w:fill="FFFFFF"/>
            <w:vAlign w:val="center"/>
          </w:tcPr>
          <w:p w14:paraId="4CA4FF59">
            <w:pPr>
              <w:pStyle w:val="78"/>
            </w:pPr>
            <w:r>
              <w:t>249</w:t>
            </w:r>
          </w:p>
        </w:tc>
        <w:tc>
          <w:tcPr>
            <w:tcW w:w="653" w:type="pct"/>
            <w:tcBorders>
              <w:top w:val="nil"/>
              <w:left w:val="nil"/>
              <w:bottom w:val="single" w:color="auto" w:sz="4" w:space="0"/>
              <w:right w:val="single" w:color="auto" w:sz="4" w:space="0"/>
            </w:tcBorders>
            <w:shd w:val="clear" w:color="000000" w:fill="FFFFFF"/>
            <w:vAlign w:val="center"/>
          </w:tcPr>
          <w:p w14:paraId="70E4E18E">
            <w:pPr>
              <w:pStyle w:val="78"/>
            </w:pPr>
            <w:r>
              <w:t>509</w:t>
            </w:r>
          </w:p>
        </w:tc>
        <w:tc>
          <w:tcPr>
            <w:tcW w:w="595" w:type="pct"/>
            <w:tcBorders>
              <w:top w:val="nil"/>
              <w:left w:val="nil"/>
              <w:bottom w:val="single" w:color="auto" w:sz="4" w:space="0"/>
              <w:right w:val="single" w:color="auto" w:sz="4" w:space="0"/>
            </w:tcBorders>
            <w:shd w:val="clear" w:color="000000" w:fill="FFFFFF"/>
            <w:vAlign w:val="center"/>
          </w:tcPr>
          <w:p w14:paraId="17ADF7D4">
            <w:pPr>
              <w:pStyle w:val="78"/>
            </w:pPr>
            <w:r>
              <w:t>10</w:t>
            </w:r>
          </w:p>
        </w:tc>
      </w:tr>
      <w:tr w14:paraId="502729D1">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6625A221">
            <w:pPr>
              <w:pStyle w:val="78"/>
            </w:pPr>
            <w:r>
              <w:t>5</w:t>
            </w:r>
          </w:p>
        </w:tc>
        <w:tc>
          <w:tcPr>
            <w:tcW w:w="1004" w:type="pct"/>
            <w:tcBorders>
              <w:top w:val="nil"/>
              <w:left w:val="nil"/>
              <w:bottom w:val="single" w:color="auto" w:sz="4" w:space="0"/>
              <w:right w:val="single" w:color="auto" w:sz="4" w:space="0"/>
            </w:tcBorders>
            <w:shd w:val="clear" w:color="000000" w:fill="FFFFFF"/>
            <w:vAlign w:val="center"/>
          </w:tcPr>
          <w:p w14:paraId="4CC9C43F">
            <w:pPr>
              <w:pStyle w:val="78"/>
            </w:pPr>
            <w:r>
              <w:t>中心控制室</w:t>
            </w:r>
          </w:p>
        </w:tc>
        <w:tc>
          <w:tcPr>
            <w:tcW w:w="666" w:type="pct"/>
            <w:tcBorders>
              <w:top w:val="nil"/>
              <w:left w:val="nil"/>
              <w:bottom w:val="single" w:color="auto" w:sz="4" w:space="0"/>
              <w:right w:val="single" w:color="auto" w:sz="4" w:space="0"/>
            </w:tcBorders>
            <w:shd w:val="clear" w:color="000000" w:fill="FFFFFF"/>
            <w:vAlign w:val="center"/>
          </w:tcPr>
          <w:p w14:paraId="737A932E">
            <w:pPr>
              <w:pStyle w:val="78"/>
            </w:pPr>
            <w:r>
              <w:t>丁类</w:t>
            </w:r>
          </w:p>
        </w:tc>
        <w:tc>
          <w:tcPr>
            <w:tcW w:w="501" w:type="pct"/>
            <w:tcBorders>
              <w:top w:val="nil"/>
              <w:left w:val="nil"/>
              <w:bottom w:val="single" w:color="auto" w:sz="4" w:space="0"/>
              <w:right w:val="single" w:color="auto" w:sz="4" w:space="0"/>
            </w:tcBorders>
            <w:shd w:val="clear" w:color="000000" w:fill="FFFFFF"/>
            <w:vAlign w:val="center"/>
          </w:tcPr>
          <w:p w14:paraId="406D33F0">
            <w:pPr>
              <w:pStyle w:val="78"/>
            </w:pPr>
            <w:r>
              <w:t>一</w:t>
            </w:r>
          </w:p>
        </w:tc>
        <w:tc>
          <w:tcPr>
            <w:tcW w:w="584" w:type="pct"/>
            <w:tcBorders>
              <w:top w:val="nil"/>
              <w:left w:val="nil"/>
              <w:bottom w:val="single" w:color="auto" w:sz="4" w:space="0"/>
              <w:right w:val="single" w:color="auto" w:sz="4" w:space="0"/>
            </w:tcBorders>
            <w:shd w:val="clear" w:color="000000" w:fill="FFFFFF"/>
            <w:vAlign w:val="center"/>
          </w:tcPr>
          <w:p w14:paraId="386E4B24">
            <w:pPr>
              <w:pStyle w:val="78"/>
            </w:pPr>
            <w:r>
              <w:t>1</w:t>
            </w:r>
          </w:p>
        </w:tc>
        <w:tc>
          <w:tcPr>
            <w:tcW w:w="666" w:type="pct"/>
            <w:tcBorders>
              <w:top w:val="nil"/>
              <w:left w:val="nil"/>
              <w:bottom w:val="single" w:color="auto" w:sz="4" w:space="0"/>
              <w:right w:val="single" w:color="auto" w:sz="4" w:space="0"/>
            </w:tcBorders>
            <w:shd w:val="clear" w:color="000000" w:fill="FFFFFF"/>
            <w:vAlign w:val="center"/>
          </w:tcPr>
          <w:p w14:paraId="7A456C75">
            <w:pPr>
              <w:pStyle w:val="78"/>
            </w:pPr>
            <w:r>
              <w:t>1168.49</w:t>
            </w:r>
          </w:p>
        </w:tc>
        <w:tc>
          <w:tcPr>
            <w:tcW w:w="653" w:type="pct"/>
            <w:tcBorders>
              <w:top w:val="nil"/>
              <w:left w:val="nil"/>
              <w:bottom w:val="single" w:color="auto" w:sz="4" w:space="0"/>
              <w:right w:val="single" w:color="auto" w:sz="4" w:space="0"/>
            </w:tcBorders>
            <w:shd w:val="clear" w:color="000000" w:fill="FFFFFF"/>
            <w:vAlign w:val="center"/>
          </w:tcPr>
          <w:p w14:paraId="545EB02D">
            <w:pPr>
              <w:pStyle w:val="78"/>
            </w:pPr>
            <w:r>
              <w:t>1168.49</w:t>
            </w:r>
          </w:p>
        </w:tc>
        <w:tc>
          <w:tcPr>
            <w:tcW w:w="595" w:type="pct"/>
            <w:tcBorders>
              <w:top w:val="nil"/>
              <w:left w:val="nil"/>
              <w:bottom w:val="single" w:color="auto" w:sz="4" w:space="0"/>
              <w:right w:val="single" w:color="auto" w:sz="4" w:space="0"/>
            </w:tcBorders>
            <w:shd w:val="clear" w:color="000000" w:fill="FFFFFF"/>
            <w:vAlign w:val="center"/>
          </w:tcPr>
          <w:p w14:paraId="4F9988EF">
            <w:pPr>
              <w:pStyle w:val="78"/>
            </w:pPr>
            <w:r>
              <w:t>7.5</w:t>
            </w:r>
          </w:p>
        </w:tc>
      </w:tr>
      <w:tr w14:paraId="3DF15AA9">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097C0D79">
            <w:pPr>
              <w:pStyle w:val="78"/>
            </w:pPr>
            <w:r>
              <w:t>6</w:t>
            </w:r>
          </w:p>
        </w:tc>
        <w:tc>
          <w:tcPr>
            <w:tcW w:w="1004" w:type="pct"/>
            <w:tcBorders>
              <w:top w:val="nil"/>
              <w:left w:val="nil"/>
              <w:bottom w:val="single" w:color="auto" w:sz="4" w:space="0"/>
              <w:right w:val="single" w:color="auto" w:sz="4" w:space="0"/>
            </w:tcBorders>
            <w:shd w:val="clear" w:color="000000" w:fill="FFFFFF"/>
            <w:vAlign w:val="center"/>
          </w:tcPr>
          <w:p w14:paraId="771D8690">
            <w:pPr>
              <w:pStyle w:val="78"/>
            </w:pPr>
            <w:r>
              <w:t>办公楼</w:t>
            </w:r>
          </w:p>
        </w:tc>
        <w:tc>
          <w:tcPr>
            <w:tcW w:w="666" w:type="pct"/>
            <w:tcBorders>
              <w:top w:val="nil"/>
              <w:left w:val="nil"/>
              <w:bottom w:val="single" w:color="auto" w:sz="4" w:space="0"/>
              <w:right w:val="single" w:color="auto" w:sz="4" w:space="0"/>
            </w:tcBorders>
            <w:shd w:val="clear" w:color="000000" w:fill="FFFFFF"/>
            <w:vAlign w:val="center"/>
          </w:tcPr>
          <w:p w14:paraId="42C03793">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6320E694">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003AB65A">
            <w:pPr>
              <w:pStyle w:val="78"/>
            </w:pPr>
            <w:r>
              <w:t>5</w:t>
            </w:r>
          </w:p>
        </w:tc>
        <w:tc>
          <w:tcPr>
            <w:tcW w:w="666" w:type="pct"/>
            <w:tcBorders>
              <w:top w:val="nil"/>
              <w:left w:val="nil"/>
              <w:bottom w:val="single" w:color="auto" w:sz="4" w:space="0"/>
              <w:right w:val="single" w:color="auto" w:sz="4" w:space="0"/>
            </w:tcBorders>
            <w:shd w:val="clear" w:color="000000" w:fill="FFFFFF"/>
            <w:vAlign w:val="center"/>
          </w:tcPr>
          <w:p w14:paraId="67725477">
            <w:pPr>
              <w:pStyle w:val="78"/>
            </w:pPr>
            <w:r>
              <w:t>1430</w:t>
            </w:r>
          </w:p>
        </w:tc>
        <w:tc>
          <w:tcPr>
            <w:tcW w:w="653" w:type="pct"/>
            <w:tcBorders>
              <w:top w:val="nil"/>
              <w:left w:val="nil"/>
              <w:bottom w:val="single" w:color="auto" w:sz="4" w:space="0"/>
              <w:right w:val="single" w:color="auto" w:sz="4" w:space="0"/>
            </w:tcBorders>
            <w:shd w:val="clear" w:color="000000" w:fill="FFFFFF"/>
            <w:vAlign w:val="center"/>
          </w:tcPr>
          <w:p w14:paraId="281F34CC">
            <w:pPr>
              <w:pStyle w:val="78"/>
            </w:pPr>
            <w:r>
              <w:t>5800</w:t>
            </w:r>
          </w:p>
        </w:tc>
        <w:tc>
          <w:tcPr>
            <w:tcW w:w="595" w:type="pct"/>
            <w:tcBorders>
              <w:top w:val="nil"/>
              <w:left w:val="nil"/>
              <w:bottom w:val="single" w:color="auto" w:sz="4" w:space="0"/>
              <w:right w:val="single" w:color="auto" w:sz="4" w:space="0"/>
            </w:tcBorders>
            <w:shd w:val="clear" w:color="000000" w:fill="FFFFFF"/>
            <w:vAlign w:val="center"/>
          </w:tcPr>
          <w:p w14:paraId="5039369F">
            <w:pPr>
              <w:pStyle w:val="78"/>
            </w:pPr>
            <w:r>
              <w:t>26.1</w:t>
            </w:r>
          </w:p>
        </w:tc>
      </w:tr>
      <w:tr w14:paraId="0CB19A9D">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6F2FEA9F">
            <w:pPr>
              <w:pStyle w:val="78"/>
            </w:pPr>
            <w:r>
              <w:t>7</w:t>
            </w:r>
          </w:p>
        </w:tc>
        <w:tc>
          <w:tcPr>
            <w:tcW w:w="1004" w:type="pct"/>
            <w:tcBorders>
              <w:top w:val="nil"/>
              <w:left w:val="nil"/>
              <w:bottom w:val="single" w:color="auto" w:sz="4" w:space="0"/>
              <w:right w:val="single" w:color="auto" w:sz="4" w:space="0"/>
            </w:tcBorders>
            <w:shd w:val="clear" w:color="000000" w:fill="FFFFFF"/>
            <w:vAlign w:val="center"/>
          </w:tcPr>
          <w:p w14:paraId="1C48BED0">
            <w:pPr>
              <w:pStyle w:val="78"/>
            </w:pPr>
            <w:r>
              <w:t>分析化验室</w:t>
            </w:r>
          </w:p>
        </w:tc>
        <w:tc>
          <w:tcPr>
            <w:tcW w:w="666" w:type="pct"/>
            <w:tcBorders>
              <w:top w:val="nil"/>
              <w:left w:val="nil"/>
              <w:bottom w:val="single" w:color="auto" w:sz="4" w:space="0"/>
              <w:right w:val="single" w:color="auto" w:sz="4" w:space="0"/>
            </w:tcBorders>
            <w:shd w:val="clear" w:color="000000" w:fill="FFFFFF"/>
            <w:vAlign w:val="center"/>
          </w:tcPr>
          <w:p w14:paraId="2DCCFE84">
            <w:pPr>
              <w:pStyle w:val="78"/>
            </w:pPr>
            <w:r>
              <w:t>丙类</w:t>
            </w:r>
          </w:p>
        </w:tc>
        <w:tc>
          <w:tcPr>
            <w:tcW w:w="501" w:type="pct"/>
            <w:tcBorders>
              <w:top w:val="nil"/>
              <w:left w:val="nil"/>
              <w:bottom w:val="single" w:color="auto" w:sz="4" w:space="0"/>
              <w:right w:val="single" w:color="auto" w:sz="4" w:space="0"/>
            </w:tcBorders>
            <w:shd w:val="clear" w:color="000000" w:fill="FFFFFF"/>
            <w:vAlign w:val="center"/>
          </w:tcPr>
          <w:p w14:paraId="2C4CD656">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1AC7668E">
            <w:pPr>
              <w:pStyle w:val="78"/>
            </w:pPr>
            <w:r>
              <w:t>1</w:t>
            </w:r>
          </w:p>
        </w:tc>
        <w:tc>
          <w:tcPr>
            <w:tcW w:w="666" w:type="pct"/>
            <w:tcBorders>
              <w:top w:val="nil"/>
              <w:left w:val="nil"/>
              <w:bottom w:val="single" w:color="auto" w:sz="4" w:space="0"/>
              <w:right w:val="single" w:color="auto" w:sz="4" w:space="0"/>
            </w:tcBorders>
            <w:shd w:val="clear" w:color="000000" w:fill="FFFFFF"/>
            <w:vAlign w:val="center"/>
          </w:tcPr>
          <w:p w14:paraId="6EB609BC">
            <w:pPr>
              <w:pStyle w:val="78"/>
            </w:pPr>
            <w:r>
              <w:t>863.84</w:t>
            </w:r>
          </w:p>
        </w:tc>
        <w:tc>
          <w:tcPr>
            <w:tcW w:w="653" w:type="pct"/>
            <w:tcBorders>
              <w:top w:val="nil"/>
              <w:left w:val="nil"/>
              <w:bottom w:val="single" w:color="auto" w:sz="4" w:space="0"/>
              <w:right w:val="single" w:color="auto" w:sz="4" w:space="0"/>
            </w:tcBorders>
            <w:shd w:val="clear" w:color="000000" w:fill="FFFFFF"/>
            <w:vAlign w:val="center"/>
          </w:tcPr>
          <w:p w14:paraId="58A05B52">
            <w:pPr>
              <w:pStyle w:val="78"/>
            </w:pPr>
            <w:r>
              <w:t>863.84</w:t>
            </w:r>
          </w:p>
        </w:tc>
        <w:tc>
          <w:tcPr>
            <w:tcW w:w="595" w:type="pct"/>
            <w:tcBorders>
              <w:top w:val="nil"/>
              <w:left w:val="nil"/>
              <w:bottom w:val="single" w:color="auto" w:sz="4" w:space="0"/>
              <w:right w:val="single" w:color="auto" w:sz="4" w:space="0"/>
            </w:tcBorders>
            <w:shd w:val="clear" w:color="000000" w:fill="FFFFFF"/>
            <w:vAlign w:val="center"/>
          </w:tcPr>
          <w:p w14:paraId="1ADC3388">
            <w:pPr>
              <w:pStyle w:val="78"/>
            </w:pPr>
            <w:r>
              <w:t>6.6</w:t>
            </w:r>
          </w:p>
        </w:tc>
      </w:tr>
      <w:tr w14:paraId="62030DF2">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148520FA">
            <w:pPr>
              <w:pStyle w:val="78"/>
            </w:pPr>
            <w:r>
              <w:t>8</w:t>
            </w:r>
          </w:p>
        </w:tc>
        <w:tc>
          <w:tcPr>
            <w:tcW w:w="1004" w:type="pct"/>
            <w:tcBorders>
              <w:top w:val="nil"/>
              <w:left w:val="nil"/>
              <w:bottom w:val="single" w:color="auto" w:sz="4" w:space="0"/>
              <w:right w:val="single" w:color="auto" w:sz="4" w:space="0"/>
            </w:tcBorders>
            <w:shd w:val="clear" w:color="000000" w:fill="FFFFFF"/>
            <w:vAlign w:val="center"/>
          </w:tcPr>
          <w:p w14:paraId="524EC32D">
            <w:pPr>
              <w:pStyle w:val="78"/>
            </w:pPr>
            <w:r>
              <w:t>现场机柜室</w:t>
            </w:r>
          </w:p>
        </w:tc>
        <w:tc>
          <w:tcPr>
            <w:tcW w:w="666" w:type="pct"/>
            <w:tcBorders>
              <w:top w:val="nil"/>
              <w:left w:val="nil"/>
              <w:bottom w:val="single" w:color="auto" w:sz="4" w:space="0"/>
              <w:right w:val="single" w:color="auto" w:sz="4" w:space="0"/>
            </w:tcBorders>
            <w:shd w:val="clear" w:color="000000" w:fill="FFFFFF"/>
            <w:vAlign w:val="center"/>
          </w:tcPr>
          <w:p w14:paraId="32A28391">
            <w:pPr>
              <w:pStyle w:val="78"/>
            </w:pPr>
            <w:r>
              <w:t>丁类</w:t>
            </w:r>
          </w:p>
        </w:tc>
        <w:tc>
          <w:tcPr>
            <w:tcW w:w="501" w:type="pct"/>
            <w:tcBorders>
              <w:top w:val="nil"/>
              <w:left w:val="nil"/>
              <w:bottom w:val="single" w:color="auto" w:sz="4" w:space="0"/>
              <w:right w:val="single" w:color="auto" w:sz="4" w:space="0"/>
            </w:tcBorders>
            <w:shd w:val="clear" w:color="000000" w:fill="FFFFFF"/>
            <w:vAlign w:val="center"/>
          </w:tcPr>
          <w:p w14:paraId="1F9E32EF">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1314CBD3">
            <w:pPr>
              <w:pStyle w:val="78"/>
            </w:pPr>
            <w:r>
              <w:t>1</w:t>
            </w:r>
          </w:p>
        </w:tc>
        <w:tc>
          <w:tcPr>
            <w:tcW w:w="666" w:type="pct"/>
            <w:tcBorders>
              <w:top w:val="nil"/>
              <w:left w:val="nil"/>
              <w:bottom w:val="single" w:color="auto" w:sz="4" w:space="0"/>
              <w:right w:val="single" w:color="auto" w:sz="4" w:space="0"/>
            </w:tcBorders>
            <w:shd w:val="clear" w:color="000000" w:fill="FFFFFF"/>
            <w:vAlign w:val="center"/>
          </w:tcPr>
          <w:p w14:paraId="1FDC1EB1">
            <w:pPr>
              <w:pStyle w:val="78"/>
            </w:pPr>
            <w:r>
              <w:t>231</w:t>
            </w:r>
          </w:p>
        </w:tc>
        <w:tc>
          <w:tcPr>
            <w:tcW w:w="653" w:type="pct"/>
            <w:tcBorders>
              <w:top w:val="nil"/>
              <w:left w:val="nil"/>
              <w:bottom w:val="single" w:color="auto" w:sz="4" w:space="0"/>
              <w:right w:val="single" w:color="auto" w:sz="4" w:space="0"/>
            </w:tcBorders>
            <w:shd w:val="clear" w:color="000000" w:fill="FFFFFF"/>
            <w:vAlign w:val="center"/>
          </w:tcPr>
          <w:p w14:paraId="5A923940">
            <w:pPr>
              <w:pStyle w:val="78"/>
            </w:pPr>
            <w:r>
              <w:t>231</w:t>
            </w:r>
          </w:p>
        </w:tc>
        <w:tc>
          <w:tcPr>
            <w:tcW w:w="595" w:type="pct"/>
            <w:tcBorders>
              <w:top w:val="nil"/>
              <w:left w:val="nil"/>
              <w:bottom w:val="single" w:color="auto" w:sz="4" w:space="0"/>
              <w:right w:val="single" w:color="auto" w:sz="4" w:space="0"/>
            </w:tcBorders>
            <w:shd w:val="clear" w:color="000000" w:fill="FFFFFF"/>
            <w:vAlign w:val="center"/>
          </w:tcPr>
          <w:p w14:paraId="36AB3AFF">
            <w:pPr>
              <w:pStyle w:val="78"/>
            </w:pPr>
            <w:r>
              <w:t>6.2</w:t>
            </w:r>
          </w:p>
        </w:tc>
      </w:tr>
      <w:tr w14:paraId="059BBFFD">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2A3AD76E">
            <w:pPr>
              <w:pStyle w:val="78"/>
            </w:pPr>
            <w:r>
              <w:t>9</w:t>
            </w:r>
          </w:p>
        </w:tc>
        <w:tc>
          <w:tcPr>
            <w:tcW w:w="1004" w:type="pct"/>
            <w:tcBorders>
              <w:top w:val="nil"/>
              <w:left w:val="nil"/>
              <w:bottom w:val="single" w:color="auto" w:sz="4" w:space="0"/>
              <w:right w:val="single" w:color="auto" w:sz="4" w:space="0"/>
            </w:tcBorders>
            <w:shd w:val="clear" w:color="000000" w:fill="FFFFFF"/>
            <w:vAlign w:val="center"/>
          </w:tcPr>
          <w:p w14:paraId="2E675A9F">
            <w:pPr>
              <w:pStyle w:val="78"/>
            </w:pPr>
            <w:r>
              <w:t>消防巡检设备间</w:t>
            </w:r>
          </w:p>
        </w:tc>
        <w:tc>
          <w:tcPr>
            <w:tcW w:w="666" w:type="pct"/>
            <w:tcBorders>
              <w:top w:val="nil"/>
              <w:left w:val="nil"/>
              <w:bottom w:val="single" w:color="auto" w:sz="4" w:space="0"/>
              <w:right w:val="single" w:color="auto" w:sz="4" w:space="0"/>
            </w:tcBorders>
            <w:shd w:val="clear" w:color="000000" w:fill="FFFFFF"/>
            <w:vAlign w:val="center"/>
          </w:tcPr>
          <w:p w14:paraId="4E0C606D">
            <w:pPr>
              <w:pStyle w:val="78"/>
            </w:pPr>
            <w:r>
              <w:t>丁类</w:t>
            </w:r>
          </w:p>
        </w:tc>
        <w:tc>
          <w:tcPr>
            <w:tcW w:w="501" w:type="pct"/>
            <w:tcBorders>
              <w:top w:val="nil"/>
              <w:left w:val="nil"/>
              <w:bottom w:val="single" w:color="auto" w:sz="4" w:space="0"/>
              <w:right w:val="single" w:color="auto" w:sz="4" w:space="0"/>
            </w:tcBorders>
            <w:shd w:val="clear" w:color="000000" w:fill="FFFFFF"/>
            <w:vAlign w:val="center"/>
          </w:tcPr>
          <w:p w14:paraId="4BDC0732">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530CDB96">
            <w:pPr>
              <w:pStyle w:val="78"/>
            </w:pPr>
            <w:r>
              <w:t>1</w:t>
            </w:r>
          </w:p>
        </w:tc>
        <w:tc>
          <w:tcPr>
            <w:tcW w:w="666" w:type="pct"/>
            <w:tcBorders>
              <w:top w:val="nil"/>
              <w:left w:val="nil"/>
              <w:bottom w:val="single" w:color="auto" w:sz="4" w:space="0"/>
              <w:right w:val="single" w:color="auto" w:sz="4" w:space="0"/>
            </w:tcBorders>
            <w:shd w:val="clear" w:color="000000" w:fill="FFFFFF"/>
            <w:vAlign w:val="center"/>
          </w:tcPr>
          <w:p w14:paraId="2F50DBD7">
            <w:pPr>
              <w:pStyle w:val="78"/>
            </w:pPr>
            <w:r>
              <w:t>104</w:t>
            </w:r>
          </w:p>
        </w:tc>
        <w:tc>
          <w:tcPr>
            <w:tcW w:w="653" w:type="pct"/>
            <w:tcBorders>
              <w:top w:val="nil"/>
              <w:left w:val="nil"/>
              <w:bottom w:val="single" w:color="auto" w:sz="4" w:space="0"/>
              <w:right w:val="single" w:color="auto" w:sz="4" w:space="0"/>
            </w:tcBorders>
            <w:shd w:val="clear" w:color="000000" w:fill="FFFFFF"/>
            <w:vAlign w:val="center"/>
          </w:tcPr>
          <w:p w14:paraId="4C0E927C">
            <w:pPr>
              <w:pStyle w:val="78"/>
            </w:pPr>
            <w:r>
              <w:t>104</w:t>
            </w:r>
          </w:p>
        </w:tc>
        <w:tc>
          <w:tcPr>
            <w:tcW w:w="595" w:type="pct"/>
            <w:tcBorders>
              <w:top w:val="nil"/>
              <w:left w:val="nil"/>
              <w:bottom w:val="single" w:color="auto" w:sz="4" w:space="0"/>
              <w:right w:val="single" w:color="auto" w:sz="4" w:space="0"/>
            </w:tcBorders>
            <w:shd w:val="clear" w:color="000000" w:fill="FFFFFF"/>
            <w:vAlign w:val="center"/>
          </w:tcPr>
          <w:p w14:paraId="66166E8B">
            <w:pPr>
              <w:pStyle w:val="78"/>
            </w:pPr>
            <w:r>
              <w:t>6.3</w:t>
            </w:r>
          </w:p>
        </w:tc>
      </w:tr>
      <w:tr w14:paraId="7AB73E09">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4320F931">
            <w:pPr>
              <w:pStyle w:val="78"/>
            </w:pPr>
            <w:r>
              <w:t>10</w:t>
            </w:r>
          </w:p>
        </w:tc>
        <w:tc>
          <w:tcPr>
            <w:tcW w:w="1004" w:type="pct"/>
            <w:tcBorders>
              <w:top w:val="nil"/>
              <w:left w:val="nil"/>
              <w:bottom w:val="single" w:color="auto" w:sz="4" w:space="0"/>
              <w:right w:val="single" w:color="auto" w:sz="4" w:space="0"/>
            </w:tcBorders>
            <w:shd w:val="clear" w:color="000000" w:fill="FFFFFF"/>
            <w:vAlign w:val="center"/>
          </w:tcPr>
          <w:p w14:paraId="6304B40D">
            <w:pPr>
              <w:pStyle w:val="78"/>
            </w:pPr>
            <w:r>
              <w:t>汽轮机厂房</w:t>
            </w:r>
          </w:p>
        </w:tc>
        <w:tc>
          <w:tcPr>
            <w:tcW w:w="666" w:type="pct"/>
            <w:tcBorders>
              <w:top w:val="nil"/>
              <w:left w:val="nil"/>
              <w:bottom w:val="single" w:color="auto" w:sz="4" w:space="0"/>
              <w:right w:val="single" w:color="auto" w:sz="4" w:space="0"/>
            </w:tcBorders>
            <w:shd w:val="clear" w:color="000000" w:fill="FFFFFF"/>
            <w:vAlign w:val="center"/>
          </w:tcPr>
          <w:p w14:paraId="467C3C1A">
            <w:pPr>
              <w:pStyle w:val="78"/>
            </w:pPr>
            <w:r>
              <w:t>丁类</w:t>
            </w:r>
          </w:p>
        </w:tc>
        <w:tc>
          <w:tcPr>
            <w:tcW w:w="501" w:type="pct"/>
            <w:tcBorders>
              <w:top w:val="nil"/>
              <w:left w:val="nil"/>
              <w:bottom w:val="single" w:color="auto" w:sz="4" w:space="0"/>
              <w:right w:val="single" w:color="auto" w:sz="4" w:space="0"/>
            </w:tcBorders>
            <w:shd w:val="clear" w:color="000000" w:fill="FFFFFF"/>
            <w:vAlign w:val="center"/>
          </w:tcPr>
          <w:p w14:paraId="271A8212">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3EFCB119">
            <w:pPr>
              <w:pStyle w:val="78"/>
            </w:pPr>
            <w:r>
              <w:t>1</w:t>
            </w:r>
          </w:p>
        </w:tc>
        <w:tc>
          <w:tcPr>
            <w:tcW w:w="666" w:type="pct"/>
            <w:tcBorders>
              <w:top w:val="nil"/>
              <w:left w:val="nil"/>
              <w:bottom w:val="single" w:color="auto" w:sz="4" w:space="0"/>
              <w:right w:val="single" w:color="auto" w:sz="4" w:space="0"/>
            </w:tcBorders>
            <w:shd w:val="clear" w:color="000000" w:fill="FFFFFF"/>
            <w:vAlign w:val="center"/>
          </w:tcPr>
          <w:p w14:paraId="7F22EDA3">
            <w:pPr>
              <w:pStyle w:val="78"/>
            </w:pPr>
            <w:r>
              <w:t>310</w:t>
            </w:r>
          </w:p>
        </w:tc>
        <w:tc>
          <w:tcPr>
            <w:tcW w:w="653" w:type="pct"/>
            <w:tcBorders>
              <w:top w:val="nil"/>
              <w:left w:val="nil"/>
              <w:bottom w:val="single" w:color="auto" w:sz="4" w:space="0"/>
              <w:right w:val="single" w:color="auto" w:sz="4" w:space="0"/>
            </w:tcBorders>
            <w:shd w:val="clear" w:color="000000" w:fill="FFFFFF"/>
            <w:vAlign w:val="center"/>
          </w:tcPr>
          <w:p w14:paraId="7A037315">
            <w:pPr>
              <w:pStyle w:val="78"/>
            </w:pPr>
            <w:r>
              <w:t>310</w:t>
            </w:r>
          </w:p>
        </w:tc>
        <w:tc>
          <w:tcPr>
            <w:tcW w:w="595" w:type="pct"/>
            <w:tcBorders>
              <w:top w:val="nil"/>
              <w:left w:val="nil"/>
              <w:bottom w:val="single" w:color="auto" w:sz="4" w:space="0"/>
              <w:right w:val="single" w:color="auto" w:sz="4" w:space="0"/>
            </w:tcBorders>
            <w:shd w:val="clear" w:color="000000" w:fill="FFFFFF"/>
            <w:vAlign w:val="center"/>
          </w:tcPr>
          <w:p w14:paraId="7162E9FB">
            <w:pPr>
              <w:pStyle w:val="78"/>
            </w:pPr>
            <w:r>
              <w:t>22</w:t>
            </w:r>
          </w:p>
        </w:tc>
      </w:tr>
      <w:tr w14:paraId="3F537150">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62D3E936">
            <w:pPr>
              <w:pStyle w:val="78"/>
            </w:pPr>
            <w:r>
              <w:t>11</w:t>
            </w:r>
          </w:p>
        </w:tc>
        <w:tc>
          <w:tcPr>
            <w:tcW w:w="1004" w:type="pct"/>
            <w:tcBorders>
              <w:top w:val="nil"/>
              <w:left w:val="nil"/>
              <w:bottom w:val="single" w:color="auto" w:sz="4" w:space="0"/>
              <w:right w:val="single" w:color="auto" w:sz="4" w:space="0"/>
            </w:tcBorders>
            <w:shd w:val="clear" w:color="000000" w:fill="FFFFFF"/>
            <w:vAlign w:val="center"/>
          </w:tcPr>
          <w:p w14:paraId="76A6A5E3">
            <w:pPr>
              <w:pStyle w:val="78"/>
            </w:pPr>
            <w:r>
              <w:t>110kV东粤化学变电站</w:t>
            </w:r>
          </w:p>
        </w:tc>
        <w:tc>
          <w:tcPr>
            <w:tcW w:w="666" w:type="pct"/>
            <w:tcBorders>
              <w:top w:val="nil"/>
              <w:left w:val="nil"/>
              <w:bottom w:val="single" w:color="auto" w:sz="4" w:space="0"/>
              <w:right w:val="single" w:color="auto" w:sz="4" w:space="0"/>
            </w:tcBorders>
            <w:shd w:val="clear" w:color="000000" w:fill="FFFFFF"/>
            <w:vAlign w:val="center"/>
          </w:tcPr>
          <w:p w14:paraId="7236FD88">
            <w:pPr>
              <w:pStyle w:val="78"/>
            </w:pPr>
            <w:r>
              <w:t>丙类</w:t>
            </w:r>
          </w:p>
        </w:tc>
        <w:tc>
          <w:tcPr>
            <w:tcW w:w="501" w:type="pct"/>
            <w:tcBorders>
              <w:top w:val="nil"/>
              <w:left w:val="nil"/>
              <w:bottom w:val="single" w:color="auto" w:sz="4" w:space="0"/>
              <w:right w:val="single" w:color="auto" w:sz="4" w:space="0"/>
            </w:tcBorders>
            <w:shd w:val="clear" w:color="000000" w:fill="FFFFFF"/>
            <w:vAlign w:val="center"/>
          </w:tcPr>
          <w:p w14:paraId="42A94537">
            <w:pPr>
              <w:pStyle w:val="78"/>
            </w:pPr>
            <w:r>
              <w:t>二</w:t>
            </w:r>
          </w:p>
        </w:tc>
        <w:tc>
          <w:tcPr>
            <w:tcW w:w="584" w:type="pct"/>
            <w:tcBorders>
              <w:top w:val="nil"/>
              <w:left w:val="nil"/>
              <w:bottom w:val="single" w:color="auto" w:sz="4" w:space="0"/>
              <w:right w:val="single" w:color="auto" w:sz="4" w:space="0"/>
            </w:tcBorders>
            <w:shd w:val="clear" w:color="000000" w:fill="FFFFFF"/>
            <w:vAlign w:val="center"/>
          </w:tcPr>
          <w:p w14:paraId="72D11DBA">
            <w:pPr>
              <w:pStyle w:val="78"/>
            </w:pPr>
            <w:r>
              <w:t>3</w:t>
            </w:r>
          </w:p>
        </w:tc>
        <w:tc>
          <w:tcPr>
            <w:tcW w:w="666" w:type="pct"/>
            <w:tcBorders>
              <w:top w:val="nil"/>
              <w:left w:val="nil"/>
              <w:bottom w:val="single" w:color="auto" w:sz="4" w:space="0"/>
              <w:right w:val="single" w:color="auto" w:sz="4" w:space="0"/>
            </w:tcBorders>
            <w:shd w:val="clear" w:color="000000" w:fill="FFFFFF"/>
            <w:vAlign w:val="center"/>
          </w:tcPr>
          <w:p w14:paraId="5B6E651A">
            <w:pPr>
              <w:pStyle w:val="78"/>
            </w:pPr>
            <w:r>
              <w:t>941.94</w:t>
            </w:r>
          </w:p>
        </w:tc>
        <w:tc>
          <w:tcPr>
            <w:tcW w:w="653" w:type="pct"/>
            <w:tcBorders>
              <w:top w:val="nil"/>
              <w:left w:val="nil"/>
              <w:bottom w:val="single" w:color="auto" w:sz="4" w:space="0"/>
              <w:right w:val="single" w:color="auto" w:sz="4" w:space="0"/>
            </w:tcBorders>
            <w:shd w:val="clear" w:color="000000" w:fill="FFFFFF"/>
            <w:vAlign w:val="center"/>
          </w:tcPr>
          <w:p w14:paraId="35296C17">
            <w:pPr>
              <w:pStyle w:val="78"/>
            </w:pPr>
            <w:r>
              <w:t>3130.04</w:t>
            </w:r>
          </w:p>
        </w:tc>
        <w:tc>
          <w:tcPr>
            <w:tcW w:w="595" w:type="pct"/>
            <w:tcBorders>
              <w:top w:val="nil"/>
              <w:left w:val="nil"/>
              <w:bottom w:val="single" w:color="auto" w:sz="4" w:space="0"/>
              <w:right w:val="single" w:color="auto" w:sz="4" w:space="0"/>
            </w:tcBorders>
            <w:shd w:val="clear" w:color="000000" w:fill="FFFFFF"/>
            <w:vAlign w:val="center"/>
          </w:tcPr>
          <w:p w14:paraId="11247970">
            <w:pPr>
              <w:pStyle w:val="78"/>
            </w:pPr>
            <w:r>
              <w:t>19.3</w:t>
            </w:r>
          </w:p>
        </w:tc>
      </w:tr>
      <w:tr w14:paraId="7E27DF49">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7F2EE9AB">
            <w:pPr>
              <w:pStyle w:val="78"/>
            </w:pPr>
            <w:r>
              <w:t>12</w:t>
            </w:r>
          </w:p>
        </w:tc>
        <w:tc>
          <w:tcPr>
            <w:tcW w:w="1004" w:type="pct"/>
            <w:tcBorders>
              <w:top w:val="nil"/>
              <w:left w:val="nil"/>
              <w:bottom w:val="single" w:color="auto" w:sz="4" w:space="0"/>
              <w:right w:val="single" w:color="auto" w:sz="4" w:space="0"/>
            </w:tcBorders>
            <w:shd w:val="clear" w:color="000000" w:fill="FFFFFF"/>
            <w:vAlign w:val="center"/>
          </w:tcPr>
          <w:p w14:paraId="45C73CA2">
            <w:pPr>
              <w:pStyle w:val="78"/>
            </w:pPr>
            <w:r>
              <w:t>原料处理单元（含危废库）</w:t>
            </w:r>
          </w:p>
        </w:tc>
        <w:tc>
          <w:tcPr>
            <w:tcW w:w="666" w:type="pct"/>
            <w:tcBorders>
              <w:top w:val="nil"/>
              <w:left w:val="nil"/>
              <w:bottom w:val="single" w:color="auto" w:sz="4" w:space="0"/>
              <w:right w:val="single" w:color="auto" w:sz="4" w:space="0"/>
            </w:tcBorders>
            <w:shd w:val="clear" w:color="000000" w:fill="FFFFFF"/>
            <w:vAlign w:val="center"/>
          </w:tcPr>
          <w:p w14:paraId="076DE1E8">
            <w:pPr>
              <w:pStyle w:val="78"/>
            </w:pPr>
            <w:r>
              <w:t>丙类</w:t>
            </w:r>
          </w:p>
        </w:tc>
        <w:tc>
          <w:tcPr>
            <w:tcW w:w="501" w:type="pct"/>
            <w:tcBorders>
              <w:top w:val="nil"/>
              <w:left w:val="nil"/>
              <w:bottom w:val="single" w:color="auto" w:sz="4" w:space="0"/>
              <w:right w:val="single" w:color="auto" w:sz="4" w:space="0"/>
            </w:tcBorders>
            <w:shd w:val="clear" w:color="000000" w:fill="FFFFFF"/>
            <w:vAlign w:val="center"/>
          </w:tcPr>
          <w:p w14:paraId="1D802699">
            <w:pPr>
              <w:pStyle w:val="78"/>
            </w:pPr>
            <w:r>
              <w:t>一、二</w:t>
            </w:r>
          </w:p>
        </w:tc>
        <w:tc>
          <w:tcPr>
            <w:tcW w:w="584" w:type="pct"/>
            <w:tcBorders>
              <w:top w:val="nil"/>
              <w:left w:val="nil"/>
              <w:bottom w:val="single" w:color="auto" w:sz="4" w:space="0"/>
              <w:right w:val="single" w:color="auto" w:sz="4" w:space="0"/>
            </w:tcBorders>
            <w:shd w:val="clear" w:color="000000" w:fill="FFFFFF"/>
            <w:vAlign w:val="center"/>
          </w:tcPr>
          <w:p w14:paraId="58558097">
            <w:pPr>
              <w:pStyle w:val="78"/>
            </w:pPr>
            <w:r>
              <w:t>1，局部2</w:t>
            </w:r>
          </w:p>
        </w:tc>
        <w:tc>
          <w:tcPr>
            <w:tcW w:w="666" w:type="pct"/>
            <w:tcBorders>
              <w:top w:val="nil"/>
              <w:left w:val="nil"/>
              <w:bottom w:val="single" w:color="auto" w:sz="4" w:space="0"/>
              <w:right w:val="single" w:color="auto" w:sz="4" w:space="0"/>
            </w:tcBorders>
            <w:shd w:val="clear" w:color="000000" w:fill="FFFFFF"/>
            <w:vAlign w:val="center"/>
          </w:tcPr>
          <w:p w14:paraId="633305DB">
            <w:pPr>
              <w:pStyle w:val="78"/>
            </w:pPr>
            <w:r>
              <w:t>19528</w:t>
            </w:r>
          </w:p>
        </w:tc>
        <w:tc>
          <w:tcPr>
            <w:tcW w:w="653" w:type="pct"/>
            <w:tcBorders>
              <w:top w:val="nil"/>
              <w:left w:val="nil"/>
              <w:bottom w:val="single" w:color="auto" w:sz="4" w:space="0"/>
              <w:right w:val="single" w:color="auto" w:sz="4" w:space="0"/>
            </w:tcBorders>
            <w:shd w:val="clear" w:color="000000" w:fill="FFFFFF"/>
            <w:vAlign w:val="center"/>
          </w:tcPr>
          <w:p w14:paraId="37749D11">
            <w:pPr>
              <w:pStyle w:val="78"/>
            </w:pPr>
            <w:r>
              <w:t>24660</w:t>
            </w:r>
          </w:p>
        </w:tc>
        <w:tc>
          <w:tcPr>
            <w:tcW w:w="595" w:type="pct"/>
            <w:tcBorders>
              <w:top w:val="nil"/>
              <w:left w:val="nil"/>
              <w:bottom w:val="single" w:color="auto" w:sz="4" w:space="0"/>
              <w:right w:val="single" w:color="auto" w:sz="4" w:space="0"/>
            </w:tcBorders>
            <w:shd w:val="clear" w:color="000000" w:fill="FFFFFF"/>
            <w:vAlign w:val="center"/>
          </w:tcPr>
          <w:p w14:paraId="0FBA6E58">
            <w:pPr>
              <w:pStyle w:val="78"/>
            </w:pPr>
            <w:r>
              <w:t>24.9</w:t>
            </w:r>
          </w:p>
        </w:tc>
      </w:tr>
      <w:tr w14:paraId="25A96D72">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5AADF1FF">
            <w:pPr>
              <w:pStyle w:val="78"/>
            </w:pPr>
            <w:r>
              <w:t>13</w:t>
            </w:r>
          </w:p>
        </w:tc>
        <w:tc>
          <w:tcPr>
            <w:tcW w:w="1004" w:type="pct"/>
            <w:tcBorders>
              <w:top w:val="nil"/>
              <w:left w:val="nil"/>
              <w:bottom w:val="single" w:color="auto" w:sz="4" w:space="0"/>
              <w:right w:val="single" w:color="auto" w:sz="4" w:space="0"/>
            </w:tcBorders>
            <w:shd w:val="clear" w:color="000000" w:fill="FFFFFF"/>
            <w:vAlign w:val="center"/>
          </w:tcPr>
          <w:p w14:paraId="5E29B4DA">
            <w:pPr>
              <w:pStyle w:val="78"/>
            </w:pPr>
            <w:r>
              <w:t>裂解单元</w:t>
            </w:r>
          </w:p>
        </w:tc>
        <w:tc>
          <w:tcPr>
            <w:tcW w:w="666" w:type="pct"/>
            <w:tcBorders>
              <w:top w:val="nil"/>
              <w:left w:val="nil"/>
              <w:bottom w:val="single" w:color="auto" w:sz="4" w:space="0"/>
              <w:right w:val="single" w:color="auto" w:sz="4" w:space="0"/>
            </w:tcBorders>
            <w:shd w:val="clear" w:color="000000" w:fill="FFFFFF"/>
            <w:vAlign w:val="center"/>
          </w:tcPr>
          <w:p w14:paraId="010BFAA6">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439B518D">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38945E3F">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2EF07BE4">
            <w:pPr>
              <w:pStyle w:val="78"/>
            </w:pPr>
            <w:r>
              <w:t>9360</w:t>
            </w:r>
          </w:p>
        </w:tc>
        <w:tc>
          <w:tcPr>
            <w:tcW w:w="653" w:type="pct"/>
            <w:tcBorders>
              <w:top w:val="nil"/>
              <w:left w:val="nil"/>
              <w:bottom w:val="single" w:color="auto" w:sz="4" w:space="0"/>
              <w:right w:val="single" w:color="auto" w:sz="4" w:space="0"/>
            </w:tcBorders>
            <w:shd w:val="clear" w:color="000000" w:fill="FFFFFF"/>
            <w:vAlign w:val="center"/>
          </w:tcPr>
          <w:p w14:paraId="5ACDADF9">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1F9802A0">
            <w:pPr>
              <w:pStyle w:val="78"/>
            </w:pPr>
            <w:r>
              <w:t>/</w:t>
            </w:r>
          </w:p>
        </w:tc>
      </w:tr>
      <w:tr w14:paraId="0084681D">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6FD88687">
            <w:pPr>
              <w:pStyle w:val="78"/>
            </w:pPr>
            <w:r>
              <w:t>14</w:t>
            </w:r>
          </w:p>
        </w:tc>
        <w:tc>
          <w:tcPr>
            <w:tcW w:w="1004" w:type="pct"/>
            <w:tcBorders>
              <w:top w:val="nil"/>
              <w:left w:val="nil"/>
              <w:bottom w:val="single" w:color="auto" w:sz="4" w:space="0"/>
              <w:right w:val="single" w:color="auto" w:sz="4" w:space="0"/>
            </w:tcBorders>
            <w:shd w:val="clear" w:color="000000" w:fill="FFFFFF"/>
            <w:vAlign w:val="center"/>
          </w:tcPr>
          <w:p w14:paraId="60ADDA42">
            <w:pPr>
              <w:pStyle w:val="78"/>
            </w:pPr>
            <w:r>
              <w:t>球罐组区</w:t>
            </w:r>
          </w:p>
        </w:tc>
        <w:tc>
          <w:tcPr>
            <w:tcW w:w="666" w:type="pct"/>
            <w:tcBorders>
              <w:top w:val="nil"/>
              <w:left w:val="nil"/>
              <w:bottom w:val="single" w:color="auto" w:sz="4" w:space="0"/>
              <w:right w:val="single" w:color="auto" w:sz="4" w:space="0"/>
            </w:tcBorders>
            <w:shd w:val="clear" w:color="000000" w:fill="FFFFFF"/>
            <w:vAlign w:val="center"/>
          </w:tcPr>
          <w:p w14:paraId="089B0181">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3D955814">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2560C32C">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0C2C228A">
            <w:pPr>
              <w:pStyle w:val="78"/>
            </w:pPr>
            <w:r>
              <w:t>3433.6</w:t>
            </w:r>
          </w:p>
        </w:tc>
        <w:tc>
          <w:tcPr>
            <w:tcW w:w="653" w:type="pct"/>
            <w:tcBorders>
              <w:top w:val="nil"/>
              <w:left w:val="nil"/>
              <w:bottom w:val="single" w:color="auto" w:sz="4" w:space="0"/>
              <w:right w:val="single" w:color="auto" w:sz="4" w:space="0"/>
            </w:tcBorders>
            <w:shd w:val="clear" w:color="000000" w:fill="FFFFFF"/>
            <w:vAlign w:val="center"/>
          </w:tcPr>
          <w:p w14:paraId="1435BA6A">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6C3D2369">
            <w:pPr>
              <w:pStyle w:val="78"/>
            </w:pPr>
            <w:r>
              <w:t>/</w:t>
            </w:r>
          </w:p>
        </w:tc>
      </w:tr>
      <w:tr w14:paraId="7BE92D67">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729AC27A">
            <w:pPr>
              <w:pStyle w:val="78"/>
            </w:pPr>
            <w:r>
              <w:t>15</w:t>
            </w:r>
          </w:p>
        </w:tc>
        <w:tc>
          <w:tcPr>
            <w:tcW w:w="1004" w:type="pct"/>
            <w:tcBorders>
              <w:top w:val="nil"/>
              <w:left w:val="nil"/>
              <w:bottom w:val="single" w:color="auto" w:sz="4" w:space="0"/>
              <w:right w:val="single" w:color="auto" w:sz="4" w:space="0"/>
            </w:tcBorders>
            <w:shd w:val="clear" w:color="000000" w:fill="FFFFFF"/>
            <w:vAlign w:val="center"/>
          </w:tcPr>
          <w:p w14:paraId="3623A707">
            <w:pPr>
              <w:pStyle w:val="78"/>
            </w:pPr>
            <w:r>
              <w:t>装卸车设施</w:t>
            </w:r>
          </w:p>
        </w:tc>
        <w:tc>
          <w:tcPr>
            <w:tcW w:w="666" w:type="pct"/>
            <w:tcBorders>
              <w:top w:val="nil"/>
              <w:left w:val="nil"/>
              <w:bottom w:val="single" w:color="auto" w:sz="4" w:space="0"/>
              <w:right w:val="single" w:color="auto" w:sz="4" w:space="0"/>
            </w:tcBorders>
            <w:shd w:val="clear" w:color="000000" w:fill="FFFFFF"/>
            <w:vAlign w:val="center"/>
          </w:tcPr>
          <w:p w14:paraId="10CB7B5B">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6948144B">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0D3F70F8">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55DD86E6">
            <w:pPr>
              <w:pStyle w:val="78"/>
            </w:pPr>
            <w:r>
              <w:t>580</w:t>
            </w:r>
          </w:p>
        </w:tc>
        <w:tc>
          <w:tcPr>
            <w:tcW w:w="653" w:type="pct"/>
            <w:tcBorders>
              <w:top w:val="nil"/>
              <w:left w:val="nil"/>
              <w:bottom w:val="single" w:color="auto" w:sz="4" w:space="0"/>
              <w:right w:val="single" w:color="auto" w:sz="4" w:space="0"/>
            </w:tcBorders>
            <w:shd w:val="clear" w:color="000000" w:fill="FFFFFF"/>
            <w:vAlign w:val="center"/>
          </w:tcPr>
          <w:p w14:paraId="2E8D1739">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75C0AE3C">
            <w:pPr>
              <w:pStyle w:val="78"/>
            </w:pPr>
            <w:r>
              <w:t>/</w:t>
            </w:r>
          </w:p>
        </w:tc>
      </w:tr>
      <w:tr w14:paraId="71BB01A2">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3B7FC121">
            <w:pPr>
              <w:pStyle w:val="78"/>
            </w:pPr>
            <w:r>
              <w:t>16</w:t>
            </w:r>
          </w:p>
        </w:tc>
        <w:tc>
          <w:tcPr>
            <w:tcW w:w="1004" w:type="pct"/>
            <w:tcBorders>
              <w:top w:val="nil"/>
              <w:left w:val="nil"/>
              <w:bottom w:val="single" w:color="auto" w:sz="4" w:space="0"/>
              <w:right w:val="single" w:color="auto" w:sz="4" w:space="0"/>
            </w:tcBorders>
            <w:shd w:val="clear" w:color="000000" w:fill="FFFFFF"/>
            <w:vAlign w:val="center"/>
          </w:tcPr>
          <w:p w14:paraId="2F20DA71">
            <w:pPr>
              <w:pStyle w:val="78"/>
            </w:pPr>
            <w:r>
              <w:t>油气处理系统</w:t>
            </w:r>
          </w:p>
        </w:tc>
        <w:tc>
          <w:tcPr>
            <w:tcW w:w="666" w:type="pct"/>
            <w:tcBorders>
              <w:top w:val="nil"/>
              <w:left w:val="nil"/>
              <w:bottom w:val="single" w:color="auto" w:sz="4" w:space="0"/>
              <w:right w:val="single" w:color="auto" w:sz="4" w:space="0"/>
            </w:tcBorders>
            <w:shd w:val="clear" w:color="000000" w:fill="FFFFFF"/>
            <w:vAlign w:val="center"/>
          </w:tcPr>
          <w:p w14:paraId="1A68F785">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47EC7452">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553740CF">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43BE28EE">
            <w:pPr>
              <w:pStyle w:val="78"/>
            </w:pPr>
            <w:r>
              <w:t>200</w:t>
            </w:r>
          </w:p>
        </w:tc>
        <w:tc>
          <w:tcPr>
            <w:tcW w:w="653" w:type="pct"/>
            <w:tcBorders>
              <w:top w:val="nil"/>
              <w:left w:val="nil"/>
              <w:bottom w:val="single" w:color="auto" w:sz="4" w:space="0"/>
              <w:right w:val="single" w:color="auto" w:sz="4" w:space="0"/>
            </w:tcBorders>
            <w:shd w:val="clear" w:color="000000" w:fill="FFFFFF"/>
            <w:vAlign w:val="center"/>
          </w:tcPr>
          <w:p w14:paraId="7135033B">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19C9E74C">
            <w:pPr>
              <w:pStyle w:val="78"/>
            </w:pPr>
            <w:r>
              <w:t>/</w:t>
            </w:r>
          </w:p>
        </w:tc>
      </w:tr>
      <w:tr w14:paraId="75FC5E4E">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2E3A9871">
            <w:pPr>
              <w:pStyle w:val="78"/>
            </w:pPr>
            <w:r>
              <w:t>17</w:t>
            </w:r>
          </w:p>
        </w:tc>
        <w:tc>
          <w:tcPr>
            <w:tcW w:w="1004" w:type="pct"/>
            <w:tcBorders>
              <w:top w:val="nil"/>
              <w:left w:val="nil"/>
              <w:bottom w:val="single" w:color="auto" w:sz="4" w:space="0"/>
              <w:right w:val="single" w:color="auto" w:sz="4" w:space="0"/>
            </w:tcBorders>
            <w:shd w:val="clear" w:color="000000" w:fill="FFFFFF"/>
            <w:vAlign w:val="center"/>
          </w:tcPr>
          <w:p w14:paraId="18F6F2CE">
            <w:pPr>
              <w:pStyle w:val="78"/>
            </w:pPr>
            <w:r>
              <w:t>地面火炬系统</w:t>
            </w:r>
          </w:p>
        </w:tc>
        <w:tc>
          <w:tcPr>
            <w:tcW w:w="666" w:type="pct"/>
            <w:tcBorders>
              <w:top w:val="nil"/>
              <w:left w:val="nil"/>
              <w:bottom w:val="single" w:color="auto" w:sz="4" w:space="0"/>
              <w:right w:val="single" w:color="auto" w:sz="4" w:space="0"/>
            </w:tcBorders>
            <w:shd w:val="clear" w:color="000000" w:fill="FFFFFF"/>
            <w:vAlign w:val="center"/>
          </w:tcPr>
          <w:p w14:paraId="54CD94D0">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6DD2D071">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4B9379EF">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73B99B77">
            <w:pPr>
              <w:pStyle w:val="78"/>
            </w:pPr>
            <w:r>
              <w:t>1128</w:t>
            </w:r>
          </w:p>
        </w:tc>
        <w:tc>
          <w:tcPr>
            <w:tcW w:w="653" w:type="pct"/>
            <w:tcBorders>
              <w:top w:val="nil"/>
              <w:left w:val="nil"/>
              <w:bottom w:val="single" w:color="auto" w:sz="4" w:space="0"/>
              <w:right w:val="single" w:color="auto" w:sz="4" w:space="0"/>
            </w:tcBorders>
            <w:shd w:val="clear" w:color="000000" w:fill="FFFFFF"/>
            <w:vAlign w:val="center"/>
          </w:tcPr>
          <w:p w14:paraId="328E15AC">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0FE241A0">
            <w:pPr>
              <w:pStyle w:val="78"/>
            </w:pPr>
            <w:r>
              <w:t>/</w:t>
            </w:r>
          </w:p>
        </w:tc>
      </w:tr>
      <w:tr w14:paraId="27BE0829">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6DBAC59A">
            <w:pPr>
              <w:pStyle w:val="78"/>
            </w:pPr>
            <w:r>
              <w:t>18</w:t>
            </w:r>
          </w:p>
        </w:tc>
        <w:tc>
          <w:tcPr>
            <w:tcW w:w="1004" w:type="pct"/>
            <w:tcBorders>
              <w:top w:val="nil"/>
              <w:left w:val="nil"/>
              <w:bottom w:val="single" w:color="auto" w:sz="4" w:space="0"/>
              <w:right w:val="single" w:color="auto" w:sz="4" w:space="0"/>
            </w:tcBorders>
            <w:shd w:val="clear" w:color="000000" w:fill="FFFFFF"/>
            <w:vAlign w:val="center"/>
          </w:tcPr>
          <w:p w14:paraId="313B9B1C">
            <w:pPr>
              <w:pStyle w:val="78"/>
            </w:pPr>
            <w:r>
              <w:t>循环水场及消防加压泵站</w:t>
            </w:r>
          </w:p>
        </w:tc>
        <w:tc>
          <w:tcPr>
            <w:tcW w:w="666" w:type="pct"/>
            <w:tcBorders>
              <w:top w:val="nil"/>
              <w:left w:val="nil"/>
              <w:bottom w:val="single" w:color="auto" w:sz="4" w:space="0"/>
              <w:right w:val="single" w:color="auto" w:sz="4" w:space="0"/>
            </w:tcBorders>
            <w:shd w:val="clear" w:color="000000" w:fill="FFFFFF"/>
            <w:vAlign w:val="center"/>
          </w:tcPr>
          <w:p w14:paraId="56BA45E1">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4317B83B">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00039411">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2454017B">
            <w:pPr>
              <w:pStyle w:val="78"/>
            </w:pPr>
            <w:r>
              <w:t>3024</w:t>
            </w:r>
          </w:p>
        </w:tc>
        <w:tc>
          <w:tcPr>
            <w:tcW w:w="653" w:type="pct"/>
            <w:tcBorders>
              <w:top w:val="nil"/>
              <w:left w:val="nil"/>
              <w:bottom w:val="single" w:color="auto" w:sz="4" w:space="0"/>
              <w:right w:val="single" w:color="auto" w:sz="4" w:space="0"/>
            </w:tcBorders>
            <w:shd w:val="clear" w:color="000000" w:fill="FFFFFF"/>
            <w:vAlign w:val="center"/>
          </w:tcPr>
          <w:p w14:paraId="45C99317">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611CC4FD">
            <w:pPr>
              <w:pStyle w:val="78"/>
            </w:pPr>
            <w:r>
              <w:t>/</w:t>
            </w:r>
          </w:p>
        </w:tc>
      </w:tr>
      <w:tr w14:paraId="4342398A">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404BD61A">
            <w:pPr>
              <w:pStyle w:val="78"/>
            </w:pPr>
            <w:r>
              <w:t>19</w:t>
            </w:r>
          </w:p>
        </w:tc>
        <w:tc>
          <w:tcPr>
            <w:tcW w:w="1004" w:type="pct"/>
            <w:tcBorders>
              <w:top w:val="nil"/>
              <w:left w:val="nil"/>
              <w:bottom w:val="single" w:color="auto" w:sz="4" w:space="0"/>
              <w:right w:val="single" w:color="auto" w:sz="4" w:space="0"/>
            </w:tcBorders>
            <w:shd w:val="clear" w:color="000000" w:fill="FFFFFF"/>
            <w:vAlign w:val="center"/>
          </w:tcPr>
          <w:p w14:paraId="386168AE">
            <w:pPr>
              <w:pStyle w:val="78"/>
            </w:pPr>
            <w:r>
              <w:t>污水提升泵站</w:t>
            </w:r>
          </w:p>
        </w:tc>
        <w:tc>
          <w:tcPr>
            <w:tcW w:w="666" w:type="pct"/>
            <w:tcBorders>
              <w:top w:val="nil"/>
              <w:left w:val="nil"/>
              <w:bottom w:val="single" w:color="auto" w:sz="4" w:space="0"/>
              <w:right w:val="single" w:color="auto" w:sz="4" w:space="0"/>
            </w:tcBorders>
            <w:shd w:val="clear" w:color="000000" w:fill="FFFFFF"/>
            <w:vAlign w:val="center"/>
          </w:tcPr>
          <w:p w14:paraId="0BF9AEC2">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04B21043">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3E268E44">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682C9BD2">
            <w:pPr>
              <w:pStyle w:val="78"/>
            </w:pPr>
            <w:r>
              <w:t>149.7</w:t>
            </w:r>
          </w:p>
        </w:tc>
        <w:tc>
          <w:tcPr>
            <w:tcW w:w="653" w:type="pct"/>
            <w:tcBorders>
              <w:top w:val="nil"/>
              <w:left w:val="nil"/>
              <w:bottom w:val="single" w:color="auto" w:sz="4" w:space="0"/>
              <w:right w:val="single" w:color="auto" w:sz="4" w:space="0"/>
            </w:tcBorders>
            <w:shd w:val="clear" w:color="000000" w:fill="FFFFFF"/>
            <w:vAlign w:val="center"/>
          </w:tcPr>
          <w:p w14:paraId="1262AE52">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6EC629E5">
            <w:pPr>
              <w:pStyle w:val="78"/>
            </w:pPr>
            <w:r>
              <w:t>/</w:t>
            </w:r>
          </w:p>
        </w:tc>
      </w:tr>
      <w:tr w14:paraId="7C83FC7E">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5EA64D01">
            <w:pPr>
              <w:pStyle w:val="78"/>
            </w:pPr>
            <w:r>
              <w:t>20</w:t>
            </w:r>
          </w:p>
        </w:tc>
        <w:tc>
          <w:tcPr>
            <w:tcW w:w="1004" w:type="pct"/>
            <w:tcBorders>
              <w:top w:val="nil"/>
              <w:left w:val="nil"/>
              <w:bottom w:val="single" w:color="auto" w:sz="4" w:space="0"/>
              <w:right w:val="single" w:color="auto" w:sz="4" w:space="0"/>
            </w:tcBorders>
            <w:shd w:val="clear" w:color="000000" w:fill="FFFFFF"/>
            <w:vAlign w:val="center"/>
          </w:tcPr>
          <w:p w14:paraId="2CE51274">
            <w:pPr>
              <w:pStyle w:val="78"/>
            </w:pPr>
            <w:r>
              <w:t>事故水池</w:t>
            </w:r>
          </w:p>
        </w:tc>
        <w:tc>
          <w:tcPr>
            <w:tcW w:w="666" w:type="pct"/>
            <w:tcBorders>
              <w:top w:val="nil"/>
              <w:left w:val="nil"/>
              <w:bottom w:val="single" w:color="auto" w:sz="4" w:space="0"/>
              <w:right w:val="single" w:color="auto" w:sz="4" w:space="0"/>
            </w:tcBorders>
            <w:shd w:val="clear" w:color="000000" w:fill="FFFFFF"/>
            <w:vAlign w:val="center"/>
          </w:tcPr>
          <w:p w14:paraId="6B01C5FA">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3E14FFDB">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46A84E19">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41C8F13E">
            <w:pPr>
              <w:pStyle w:val="78"/>
            </w:pPr>
            <w:r>
              <w:t>1551.36</w:t>
            </w:r>
          </w:p>
        </w:tc>
        <w:tc>
          <w:tcPr>
            <w:tcW w:w="653" w:type="pct"/>
            <w:tcBorders>
              <w:top w:val="nil"/>
              <w:left w:val="nil"/>
              <w:bottom w:val="single" w:color="auto" w:sz="4" w:space="0"/>
              <w:right w:val="single" w:color="auto" w:sz="4" w:space="0"/>
            </w:tcBorders>
            <w:shd w:val="clear" w:color="000000" w:fill="FFFFFF"/>
            <w:vAlign w:val="center"/>
          </w:tcPr>
          <w:p w14:paraId="54DBC165">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0D9732C9">
            <w:pPr>
              <w:pStyle w:val="78"/>
            </w:pPr>
            <w:r>
              <w:t>/</w:t>
            </w:r>
          </w:p>
        </w:tc>
      </w:tr>
      <w:tr w14:paraId="79F31FA0">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6E7A65CE">
            <w:pPr>
              <w:pStyle w:val="78"/>
            </w:pPr>
            <w:r>
              <w:t>21</w:t>
            </w:r>
          </w:p>
        </w:tc>
        <w:tc>
          <w:tcPr>
            <w:tcW w:w="1004" w:type="pct"/>
            <w:tcBorders>
              <w:top w:val="nil"/>
              <w:left w:val="nil"/>
              <w:bottom w:val="single" w:color="auto" w:sz="4" w:space="0"/>
              <w:right w:val="single" w:color="auto" w:sz="4" w:space="0"/>
            </w:tcBorders>
            <w:shd w:val="clear" w:color="000000" w:fill="FFFFFF"/>
            <w:vAlign w:val="center"/>
          </w:tcPr>
          <w:p w14:paraId="68A08FBD">
            <w:pPr>
              <w:pStyle w:val="78"/>
            </w:pPr>
            <w:r>
              <w:t>雨水监控池</w:t>
            </w:r>
          </w:p>
        </w:tc>
        <w:tc>
          <w:tcPr>
            <w:tcW w:w="666" w:type="pct"/>
            <w:tcBorders>
              <w:top w:val="nil"/>
              <w:left w:val="nil"/>
              <w:bottom w:val="single" w:color="auto" w:sz="4" w:space="0"/>
              <w:right w:val="single" w:color="auto" w:sz="4" w:space="0"/>
            </w:tcBorders>
            <w:shd w:val="clear" w:color="000000" w:fill="FFFFFF"/>
            <w:vAlign w:val="center"/>
          </w:tcPr>
          <w:p w14:paraId="72B721E5">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769C3F08">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632B0506">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046C9F69">
            <w:pPr>
              <w:pStyle w:val="78"/>
            </w:pPr>
            <w:r>
              <w:t>1081.14</w:t>
            </w:r>
          </w:p>
        </w:tc>
        <w:tc>
          <w:tcPr>
            <w:tcW w:w="653" w:type="pct"/>
            <w:tcBorders>
              <w:top w:val="nil"/>
              <w:left w:val="nil"/>
              <w:bottom w:val="single" w:color="auto" w:sz="4" w:space="0"/>
              <w:right w:val="single" w:color="auto" w:sz="4" w:space="0"/>
            </w:tcBorders>
            <w:shd w:val="clear" w:color="000000" w:fill="FFFFFF"/>
            <w:vAlign w:val="center"/>
          </w:tcPr>
          <w:p w14:paraId="562C25A8">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76AD85CE">
            <w:pPr>
              <w:pStyle w:val="78"/>
            </w:pPr>
            <w:r>
              <w:t>/</w:t>
            </w:r>
          </w:p>
        </w:tc>
      </w:tr>
      <w:tr w14:paraId="16AEE943">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7F113DA0">
            <w:pPr>
              <w:pStyle w:val="78"/>
            </w:pPr>
            <w:r>
              <w:t>22</w:t>
            </w:r>
          </w:p>
        </w:tc>
        <w:tc>
          <w:tcPr>
            <w:tcW w:w="1004" w:type="pct"/>
            <w:tcBorders>
              <w:top w:val="nil"/>
              <w:left w:val="nil"/>
              <w:bottom w:val="single" w:color="auto" w:sz="4" w:space="0"/>
              <w:right w:val="single" w:color="auto" w:sz="4" w:space="0"/>
            </w:tcBorders>
            <w:shd w:val="clear" w:color="000000" w:fill="FFFFFF"/>
            <w:vAlign w:val="center"/>
          </w:tcPr>
          <w:p w14:paraId="537610BF">
            <w:pPr>
              <w:pStyle w:val="78"/>
            </w:pPr>
            <w:r>
              <w:t>空压制氮站</w:t>
            </w:r>
          </w:p>
        </w:tc>
        <w:tc>
          <w:tcPr>
            <w:tcW w:w="666" w:type="pct"/>
            <w:tcBorders>
              <w:top w:val="nil"/>
              <w:left w:val="nil"/>
              <w:bottom w:val="single" w:color="auto" w:sz="4" w:space="0"/>
              <w:right w:val="single" w:color="auto" w:sz="4" w:space="0"/>
            </w:tcBorders>
            <w:shd w:val="clear" w:color="000000" w:fill="FFFFFF"/>
            <w:vAlign w:val="center"/>
          </w:tcPr>
          <w:p w14:paraId="736D3F55">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7719090C">
            <w:pPr>
              <w:pStyle w:val="78"/>
            </w:pPr>
          </w:p>
          <w:p w14:paraId="412398D0">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0DAA4400">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57FF5EB5">
            <w:pPr>
              <w:pStyle w:val="78"/>
            </w:pPr>
            <w:r>
              <w:t>2332</w:t>
            </w:r>
          </w:p>
        </w:tc>
        <w:tc>
          <w:tcPr>
            <w:tcW w:w="653" w:type="pct"/>
            <w:tcBorders>
              <w:top w:val="nil"/>
              <w:left w:val="nil"/>
              <w:bottom w:val="single" w:color="auto" w:sz="4" w:space="0"/>
              <w:right w:val="single" w:color="auto" w:sz="4" w:space="0"/>
            </w:tcBorders>
            <w:shd w:val="clear" w:color="000000" w:fill="FFFFFF"/>
            <w:vAlign w:val="center"/>
          </w:tcPr>
          <w:p w14:paraId="7AE1341F">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2C997875">
            <w:pPr>
              <w:pStyle w:val="78"/>
            </w:pPr>
            <w:r>
              <w:t>/</w:t>
            </w:r>
          </w:p>
        </w:tc>
      </w:tr>
      <w:tr w14:paraId="46BCE380">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4F377120">
            <w:pPr>
              <w:pStyle w:val="78"/>
            </w:pPr>
            <w:r>
              <w:t>23</w:t>
            </w:r>
          </w:p>
        </w:tc>
        <w:tc>
          <w:tcPr>
            <w:tcW w:w="1004" w:type="pct"/>
            <w:tcBorders>
              <w:top w:val="nil"/>
              <w:left w:val="nil"/>
              <w:bottom w:val="single" w:color="auto" w:sz="4" w:space="0"/>
              <w:right w:val="single" w:color="auto" w:sz="4" w:space="0"/>
            </w:tcBorders>
            <w:shd w:val="clear" w:color="000000" w:fill="FFFFFF"/>
            <w:vAlign w:val="center"/>
          </w:tcPr>
          <w:p w14:paraId="1CFBC4E6">
            <w:pPr>
              <w:pStyle w:val="78"/>
            </w:pPr>
            <w:r>
              <w:t>除盐水站</w:t>
            </w:r>
          </w:p>
        </w:tc>
        <w:tc>
          <w:tcPr>
            <w:tcW w:w="666" w:type="pct"/>
            <w:tcBorders>
              <w:top w:val="nil"/>
              <w:left w:val="nil"/>
              <w:bottom w:val="single" w:color="auto" w:sz="4" w:space="0"/>
              <w:right w:val="single" w:color="auto" w:sz="4" w:space="0"/>
            </w:tcBorders>
            <w:shd w:val="clear" w:color="000000" w:fill="FFFFFF"/>
            <w:vAlign w:val="center"/>
          </w:tcPr>
          <w:p w14:paraId="01BD7118">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5BA84869">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61EEC1CE">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1F8DEEA1">
            <w:pPr>
              <w:pStyle w:val="78"/>
            </w:pPr>
            <w:r>
              <w:t>2162</w:t>
            </w:r>
          </w:p>
        </w:tc>
        <w:tc>
          <w:tcPr>
            <w:tcW w:w="653" w:type="pct"/>
            <w:tcBorders>
              <w:top w:val="nil"/>
              <w:left w:val="nil"/>
              <w:bottom w:val="single" w:color="auto" w:sz="4" w:space="0"/>
              <w:right w:val="single" w:color="auto" w:sz="4" w:space="0"/>
            </w:tcBorders>
            <w:shd w:val="clear" w:color="000000" w:fill="FFFFFF"/>
            <w:vAlign w:val="center"/>
          </w:tcPr>
          <w:p w14:paraId="23085475">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119CC84D">
            <w:pPr>
              <w:pStyle w:val="78"/>
            </w:pPr>
            <w:r>
              <w:t>/</w:t>
            </w:r>
          </w:p>
        </w:tc>
      </w:tr>
      <w:tr w14:paraId="5015B8D6">
        <w:tblPrEx>
          <w:tblCellMar>
            <w:top w:w="0" w:type="dxa"/>
            <w:left w:w="108" w:type="dxa"/>
            <w:bottom w:w="0" w:type="dxa"/>
            <w:right w:w="108" w:type="dxa"/>
          </w:tblCellMar>
        </w:tblPrEx>
        <w:trPr>
          <w:trHeight w:val="20" w:hRule="atLeast"/>
        </w:trPr>
        <w:tc>
          <w:tcPr>
            <w:tcW w:w="331" w:type="pct"/>
            <w:tcBorders>
              <w:top w:val="nil"/>
              <w:left w:val="single" w:color="auto" w:sz="4" w:space="0"/>
              <w:bottom w:val="single" w:color="auto" w:sz="4" w:space="0"/>
              <w:right w:val="single" w:color="auto" w:sz="4" w:space="0"/>
            </w:tcBorders>
            <w:shd w:val="clear" w:color="000000" w:fill="FFFFFF"/>
            <w:vAlign w:val="center"/>
          </w:tcPr>
          <w:p w14:paraId="577081D0">
            <w:pPr>
              <w:pStyle w:val="78"/>
            </w:pPr>
            <w:r>
              <w:t>24</w:t>
            </w:r>
          </w:p>
        </w:tc>
        <w:tc>
          <w:tcPr>
            <w:tcW w:w="1004" w:type="pct"/>
            <w:tcBorders>
              <w:top w:val="nil"/>
              <w:left w:val="nil"/>
              <w:bottom w:val="single" w:color="auto" w:sz="4" w:space="0"/>
              <w:right w:val="single" w:color="auto" w:sz="4" w:space="0"/>
            </w:tcBorders>
            <w:shd w:val="clear" w:color="000000" w:fill="FFFFFF"/>
            <w:vAlign w:val="center"/>
          </w:tcPr>
          <w:p w14:paraId="1230DA03">
            <w:pPr>
              <w:pStyle w:val="78"/>
            </w:pPr>
            <w:r>
              <w:t>尾气回收装置</w:t>
            </w:r>
          </w:p>
        </w:tc>
        <w:tc>
          <w:tcPr>
            <w:tcW w:w="666" w:type="pct"/>
            <w:tcBorders>
              <w:top w:val="nil"/>
              <w:left w:val="nil"/>
              <w:bottom w:val="single" w:color="auto" w:sz="4" w:space="0"/>
              <w:right w:val="single" w:color="auto" w:sz="4" w:space="0"/>
            </w:tcBorders>
            <w:shd w:val="clear" w:color="000000" w:fill="FFFFFF"/>
            <w:vAlign w:val="center"/>
          </w:tcPr>
          <w:p w14:paraId="77286992">
            <w:pPr>
              <w:pStyle w:val="78"/>
            </w:pPr>
            <w:r>
              <w:t>/</w:t>
            </w:r>
          </w:p>
        </w:tc>
        <w:tc>
          <w:tcPr>
            <w:tcW w:w="501" w:type="pct"/>
            <w:tcBorders>
              <w:top w:val="nil"/>
              <w:left w:val="nil"/>
              <w:bottom w:val="single" w:color="auto" w:sz="4" w:space="0"/>
              <w:right w:val="single" w:color="auto" w:sz="4" w:space="0"/>
            </w:tcBorders>
            <w:shd w:val="clear" w:color="000000" w:fill="FFFFFF"/>
            <w:vAlign w:val="center"/>
          </w:tcPr>
          <w:p w14:paraId="646706FD">
            <w:pPr>
              <w:pStyle w:val="78"/>
            </w:pPr>
            <w:r>
              <w:t>/</w:t>
            </w:r>
          </w:p>
        </w:tc>
        <w:tc>
          <w:tcPr>
            <w:tcW w:w="584" w:type="pct"/>
            <w:tcBorders>
              <w:top w:val="nil"/>
              <w:left w:val="nil"/>
              <w:bottom w:val="single" w:color="auto" w:sz="4" w:space="0"/>
              <w:right w:val="single" w:color="auto" w:sz="4" w:space="0"/>
            </w:tcBorders>
            <w:shd w:val="clear" w:color="000000" w:fill="FFFFFF"/>
            <w:vAlign w:val="center"/>
          </w:tcPr>
          <w:p w14:paraId="5F8408FA">
            <w:pPr>
              <w:pStyle w:val="78"/>
            </w:pPr>
            <w:r>
              <w:t>/</w:t>
            </w:r>
          </w:p>
        </w:tc>
        <w:tc>
          <w:tcPr>
            <w:tcW w:w="666" w:type="pct"/>
            <w:tcBorders>
              <w:top w:val="nil"/>
              <w:left w:val="nil"/>
              <w:bottom w:val="single" w:color="auto" w:sz="4" w:space="0"/>
              <w:right w:val="single" w:color="auto" w:sz="4" w:space="0"/>
            </w:tcBorders>
            <w:shd w:val="clear" w:color="000000" w:fill="FFFFFF"/>
            <w:vAlign w:val="center"/>
          </w:tcPr>
          <w:p w14:paraId="67593C54">
            <w:pPr>
              <w:pStyle w:val="78"/>
            </w:pPr>
            <w:r>
              <w:t>3036</w:t>
            </w:r>
          </w:p>
        </w:tc>
        <w:tc>
          <w:tcPr>
            <w:tcW w:w="653" w:type="pct"/>
            <w:tcBorders>
              <w:top w:val="nil"/>
              <w:left w:val="nil"/>
              <w:bottom w:val="single" w:color="auto" w:sz="4" w:space="0"/>
              <w:right w:val="single" w:color="auto" w:sz="4" w:space="0"/>
            </w:tcBorders>
            <w:shd w:val="clear" w:color="000000" w:fill="FFFFFF"/>
            <w:vAlign w:val="center"/>
          </w:tcPr>
          <w:p w14:paraId="656C56BA">
            <w:pPr>
              <w:pStyle w:val="78"/>
            </w:pPr>
            <w:r>
              <w:t>/</w:t>
            </w:r>
          </w:p>
        </w:tc>
        <w:tc>
          <w:tcPr>
            <w:tcW w:w="595" w:type="pct"/>
            <w:tcBorders>
              <w:top w:val="nil"/>
              <w:left w:val="nil"/>
              <w:bottom w:val="single" w:color="auto" w:sz="4" w:space="0"/>
              <w:right w:val="single" w:color="auto" w:sz="4" w:space="0"/>
            </w:tcBorders>
            <w:shd w:val="clear" w:color="000000" w:fill="FFFFFF"/>
            <w:vAlign w:val="center"/>
          </w:tcPr>
          <w:p w14:paraId="08481336">
            <w:pPr>
              <w:pStyle w:val="78"/>
            </w:pPr>
            <w:r>
              <w:t>/</w:t>
            </w:r>
          </w:p>
        </w:tc>
      </w:tr>
      <w:tr w14:paraId="4BF97260">
        <w:tblPrEx>
          <w:tblCellMar>
            <w:top w:w="0" w:type="dxa"/>
            <w:left w:w="108" w:type="dxa"/>
            <w:bottom w:w="0" w:type="dxa"/>
            <w:right w:w="108" w:type="dxa"/>
          </w:tblCellMar>
        </w:tblPrEx>
        <w:trPr>
          <w:trHeight w:val="20" w:hRule="atLeast"/>
        </w:trPr>
        <w:tc>
          <w:tcPr>
            <w:tcW w:w="1336" w:type="pct"/>
            <w:gridSpan w:val="2"/>
            <w:tcBorders>
              <w:top w:val="single" w:color="auto" w:sz="4" w:space="0"/>
              <w:left w:val="single" w:color="auto" w:sz="4" w:space="0"/>
              <w:bottom w:val="single" w:color="auto" w:sz="4" w:space="0"/>
              <w:right w:val="single" w:color="auto" w:sz="4" w:space="0"/>
            </w:tcBorders>
            <w:noWrap/>
            <w:vAlign w:val="center"/>
          </w:tcPr>
          <w:p w14:paraId="6C60C8C0">
            <w:pPr>
              <w:pStyle w:val="78"/>
            </w:pPr>
            <w:r>
              <w:t>合计</w:t>
            </w:r>
          </w:p>
        </w:tc>
        <w:tc>
          <w:tcPr>
            <w:tcW w:w="666" w:type="pct"/>
            <w:tcBorders>
              <w:top w:val="nil"/>
              <w:left w:val="nil"/>
              <w:bottom w:val="single" w:color="auto" w:sz="4" w:space="0"/>
              <w:right w:val="single" w:color="auto" w:sz="4" w:space="0"/>
            </w:tcBorders>
            <w:noWrap/>
            <w:vAlign w:val="center"/>
          </w:tcPr>
          <w:p w14:paraId="580253E0">
            <w:pPr>
              <w:pStyle w:val="78"/>
            </w:pPr>
            <w:r>
              <w:t>/</w:t>
            </w:r>
          </w:p>
        </w:tc>
        <w:tc>
          <w:tcPr>
            <w:tcW w:w="501" w:type="pct"/>
            <w:tcBorders>
              <w:top w:val="nil"/>
              <w:left w:val="nil"/>
              <w:bottom w:val="single" w:color="auto" w:sz="4" w:space="0"/>
              <w:right w:val="single" w:color="auto" w:sz="4" w:space="0"/>
            </w:tcBorders>
            <w:noWrap/>
            <w:vAlign w:val="center"/>
          </w:tcPr>
          <w:p w14:paraId="6C58A864">
            <w:pPr>
              <w:pStyle w:val="78"/>
            </w:pPr>
            <w:r>
              <w:t>/</w:t>
            </w:r>
          </w:p>
        </w:tc>
        <w:tc>
          <w:tcPr>
            <w:tcW w:w="584" w:type="pct"/>
            <w:tcBorders>
              <w:top w:val="nil"/>
              <w:left w:val="nil"/>
              <w:bottom w:val="single" w:color="auto" w:sz="4" w:space="0"/>
              <w:right w:val="single" w:color="auto" w:sz="4" w:space="0"/>
            </w:tcBorders>
            <w:noWrap/>
            <w:vAlign w:val="center"/>
          </w:tcPr>
          <w:p w14:paraId="2040F360">
            <w:pPr>
              <w:pStyle w:val="78"/>
            </w:pPr>
            <w:r>
              <w:t>/</w:t>
            </w:r>
          </w:p>
        </w:tc>
        <w:tc>
          <w:tcPr>
            <w:tcW w:w="666" w:type="pct"/>
            <w:tcBorders>
              <w:top w:val="nil"/>
              <w:left w:val="nil"/>
              <w:bottom w:val="single" w:color="auto" w:sz="4" w:space="0"/>
              <w:right w:val="single" w:color="auto" w:sz="4" w:space="0"/>
            </w:tcBorders>
            <w:noWrap/>
            <w:vAlign w:val="center"/>
          </w:tcPr>
          <w:p w14:paraId="76C564D7">
            <w:pPr>
              <w:pStyle w:val="78"/>
            </w:pPr>
            <w:r>
              <w:rPr>
                <w:szCs w:val="21"/>
              </w:rPr>
              <w:t>57691.73</w:t>
            </w:r>
          </w:p>
        </w:tc>
        <w:tc>
          <w:tcPr>
            <w:tcW w:w="653" w:type="pct"/>
            <w:tcBorders>
              <w:top w:val="nil"/>
              <w:left w:val="nil"/>
              <w:bottom w:val="single" w:color="auto" w:sz="4" w:space="0"/>
              <w:right w:val="single" w:color="auto" w:sz="4" w:space="0"/>
            </w:tcBorders>
            <w:noWrap/>
            <w:vAlign w:val="center"/>
          </w:tcPr>
          <w:p w14:paraId="0DBA8A70">
            <w:pPr>
              <w:pStyle w:val="78"/>
            </w:pPr>
            <w:r>
              <w:rPr>
                <w:szCs w:val="21"/>
              </w:rPr>
              <w:t>/</w:t>
            </w:r>
          </w:p>
        </w:tc>
        <w:tc>
          <w:tcPr>
            <w:tcW w:w="595" w:type="pct"/>
            <w:tcBorders>
              <w:top w:val="nil"/>
              <w:left w:val="nil"/>
              <w:bottom w:val="single" w:color="auto" w:sz="4" w:space="0"/>
              <w:right w:val="single" w:color="auto" w:sz="4" w:space="0"/>
            </w:tcBorders>
            <w:noWrap/>
            <w:vAlign w:val="center"/>
          </w:tcPr>
          <w:p w14:paraId="485DA7C1">
            <w:pPr>
              <w:pStyle w:val="78"/>
            </w:pPr>
            <w:r>
              <w:t>/</w:t>
            </w:r>
          </w:p>
        </w:tc>
      </w:tr>
      <w:bookmarkEnd w:id="23"/>
    </w:tbl>
    <w:p w14:paraId="5A9AEC05">
      <w:pPr>
        <w:rPr>
          <w:rFonts w:hint="eastAsia"/>
        </w:rPr>
      </w:pPr>
    </w:p>
    <w:p w14:paraId="4FA03DC0">
      <w:pPr>
        <w:pStyle w:val="4"/>
      </w:pPr>
      <w:bookmarkStart w:id="24" w:name="_Toc200527727"/>
      <w:bookmarkStart w:id="25" w:name="_Toc210915266"/>
      <w:r>
        <w:t>原辅料及产品情况</w:t>
      </w:r>
      <w:bookmarkEnd w:id="24"/>
      <w:bookmarkEnd w:id="25"/>
    </w:p>
    <w:p w14:paraId="779892D9">
      <w:pPr>
        <w:pStyle w:val="3"/>
        <w:ind w:firstLine="480"/>
      </w:pPr>
      <w:r>
        <w:t>项目主要原辅材料消耗及产品情况见下表所示：</w:t>
      </w:r>
    </w:p>
    <w:p w14:paraId="77313326">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本公司原辅材料使用情况</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002"/>
        <w:gridCol w:w="426"/>
        <w:gridCol w:w="859"/>
        <w:gridCol w:w="689"/>
        <w:gridCol w:w="907"/>
        <w:gridCol w:w="840"/>
        <w:gridCol w:w="698"/>
        <w:gridCol w:w="1695"/>
        <w:gridCol w:w="978"/>
      </w:tblGrid>
      <w:tr w14:paraId="68A7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7" w:type="pct"/>
            <w:shd w:val="clear" w:color="auto" w:fill="FFFFFF"/>
            <w:vAlign w:val="center"/>
          </w:tcPr>
          <w:p w14:paraId="2802786C">
            <w:pPr>
              <w:pStyle w:val="78"/>
            </w:pPr>
            <w:bookmarkStart w:id="26" w:name="_Hlk173765889"/>
            <w:bookmarkStart w:id="27" w:name="OLE_LINK1"/>
            <w:r>
              <w:t>序号</w:t>
            </w:r>
          </w:p>
        </w:tc>
        <w:tc>
          <w:tcPr>
            <w:tcW w:w="594" w:type="pct"/>
            <w:shd w:val="clear" w:color="auto" w:fill="FFFFFF"/>
            <w:vAlign w:val="center"/>
          </w:tcPr>
          <w:p w14:paraId="01D29145">
            <w:pPr>
              <w:pStyle w:val="78"/>
            </w:pPr>
            <w:r>
              <w:t>名称</w:t>
            </w:r>
          </w:p>
        </w:tc>
        <w:tc>
          <w:tcPr>
            <w:tcW w:w="199" w:type="pct"/>
            <w:shd w:val="clear" w:color="auto" w:fill="FFFFFF"/>
            <w:vAlign w:val="center"/>
          </w:tcPr>
          <w:p w14:paraId="061BA2DE">
            <w:pPr>
              <w:pStyle w:val="78"/>
            </w:pPr>
            <w:r>
              <w:t>单位</w:t>
            </w:r>
          </w:p>
        </w:tc>
        <w:tc>
          <w:tcPr>
            <w:tcW w:w="510" w:type="pct"/>
            <w:shd w:val="clear" w:color="auto" w:fill="FFFFFF"/>
            <w:vAlign w:val="center"/>
          </w:tcPr>
          <w:p w14:paraId="6D43C4DD">
            <w:pPr>
              <w:pStyle w:val="78"/>
            </w:pPr>
            <w:r>
              <w:t>年用量</w:t>
            </w:r>
          </w:p>
        </w:tc>
        <w:tc>
          <w:tcPr>
            <w:tcW w:w="410" w:type="pct"/>
            <w:shd w:val="clear" w:color="auto" w:fill="FFFFFF"/>
          </w:tcPr>
          <w:p w14:paraId="5BE4352E">
            <w:pPr>
              <w:pStyle w:val="78"/>
            </w:pPr>
            <w:r>
              <w:rPr>
                <w:rFonts w:hint="eastAsia"/>
              </w:rPr>
              <w:t>物料状态</w:t>
            </w:r>
          </w:p>
        </w:tc>
        <w:tc>
          <w:tcPr>
            <w:tcW w:w="538" w:type="pct"/>
            <w:shd w:val="clear" w:color="auto" w:fill="FFFFFF"/>
            <w:vAlign w:val="center"/>
          </w:tcPr>
          <w:p w14:paraId="5CD90DC9">
            <w:pPr>
              <w:pStyle w:val="78"/>
            </w:pPr>
            <w:r>
              <w:t>最大储存量</w:t>
            </w:r>
          </w:p>
        </w:tc>
        <w:tc>
          <w:tcPr>
            <w:tcW w:w="498" w:type="pct"/>
            <w:shd w:val="clear" w:color="auto" w:fill="FFFFFF"/>
            <w:vAlign w:val="center"/>
          </w:tcPr>
          <w:p w14:paraId="0DF2BD53">
            <w:pPr>
              <w:pStyle w:val="78"/>
            </w:pPr>
            <w:r>
              <w:t>贮存位置</w:t>
            </w:r>
          </w:p>
        </w:tc>
        <w:tc>
          <w:tcPr>
            <w:tcW w:w="415" w:type="pct"/>
            <w:shd w:val="clear" w:color="auto" w:fill="FFFFFF"/>
            <w:vAlign w:val="center"/>
          </w:tcPr>
          <w:p w14:paraId="3455E2CF">
            <w:pPr>
              <w:pStyle w:val="78"/>
            </w:pPr>
            <w:r>
              <w:t>来源</w:t>
            </w:r>
          </w:p>
        </w:tc>
        <w:tc>
          <w:tcPr>
            <w:tcW w:w="1000" w:type="pct"/>
            <w:shd w:val="clear" w:color="auto" w:fill="FFFFFF"/>
            <w:vAlign w:val="center"/>
          </w:tcPr>
          <w:p w14:paraId="5DEAE7E1">
            <w:pPr>
              <w:pStyle w:val="78"/>
            </w:pPr>
            <w:r>
              <w:t>备注</w:t>
            </w:r>
          </w:p>
        </w:tc>
        <w:tc>
          <w:tcPr>
            <w:tcW w:w="578" w:type="pct"/>
            <w:shd w:val="clear" w:color="auto" w:fill="FFFFFF"/>
            <w:vAlign w:val="center"/>
          </w:tcPr>
          <w:p w14:paraId="17CE83EC">
            <w:pPr>
              <w:pStyle w:val="78"/>
            </w:pPr>
            <w:r>
              <w:rPr>
                <w:rFonts w:hint="eastAsia"/>
              </w:rPr>
              <w:t>使用工序/设备</w:t>
            </w:r>
          </w:p>
        </w:tc>
      </w:tr>
      <w:tr w14:paraId="7FBB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10"/>
            <w:shd w:val="clear" w:color="auto" w:fill="FFFFFF"/>
          </w:tcPr>
          <w:p w14:paraId="064E2A5E">
            <w:pPr>
              <w:pStyle w:val="78"/>
            </w:pPr>
            <w:r>
              <w:t>主要原料</w:t>
            </w:r>
          </w:p>
        </w:tc>
      </w:tr>
      <w:tr w14:paraId="1F9C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6A1A01AF">
            <w:pPr>
              <w:pStyle w:val="78"/>
            </w:pPr>
            <w:r>
              <w:t>1</w:t>
            </w:r>
          </w:p>
        </w:tc>
        <w:tc>
          <w:tcPr>
            <w:tcW w:w="594" w:type="pct"/>
            <w:shd w:val="clear" w:color="auto" w:fill="FFFFFF"/>
            <w:vAlign w:val="center"/>
          </w:tcPr>
          <w:p w14:paraId="02BF96EE">
            <w:pPr>
              <w:pStyle w:val="78"/>
            </w:pPr>
            <w:r>
              <w:t>废塑料</w:t>
            </w:r>
          </w:p>
        </w:tc>
        <w:tc>
          <w:tcPr>
            <w:tcW w:w="199" w:type="pct"/>
            <w:shd w:val="clear" w:color="auto" w:fill="FFFFFF"/>
            <w:vAlign w:val="center"/>
          </w:tcPr>
          <w:p w14:paraId="0B0DE1B6">
            <w:pPr>
              <w:pStyle w:val="78"/>
            </w:pPr>
            <w:r>
              <w:t>t</w:t>
            </w:r>
          </w:p>
        </w:tc>
        <w:tc>
          <w:tcPr>
            <w:tcW w:w="510" w:type="pct"/>
            <w:shd w:val="clear" w:color="auto" w:fill="FFFFFF"/>
            <w:vAlign w:val="center"/>
          </w:tcPr>
          <w:p w14:paraId="2E98ADE8">
            <w:pPr>
              <w:pStyle w:val="78"/>
            </w:pPr>
            <w:r>
              <w:t>20万</w:t>
            </w:r>
          </w:p>
        </w:tc>
        <w:tc>
          <w:tcPr>
            <w:tcW w:w="410" w:type="pct"/>
            <w:shd w:val="clear" w:color="auto" w:fill="FFFFFF"/>
            <w:vAlign w:val="center"/>
          </w:tcPr>
          <w:p w14:paraId="32545CE3">
            <w:pPr>
              <w:pStyle w:val="78"/>
            </w:pPr>
            <w:bookmarkStart w:id="28" w:name="OLE_LINK14"/>
            <w:r>
              <w:rPr>
                <w:rFonts w:hint="eastAsia"/>
              </w:rPr>
              <w:t>固体</w:t>
            </w:r>
            <w:bookmarkEnd w:id="28"/>
          </w:p>
        </w:tc>
        <w:tc>
          <w:tcPr>
            <w:tcW w:w="538" w:type="pct"/>
            <w:shd w:val="clear" w:color="auto" w:fill="FFFFFF"/>
            <w:vAlign w:val="center"/>
          </w:tcPr>
          <w:p w14:paraId="697C4339">
            <w:pPr>
              <w:pStyle w:val="78"/>
            </w:pPr>
            <w:r>
              <w:t>1.44</w:t>
            </w:r>
            <w:r>
              <w:rPr>
                <w:rFonts w:hint="eastAsia"/>
              </w:rPr>
              <w:t>万</w:t>
            </w:r>
          </w:p>
        </w:tc>
        <w:tc>
          <w:tcPr>
            <w:tcW w:w="498" w:type="pct"/>
            <w:shd w:val="clear" w:color="auto" w:fill="FFFFFF"/>
            <w:vAlign w:val="center"/>
          </w:tcPr>
          <w:p w14:paraId="5F2BC03A">
            <w:pPr>
              <w:pStyle w:val="78"/>
            </w:pPr>
            <w:r>
              <w:t>库房</w:t>
            </w:r>
          </w:p>
        </w:tc>
        <w:tc>
          <w:tcPr>
            <w:tcW w:w="415" w:type="pct"/>
            <w:shd w:val="clear" w:color="auto" w:fill="FFFFFF"/>
            <w:vAlign w:val="center"/>
          </w:tcPr>
          <w:p w14:paraId="2C7A636A">
            <w:pPr>
              <w:pStyle w:val="78"/>
            </w:pPr>
            <w:r>
              <w:t>/</w:t>
            </w:r>
          </w:p>
        </w:tc>
        <w:tc>
          <w:tcPr>
            <w:tcW w:w="1000" w:type="pct"/>
            <w:shd w:val="clear" w:color="auto" w:fill="FFFFFF"/>
            <w:vAlign w:val="center"/>
          </w:tcPr>
          <w:p w14:paraId="6E449406">
            <w:pPr>
              <w:pStyle w:val="78"/>
            </w:pPr>
            <w:r>
              <w:rPr>
                <w:rFonts w:hint="eastAsia"/>
              </w:rPr>
              <w:t>主要回收塑料为</w:t>
            </w:r>
            <w:r>
              <w:t>PVC（聚氯乙烯）、PE（聚乙烯）、PP（聚丙烯）</w:t>
            </w:r>
          </w:p>
        </w:tc>
        <w:tc>
          <w:tcPr>
            <w:tcW w:w="578" w:type="pct"/>
            <w:shd w:val="clear" w:color="auto" w:fill="FFFFFF"/>
            <w:vAlign w:val="center"/>
          </w:tcPr>
          <w:p w14:paraId="57EFA510">
            <w:pPr>
              <w:pStyle w:val="78"/>
            </w:pPr>
            <w:r>
              <w:rPr>
                <w:rFonts w:hint="eastAsia"/>
              </w:rPr>
              <w:t>反应器</w:t>
            </w:r>
          </w:p>
        </w:tc>
      </w:tr>
      <w:tr w14:paraId="6793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10"/>
            <w:shd w:val="clear" w:color="auto" w:fill="FFFFFF"/>
          </w:tcPr>
          <w:p w14:paraId="45624F95">
            <w:pPr>
              <w:pStyle w:val="78"/>
            </w:pPr>
            <w:r>
              <w:rPr>
                <w:rFonts w:hint="eastAsia"/>
              </w:rPr>
              <w:t>生产</w:t>
            </w:r>
            <w:r>
              <w:t>辅助材料</w:t>
            </w:r>
          </w:p>
        </w:tc>
      </w:tr>
      <w:tr w14:paraId="24BD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2F301B82">
            <w:pPr>
              <w:pStyle w:val="78"/>
            </w:pPr>
            <w:r>
              <w:t>1</w:t>
            </w:r>
          </w:p>
        </w:tc>
        <w:tc>
          <w:tcPr>
            <w:tcW w:w="594" w:type="pct"/>
            <w:shd w:val="clear" w:color="auto" w:fill="FFFFFF"/>
            <w:vAlign w:val="center"/>
          </w:tcPr>
          <w:p w14:paraId="639C1B5F">
            <w:pPr>
              <w:pStyle w:val="78"/>
            </w:pPr>
            <w:r>
              <w:t>阻聚剂</w:t>
            </w:r>
          </w:p>
        </w:tc>
        <w:tc>
          <w:tcPr>
            <w:tcW w:w="199" w:type="pct"/>
            <w:shd w:val="clear" w:color="auto" w:fill="FFFFFF"/>
            <w:vAlign w:val="center"/>
          </w:tcPr>
          <w:p w14:paraId="76D300D9">
            <w:pPr>
              <w:pStyle w:val="78"/>
            </w:pPr>
            <w:r>
              <w:t>t</w:t>
            </w:r>
          </w:p>
        </w:tc>
        <w:tc>
          <w:tcPr>
            <w:tcW w:w="510" w:type="pct"/>
            <w:shd w:val="clear" w:color="auto" w:fill="FFFFFF"/>
            <w:vAlign w:val="center"/>
          </w:tcPr>
          <w:p w14:paraId="17D46FE8">
            <w:pPr>
              <w:pStyle w:val="78"/>
            </w:pPr>
            <w:r>
              <w:rPr>
                <w:rFonts w:hint="eastAsia"/>
              </w:rPr>
              <w:t>3.5</w:t>
            </w:r>
          </w:p>
        </w:tc>
        <w:tc>
          <w:tcPr>
            <w:tcW w:w="410" w:type="pct"/>
            <w:shd w:val="clear" w:color="auto" w:fill="FFFFFF"/>
            <w:vAlign w:val="center"/>
          </w:tcPr>
          <w:p w14:paraId="4BD5E07C">
            <w:pPr>
              <w:pStyle w:val="78"/>
            </w:pPr>
            <w:r>
              <w:rPr>
                <w:rFonts w:hint="eastAsia"/>
              </w:rPr>
              <w:t>液体</w:t>
            </w:r>
          </w:p>
        </w:tc>
        <w:tc>
          <w:tcPr>
            <w:tcW w:w="538" w:type="pct"/>
            <w:shd w:val="clear" w:color="auto" w:fill="FFFFFF"/>
            <w:vAlign w:val="center"/>
          </w:tcPr>
          <w:p w14:paraId="6711E0A4">
            <w:pPr>
              <w:pStyle w:val="78"/>
            </w:pPr>
            <w:r>
              <w:rPr>
                <w:rFonts w:hint="eastAsia"/>
              </w:rPr>
              <w:t>/</w:t>
            </w:r>
          </w:p>
        </w:tc>
        <w:tc>
          <w:tcPr>
            <w:tcW w:w="498" w:type="pct"/>
            <w:shd w:val="clear" w:color="auto" w:fill="FFFFFF"/>
            <w:vAlign w:val="center"/>
          </w:tcPr>
          <w:p w14:paraId="33E3ED7D">
            <w:pPr>
              <w:pStyle w:val="78"/>
            </w:pPr>
            <w:r>
              <w:t>库房</w:t>
            </w:r>
          </w:p>
        </w:tc>
        <w:tc>
          <w:tcPr>
            <w:tcW w:w="415" w:type="pct"/>
            <w:shd w:val="clear" w:color="auto" w:fill="FFFFFF"/>
            <w:vAlign w:val="center"/>
          </w:tcPr>
          <w:p w14:paraId="4A1A9C31">
            <w:pPr>
              <w:pStyle w:val="78"/>
            </w:pPr>
            <w:r>
              <w:t>外购</w:t>
            </w:r>
          </w:p>
        </w:tc>
        <w:tc>
          <w:tcPr>
            <w:tcW w:w="1000" w:type="pct"/>
            <w:shd w:val="clear" w:color="auto" w:fill="FFFFFF"/>
            <w:vAlign w:val="center"/>
          </w:tcPr>
          <w:p w14:paraId="79E6DE16">
            <w:pPr>
              <w:pStyle w:val="78"/>
            </w:pPr>
            <w:r>
              <w:t xml:space="preserve">对叔丁基邻苯二酚 </w:t>
            </w:r>
          </w:p>
        </w:tc>
        <w:tc>
          <w:tcPr>
            <w:tcW w:w="578" w:type="pct"/>
            <w:shd w:val="clear" w:color="auto" w:fill="FFFFFF"/>
            <w:vAlign w:val="center"/>
          </w:tcPr>
          <w:p w14:paraId="28E2ED7A">
            <w:pPr>
              <w:pStyle w:val="78"/>
            </w:pPr>
            <w:r>
              <w:rPr>
                <w:rFonts w:hint="eastAsia"/>
              </w:rPr>
              <w:t>稳定塔</w:t>
            </w:r>
          </w:p>
        </w:tc>
      </w:tr>
      <w:tr w14:paraId="22D9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06CD9106">
            <w:pPr>
              <w:pStyle w:val="78"/>
            </w:pPr>
            <w:r>
              <w:rPr>
                <w:rFonts w:hint="eastAsia"/>
              </w:rPr>
              <w:t>2</w:t>
            </w:r>
          </w:p>
        </w:tc>
        <w:tc>
          <w:tcPr>
            <w:tcW w:w="594" w:type="pct"/>
            <w:shd w:val="clear" w:color="auto" w:fill="FFFFFF"/>
            <w:vAlign w:val="center"/>
          </w:tcPr>
          <w:p w14:paraId="174149CE">
            <w:pPr>
              <w:pStyle w:val="78"/>
            </w:pPr>
            <w:r>
              <w:t>分子筛催化剂</w:t>
            </w:r>
          </w:p>
        </w:tc>
        <w:tc>
          <w:tcPr>
            <w:tcW w:w="199" w:type="pct"/>
            <w:shd w:val="clear" w:color="auto" w:fill="FFFFFF"/>
            <w:vAlign w:val="center"/>
          </w:tcPr>
          <w:p w14:paraId="3EB92746">
            <w:pPr>
              <w:pStyle w:val="78"/>
            </w:pPr>
            <w:r>
              <w:t>t</w:t>
            </w:r>
          </w:p>
        </w:tc>
        <w:tc>
          <w:tcPr>
            <w:tcW w:w="510" w:type="pct"/>
            <w:shd w:val="clear" w:color="auto" w:fill="FFFFFF"/>
            <w:vAlign w:val="center"/>
          </w:tcPr>
          <w:p w14:paraId="60246E30">
            <w:pPr>
              <w:pStyle w:val="78"/>
            </w:pPr>
            <w:r>
              <w:t>1200</w:t>
            </w:r>
          </w:p>
        </w:tc>
        <w:tc>
          <w:tcPr>
            <w:tcW w:w="410" w:type="pct"/>
            <w:shd w:val="clear" w:color="auto" w:fill="FFFFFF"/>
            <w:vAlign w:val="center"/>
          </w:tcPr>
          <w:p w14:paraId="70A40565">
            <w:pPr>
              <w:pStyle w:val="78"/>
            </w:pPr>
            <w:r>
              <w:rPr>
                <w:rFonts w:hint="eastAsia"/>
              </w:rPr>
              <w:t>颗粒</w:t>
            </w:r>
          </w:p>
        </w:tc>
        <w:tc>
          <w:tcPr>
            <w:tcW w:w="538" w:type="pct"/>
            <w:shd w:val="clear" w:color="auto" w:fill="FFFFFF"/>
            <w:vAlign w:val="center"/>
          </w:tcPr>
          <w:p w14:paraId="5F6FEB5A">
            <w:pPr>
              <w:pStyle w:val="78"/>
            </w:pPr>
            <w:r>
              <w:t>100</w:t>
            </w:r>
          </w:p>
        </w:tc>
        <w:tc>
          <w:tcPr>
            <w:tcW w:w="498" w:type="pct"/>
            <w:shd w:val="clear" w:color="auto" w:fill="FFFFFF"/>
            <w:vAlign w:val="center"/>
          </w:tcPr>
          <w:p w14:paraId="63A4B8AE">
            <w:pPr>
              <w:pStyle w:val="78"/>
            </w:pPr>
            <w:r>
              <w:t>库房</w:t>
            </w:r>
          </w:p>
        </w:tc>
        <w:tc>
          <w:tcPr>
            <w:tcW w:w="415" w:type="pct"/>
            <w:shd w:val="clear" w:color="auto" w:fill="FFFFFF"/>
            <w:vAlign w:val="center"/>
          </w:tcPr>
          <w:p w14:paraId="414DD503">
            <w:pPr>
              <w:pStyle w:val="78"/>
            </w:pPr>
            <w:r>
              <w:t>外购</w:t>
            </w:r>
          </w:p>
        </w:tc>
        <w:tc>
          <w:tcPr>
            <w:tcW w:w="1000" w:type="pct"/>
            <w:shd w:val="clear" w:color="auto" w:fill="FFFFFF"/>
            <w:vAlign w:val="center"/>
          </w:tcPr>
          <w:p w14:paraId="61F199D9">
            <w:pPr>
              <w:pStyle w:val="78"/>
            </w:pPr>
            <w:r>
              <w:t>/</w:t>
            </w:r>
          </w:p>
        </w:tc>
        <w:tc>
          <w:tcPr>
            <w:tcW w:w="578" w:type="pct"/>
            <w:vMerge w:val="restart"/>
            <w:shd w:val="clear" w:color="auto" w:fill="FFFFFF"/>
            <w:vAlign w:val="center"/>
          </w:tcPr>
          <w:p w14:paraId="0CA7F7CC">
            <w:pPr>
              <w:pStyle w:val="78"/>
            </w:pPr>
            <w:r>
              <w:rPr>
                <w:rFonts w:hint="eastAsia"/>
              </w:rPr>
              <w:t>反应器-再生器</w:t>
            </w:r>
          </w:p>
        </w:tc>
      </w:tr>
      <w:tr w14:paraId="6F40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1F0D9AE9">
            <w:pPr>
              <w:pStyle w:val="78"/>
            </w:pPr>
            <w:r>
              <w:rPr>
                <w:rFonts w:hint="eastAsia"/>
              </w:rPr>
              <w:t>3</w:t>
            </w:r>
          </w:p>
        </w:tc>
        <w:tc>
          <w:tcPr>
            <w:tcW w:w="594" w:type="pct"/>
            <w:shd w:val="clear" w:color="auto" w:fill="FFFFFF"/>
            <w:vAlign w:val="center"/>
          </w:tcPr>
          <w:p w14:paraId="67FC991C">
            <w:pPr>
              <w:pStyle w:val="78"/>
            </w:pPr>
            <w:r>
              <w:rPr>
                <w:rFonts w:hint="eastAsia"/>
              </w:rPr>
              <w:t>SAR脱硝剂</w:t>
            </w:r>
          </w:p>
        </w:tc>
        <w:tc>
          <w:tcPr>
            <w:tcW w:w="199" w:type="pct"/>
            <w:shd w:val="clear" w:color="auto" w:fill="FFFFFF"/>
            <w:vAlign w:val="center"/>
          </w:tcPr>
          <w:p w14:paraId="608AB76A">
            <w:pPr>
              <w:pStyle w:val="78"/>
            </w:pPr>
            <w:r>
              <w:t>t</w:t>
            </w:r>
          </w:p>
        </w:tc>
        <w:tc>
          <w:tcPr>
            <w:tcW w:w="510" w:type="pct"/>
            <w:shd w:val="clear" w:color="auto" w:fill="FFFFFF" w:themeFill="background1"/>
            <w:vAlign w:val="center"/>
          </w:tcPr>
          <w:p w14:paraId="44AB3B18">
            <w:pPr>
              <w:pStyle w:val="78"/>
            </w:pPr>
            <w:r>
              <w:rPr>
                <w:rFonts w:hint="eastAsia"/>
              </w:rPr>
              <w:t>126</w:t>
            </w:r>
          </w:p>
        </w:tc>
        <w:tc>
          <w:tcPr>
            <w:tcW w:w="410" w:type="pct"/>
            <w:shd w:val="clear" w:color="auto" w:fill="FFFFFF" w:themeFill="background1"/>
            <w:vAlign w:val="center"/>
          </w:tcPr>
          <w:p w14:paraId="7806DC89">
            <w:pPr>
              <w:pStyle w:val="78"/>
            </w:pPr>
            <w:r>
              <w:rPr>
                <w:rFonts w:hint="eastAsia"/>
              </w:rPr>
              <w:t>固体</w:t>
            </w:r>
          </w:p>
        </w:tc>
        <w:tc>
          <w:tcPr>
            <w:tcW w:w="538" w:type="pct"/>
            <w:shd w:val="clear" w:color="auto" w:fill="FFFFFF"/>
            <w:vAlign w:val="center"/>
          </w:tcPr>
          <w:p w14:paraId="3A476549">
            <w:pPr>
              <w:pStyle w:val="78"/>
            </w:pPr>
            <w:r>
              <w:rPr>
                <w:rFonts w:hint="eastAsia"/>
              </w:rPr>
              <w:t>/</w:t>
            </w:r>
          </w:p>
        </w:tc>
        <w:tc>
          <w:tcPr>
            <w:tcW w:w="498" w:type="pct"/>
            <w:shd w:val="clear" w:color="auto" w:fill="FFFFFF"/>
            <w:vAlign w:val="center"/>
          </w:tcPr>
          <w:p w14:paraId="6005828D">
            <w:pPr>
              <w:pStyle w:val="78"/>
            </w:pPr>
            <w:r>
              <w:t>库房</w:t>
            </w:r>
          </w:p>
        </w:tc>
        <w:tc>
          <w:tcPr>
            <w:tcW w:w="415" w:type="pct"/>
            <w:shd w:val="clear" w:color="auto" w:fill="FFFFFF"/>
            <w:vAlign w:val="center"/>
          </w:tcPr>
          <w:p w14:paraId="4E6E3DAE">
            <w:pPr>
              <w:pStyle w:val="78"/>
            </w:pPr>
            <w:r>
              <w:t>外购</w:t>
            </w:r>
          </w:p>
        </w:tc>
        <w:tc>
          <w:tcPr>
            <w:tcW w:w="1000" w:type="pct"/>
            <w:shd w:val="clear" w:color="auto" w:fill="FFFFFF"/>
            <w:vAlign w:val="center"/>
          </w:tcPr>
          <w:p w14:paraId="7641099C">
            <w:pPr>
              <w:pStyle w:val="78"/>
            </w:pPr>
            <w:r>
              <w:t>/</w:t>
            </w:r>
          </w:p>
        </w:tc>
        <w:tc>
          <w:tcPr>
            <w:tcW w:w="578" w:type="pct"/>
            <w:vMerge w:val="continue"/>
            <w:shd w:val="clear" w:color="auto" w:fill="FFFFFF"/>
            <w:vAlign w:val="center"/>
          </w:tcPr>
          <w:p w14:paraId="381A97DD">
            <w:pPr>
              <w:pStyle w:val="78"/>
            </w:pPr>
          </w:p>
        </w:tc>
      </w:tr>
      <w:tr w14:paraId="0E25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23E7D032">
            <w:pPr>
              <w:pStyle w:val="78"/>
            </w:pPr>
            <w:r>
              <w:rPr>
                <w:rFonts w:hint="eastAsia"/>
              </w:rPr>
              <w:t>4</w:t>
            </w:r>
          </w:p>
        </w:tc>
        <w:tc>
          <w:tcPr>
            <w:tcW w:w="594" w:type="pct"/>
            <w:shd w:val="clear" w:color="auto" w:fill="FFFFFF"/>
            <w:vAlign w:val="center"/>
          </w:tcPr>
          <w:p w14:paraId="0F2AE336">
            <w:pPr>
              <w:pStyle w:val="78"/>
            </w:pPr>
            <w:r>
              <w:rPr>
                <w:rFonts w:hint="eastAsia"/>
              </w:rPr>
              <w:t>一氧化碳助燃剂</w:t>
            </w:r>
          </w:p>
        </w:tc>
        <w:tc>
          <w:tcPr>
            <w:tcW w:w="199" w:type="pct"/>
            <w:shd w:val="clear" w:color="auto" w:fill="FFFFFF"/>
            <w:vAlign w:val="center"/>
          </w:tcPr>
          <w:p w14:paraId="7B5B484F">
            <w:pPr>
              <w:pStyle w:val="78"/>
            </w:pPr>
            <w:r>
              <w:rPr>
                <w:rFonts w:hint="eastAsia"/>
              </w:rPr>
              <w:t>t</w:t>
            </w:r>
          </w:p>
        </w:tc>
        <w:tc>
          <w:tcPr>
            <w:tcW w:w="510" w:type="pct"/>
            <w:shd w:val="clear" w:color="auto" w:fill="FFFFFF"/>
            <w:vAlign w:val="center"/>
          </w:tcPr>
          <w:p w14:paraId="77F1F9A7">
            <w:pPr>
              <w:pStyle w:val="78"/>
            </w:pPr>
            <w:r>
              <w:rPr>
                <w:rFonts w:hint="eastAsia"/>
              </w:rPr>
              <w:t>4</w:t>
            </w:r>
          </w:p>
        </w:tc>
        <w:tc>
          <w:tcPr>
            <w:tcW w:w="410" w:type="pct"/>
            <w:shd w:val="clear" w:color="auto" w:fill="FFFFFF" w:themeFill="background1"/>
            <w:vAlign w:val="center"/>
          </w:tcPr>
          <w:p w14:paraId="19037EB8">
            <w:pPr>
              <w:pStyle w:val="78"/>
            </w:pPr>
            <w:r>
              <w:rPr>
                <w:rFonts w:hint="eastAsia"/>
              </w:rPr>
              <w:t>固体</w:t>
            </w:r>
          </w:p>
        </w:tc>
        <w:tc>
          <w:tcPr>
            <w:tcW w:w="538" w:type="pct"/>
            <w:shd w:val="clear" w:color="auto" w:fill="FFFFFF"/>
            <w:vAlign w:val="center"/>
          </w:tcPr>
          <w:p w14:paraId="362126D8">
            <w:pPr>
              <w:pStyle w:val="78"/>
            </w:pPr>
            <w:r>
              <w:rPr>
                <w:rFonts w:hint="eastAsia"/>
              </w:rPr>
              <w:t>0.5</w:t>
            </w:r>
          </w:p>
        </w:tc>
        <w:tc>
          <w:tcPr>
            <w:tcW w:w="498" w:type="pct"/>
            <w:shd w:val="clear" w:color="auto" w:fill="FFFFFF"/>
            <w:vAlign w:val="center"/>
          </w:tcPr>
          <w:p w14:paraId="30DC09AE">
            <w:pPr>
              <w:pStyle w:val="78"/>
            </w:pPr>
            <w:r>
              <w:t>库房</w:t>
            </w:r>
          </w:p>
        </w:tc>
        <w:tc>
          <w:tcPr>
            <w:tcW w:w="415" w:type="pct"/>
            <w:shd w:val="clear" w:color="auto" w:fill="FFFFFF"/>
            <w:vAlign w:val="center"/>
          </w:tcPr>
          <w:p w14:paraId="046C308E">
            <w:pPr>
              <w:pStyle w:val="78"/>
            </w:pPr>
            <w:r>
              <w:t>外购</w:t>
            </w:r>
          </w:p>
        </w:tc>
        <w:tc>
          <w:tcPr>
            <w:tcW w:w="1000" w:type="pct"/>
            <w:shd w:val="clear" w:color="auto" w:fill="FFFFFF"/>
            <w:vAlign w:val="center"/>
          </w:tcPr>
          <w:p w14:paraId="458F70FB">
            <w:pPr>
              <w:pStyle w:val="78"/>
            </w:pPr>
            <w:r>
              <w:t>/</w:t>
            </w:r>
          </w:p>
        </w:tc>
        <w:tc>
          <w:tcPr>
            <w:tcW w:w="578" w:type="pct"/>
            <w:vMerge w:val="continue"/>
            <w:shd w:val="clear" w:color="auto" w:fill="FFFFFF"/>
            <w:vAlign w:val="center"/>
          </w:tcPr>
          <w:p w14:paraId="2AEE2C45">
            <w:pPr>
              <w:pStyle w:val="78"/>
            </w:pPr>
          </w:p>
        </w:tc>
      </w:tr>
      <w:tr w14:paraId="22FD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405B92EE">
            <w:pPr>
              <w:pStyle w:val="78"/>
            </w:pPr>
            <w:r>
              <w:rPr>
                <w:rFonts w:hint="eastAsia"/>
              </w:rPr>
              <w:t>5</w:t>
            </w:r>
          </w:p>
        </w:tc>
        <w:tc>
          <w:tcPr>
            <w:tcW w:w="594" w:type="pct"/>
            <w:shd w:val="clear" w:color="auto" w:fill="FFFFFF"/>
            <w:vAlign w:val="center"/>
          </w:tcPr>
          <w:p w14:paraId="14209CEA">
            <w:pPr>
              <w:pStyle w:val="78"/>
            </w:pPr>
            <w:r>
              <w:t>32%</w:t>
            </w:r>
            <w:r>
              <w:rPr>
                <w:rFonts w:hint="eastAsia"/>
              </w:rPr>
              <w:t>液碱</w:t>
            </w:r>
          </w:p>
        </w:tc>
        <w:tc>
          <w:tcPr>
            <w:tcW w:w="199" w:type="pct"/>
            <w:shd w:val="clear" w:color="auto" w:fill="FFFFFF"/>
            <w:vAlign w:val="center"/>
          </w:tcPr>
          <w:p w14:paraId="4230786D">
            <w:pPr>
              <w:pStyle w:val="78"/>
            </w:pPr>
            <w:r>
              <w:t>t</w:t>
            </w:r>
          </w:p>
        </w:tc>
        <w:tc>
          <w:tcPr>
            <w:tcW w:w="510" w:type="pct"/>
            <w:shd w:val="clear" w:color="auto" w:fill="FFFFFF"/>
            <w:vAlign w:val="center"/>
          </w:tcPr>
          <w:p w14:paraId="5888C902">
            <w:pPr>
              <w:pStyle w:val="78"/>
            </w:pPr>
            <w:r>
              <w:t>136090</w:t>
            </w:r>
          </w:p>
        </w:tc>
        <w:tc>
          <w:tcPr>
            <w:tcW w:w="410" w:type="pct"/>
            <w:shd w:val="clear" w:color="auto" w:fill="FFFFFF"/>
            <w:vAlign w:val="center"/>
          </w:tcPr>
          <w:p w14:paraId="129442A6">
            <w:pPr>
              <w:pStyle w:val="78"/>
            </w:pPr>
            <w:r>
              <w:rPr>
                <w:rFonts w:hint="eastAsia"/>
              </w:rPr>
              <w:t>液体</w:t>
            </w:r>
          </w:p>
        </w:tc>
        <w:tc>
          <w:tcPr>
            <w:tcW w:w="538" w:type="pct"/>
            <w:shd w:val="clear" w:color="auto" w:fill="FFFFFF"/>
            <w:vAlign w:val="center"/>
          </w:tcPr>
          <w:p w14:paraId="5CCD8384">
            <w:pPr>
              <w:pStyle w:val="78"/>
            </w:pPr>
            <w:r>
              <w:rPr>
                <w:rFonts w:hint="eastAsia"/>
              </w:rPr>
              <w:t>268</w:t>
            </w:r>
          </w:p>
        </w:tc>
        <w:tc>
          <w:tcPr>
            <w:tcW w:w="498" w:type="pct"/>
            <w:shd w:val="clear" w:color="auto" w:fill="FFFFFF"/>
            <w:vAlign w:val="center"/>
          </w:tcPr>
          <w:p w14:paraId="533B350B">
            <w:pPr>
              <w:pStyle w:val="78"/>
            </w:pPr>
            <w:r>
              <w:rPr>
                <w:rFonts w:hint="eastAsia"/>
              </w:rPr>
              <w:t>裂解单元缓存罐</w:t>
            </w:r>
          </w:p>
        </w:tc>
        <w:tc>
          <w:tcPr>
            <w:tcW w:w="415" w:type="pct"/>
            <w:shd w:val="clear" w:color="auto" w:fill="FFFFFF"/>
            <w:vAlign w:val="center"/>
          </w:tcPr>
          <w:p w14:paraId="216EDBE3">
            <w:pPr>
              <w:pStyle w:val="78"/>
            </w:pPr>
            <w:r>
              <w:t>外购</w:t>
            </w:r>
          </w:p>
        </w:tc>
        <w:tc>
          <w:tcPr>
            <w:tcW w:w="1000" w:type="pct"/>
            <w:shd w:val="clear" w:color="auto" w:fill="FFFFFF"/>
            <w:vAlign w:val="center"/>
          </w:tcPr>
          <w:p w14:paraId="34F654BA">
            <w:pPr>
              <w:pStyle w:val="78"/>
            </w:pPr>
            <w:r>
              <w:rPr>
                <w:rFonts w:hint="eastAsia"/>
              </w:rPr>
              <w:t>32%氢氧化钠</w:t>
            </w:r>
          </w:p>
        </w:tc>
        <w:tc>
          <w:tcPr>
            <w:tcW w:w="578" w:type="pct"/>
            <w:shd w:val="clear" w:color="auto" w:fill="FFFFFF"/>
            <w:vAlign w:val="center"/>
          </w:tcPr>
          <w:p w14:paraId="691D456D">
            <w:pPr>
              <w:pStyle w:val="78"/>
            </w:pPr>
            <w:r>
              <w:rPr>
                <w:rFonts w:hint="eastAsia"/>
              </w:rPr>
              <w:t>水洗塔</w:t>
            </w:r>
          </w:p>
        </w:tc>
      </w:tr>
      <w:tr w14:paraId="3CAA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69E58B9D">
            <w:pPr>
              <w:pStyle w:val="78"/>
            </w:pPr>
            <w:r>
              <w:rPr>
                <w:rFonts w:hint="eastAsia"/>
              </w:rPr>
              <w:t>6</w:t>
            </w:r>
          </w:p>
        </w:tc>
        <w:tc>
          <w:tcPr>
            <w:tcW w:w="594" w:type="pct"/>
            <w:shd w:val="clear" w:color="auto" w:fill="FFFFFF"/>
            <w:vAlign w:val="center"/>
          </w:tcPr>
          <w:p w14:paraId="2629FC59">
            <w:pPr>
              <w:pStyle w:val="78"/>
            </w:pPr>
            <w:r>
              <w:rPr>
                <w:rFonts w:hint="eastAsia"/>
              </w:rPr>
              <w:t>次氯酸钠溶液</w:t>
            </w:r>
          </w:p>
        </w:tc>
        <w:tc>
          <w:tcPr>
            <w:tcW w:w="199" w:type="pct"/>
            <w:shd w:val="clear" w:color="auto" w:fill="FFFFFF"/>
            <w:vAlign w:val="center"/>
          </w:tcPr>
          <w:p w14:paraId="33C2B4E7">
            <w:pPr>
              <w:pStyle w:val="78"/>
            </w:pPr>
            <w:r>
              <w:t>t</w:t>
            </w:r>
          </w:p>
        </w:tc>
        <w:tc>
          <w:tcPr>
            <w:tcW w:w="510" w:type="pct"/>
            <w:shd w:val="clear" w:color="auto" w:fill="FFFFFF"/>
            <w:vAlign w:val="center"/>
          </w:tcPr>
          <w:p w14:paraId="4FA2E233">
            <w:pPr>
              <w:pStyle w:val="78"/>
            </w:pPr>
            <w:r>
              <w:rPr>
                <w:rFonts w:hint="eastAsia"/>
              </w:rPr>
              <w:t>85</w:t>
            </w:r>
          </w:p>
        </w:tc>
        <w:tc>
          <w:tcPr>
            <w:tcW w:w="410" w:type="pct"/>
            <w:shd w:val="clear" w:color="auto" w:fill="FFFFFF"/>
            <w:vAlign w:val="center"/>
          </w:tcPr>
          <w:p w14:paraId="36CCA807">
            <w:pPr>
              <w:pStyle w:val="78"/>
            </w:pPr>
            <w:r>
              <w:rPr>
                <w:rFonts w:hint="eastAsia"/>
              </w:rPr>
              <w:t>液体</w:t>
            </w:r>
          </w:p>
        </w:tc>
        <w:tc>
          <w:tcPr>
            <w:tcW w:w="538" w:type="pct"/>
            <w:shd w:val="clear" w:color="auto" w:fill="FFFFFF"/>
            <w:vAlign w:val="center"/>
          </w:tcPr>
          <w:p w14:paraId="6456E4CA">
            <w:pPr>
              <w:pStyle w:val="78"/>
            </w:pPr>
            <w:r>
              <w:rPr>
                <w:rFonts w:hint="eastAsia"/>
              </w:rPr>
              <w:t>3</w:t>
            </w:r>
          </w:p>
        </w:tc>
        <w:tc>
          <w:tcPr>
            <w:tcW w:w="498" w:type="pct"/>
            <w:vMerge w:val="restart"/>
            <w:shd w:val="clear" w:color="auto" w:fill="FFFFFF"/>
            <w:vAlign w:val="center"/>
          </w:tcPr>
          <w:p w14:paraId="749407D3">
            <w:pPr>
              <w:pStyle w:val="78"/>
            </w:pPr>
            <w:r>
              <w:rPr>
                <w:rFonts w:hint="eastAsia"/>
              </w:rPr>
              <w:t>除盐水站加药间</w:t>
            </w:r>
          </w:p>
        </w:tc>
        <w:tc>
          <w:tcPr>
            <w:tcW w:w="415" w:type="pct"/>
            <w:shd w:val="clear" w:color="auto" w:fill="FFFFFF"/>
            <w:vAlign w:val="center"/>
          </w:tcPr>
          <w:p w14:paraId="6DFD1FD0">
            <w:pPr>
              <w:pStyle w:val="78"/>
            </w:pPr>
            <w:r>
              <w:t>外购</w:t>
            </w:r>
          </w:p>
        </w:tc>
        <w:tc>
          <w:tcPr>
            <w:tcW w:w="1000" w:type="pct"/>
            <w:shd w:val="clear" w:color="auto" w:fill="FFFFFF"/>
            <w:vAlign w:val="center"/>
          </w:tcPr>
          <w:p w14:paraId="22BA59A3">
            <w:pPr>
              <w:pStyle w:val="78"/>
            </w:pPr>
            <w:r>
              <w:rPr>
                <w:rFonts w:hint="eastAsia"/>
              </w:rPr>
              <w:t>含量10%</w:t>
            </w:r>
          </w:p>
        </w:tc>
        <w:tc>
          <w:tcPr>
            <w:tcW w:w="578" w:type="pct"/>
            <w:vMerge w:val="restart"/>
            <w:shd w:val="clear" w:color="auto" w:fill="FFFFFF"/>
            <w:vAlign w:val="center"/>
          </w:tcPr>
          <w:p w14:paraId="620D8B6B">
            <w:pPr>
              <w:pStyle w:val="78"/>
            </w:pPr>
            <w:r>
              <w:rPr>
                <w:rFonts w:hint="eastAsia"/>
              </w:rPr>
              <w:t>除盐水</w:t>
            </w:r>
          </w:p>
        </w:tc>
      </w:tr>
      <w:tr w14:paraId="1852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721C9623">
            <w:pPr>
              <w:pStyle w:val="78"/>
            </w:pPr>
            <w:r>
              <w:rPr>
                <w:rFonts w:hint="eastAsia"/>
              </w:rPr>
              <w:t>7</w:t>
            </w:r>
          </w:p>
        </w:tc>
        <w:tc>
          <w:tcPr>
            <w:tcW w:w="594" w:type="pct"/>
            <w:shd w:val="clear" w:color="auto" w:fill="FFFFFF"/>
            <w:vAlign w:val="center"/>
          </w:tcPr>
          <w:p w14:paraId="4DB8AADC">
            <w:pPr>
              <w:pStyle w:val="78"/>
            </w:pPr>
            <w:r>
              <w:rPr>
                <w:rFonts w:hint="eastAsia"/>
              </w:rPr>
              <w:t>盐酸</w:t>
            </w:r>
          </w:p>
        </w:tc>
        <w:tc>
          <w:tcPr>
            <w:tcW w:w="199" w:type="pct"/>
            <w:shd w:val="clear" w:color="auto" w:fill="FFFFFF"/>
            <w:vAlign w:val="center"/>
          </w:tcPr>
          <w:p w14:paraId="407F945C">
            <w:pPr>
              <w:pStyle w:val="78"/>
            </w:pPr>
            <w:r>
              <w:t>t</w:t>
            </w:r>
          </w:p>
        </w:tc>
        <w:tc>
          <w:tcPr>
            <w:tcW w:w="510" w:type="pct"/>
            <w:shd w:val="clear" w:color="auto" w:fill="FFFFFF"/>
            <w:vAlign w:val="center"/>
          </w:tcPr>
          <w:p w14:paraId="796B7079">
            <w:pPr>
              <w:pStyle w:val="78"/>
            </w:pPr>
            <w:r>
              <w:rPr>
                <w:rFonts w:hint="eastAsia"/>
              </w:rPr>
              <w:t>3</w:t>
            </w:r>
          </w:p>
        </w:tc>
        <w:tc>
          <w:tcPr>
            <w:tcW w:w="410" w:type="pct"/>
            <w:shd w:val="clear" w:color="auto" w:fill="FFFFFF"/>
            <w:vAlign w:val="center"/>
          </w:tcPr>
          <w:p w14:paraId="29C6D71B">
            <w:pPr>
              <w:pStyle w:val="78"/>
            </w:pPr>
            <w:r>
              <w:rPr>
                <w:rFonts w:hint="eastAsia"/>
              </w:rPr>
              <w:t>液体</w:t>
            </w:r>
          </w:p>
        </w:tc>
        <w:tc>
          <w:tcPr>
            <w:tcW w:w="538" w:type="pct"/>
            <w:shd w:val="clear" w:color="auto" w:fill="FFFFFF"/>
            <w:vAlign w:val="center"/>
          </w:tcPr>
          <w:p w14:paraId="4C36F81B">
            <w:pPr>
              <w:pStyle w:val="78"/>
            </w:pPr>
            <w:r>
              <w:rPr>
                <w:rFonts w:hint="eastAsia"/>
              </w:rPr>
              <w:t>2</w:t>
            </w:r>
          </w:p>
        </w:tc>
        <w:tc>
          <w:tcPr>
            <w:tcW w:w="498" w:type="pct"/>
            <w:vMerge w:val="continue"/>
            <w:shd w:val="clear" w:color="auto" w:fill="FFFFFF"/>
            <w:vAlign w:val="center"/>
          </w:tcPr>
          <w:p w14:paraId="73D900B8">
            <w:pPr>
              <w:pStyle w:val="78"/>
            </w:pPr>
          </w:p>
        </w:tc>
        <w:tc>
          <w:tcPr>
            <w:tcW w:w="415" w:type="pct"/>
            <w:shd w:val="clear" w:color="auto" w:fill="FFFFFF"/>
            <w:vAlign w:val="center"/>
          </w:tcPr>
          <w:p w14:paraId="66FD75AC">
            <w:pPr>
              <w:pStyle w:val="78"/>
            </w:pPr>
            <w:r>
              <w:t>外购</w:t>
            </w:r>
          </w:p>
        </w:tc>
        <w:tc>
          <w:tcPr>
            <w:tcW w:w="1000" w:type="pct"/>
            <w:shd w:val="clear" w:color="auto" w:fill="FFFFFF"/>
            <w:vAlign w:val="center"/>
          </w:tcPr>
          <w:p w14:paraId="249837CE">
            <w:pPr>
              <w:pStyle w:val="78"/>
            </w:pPr>
            <w:r>
              <w:rPr>
                <w:rFonts w:hint="eastAsia"/>
              </w:rPr>
              <w:t>含量31%</w:t>
            </w:r>
          </w:p>
        </w:tc>
        <w:tc>
          <w:tcPr>
            <w:tcW w:w="578" w:type="pct"/>
            <w:vMerge w:val="continue"/>
            <w:shd w:val="clear" w:color="auto" w:fill="FFFFFF"/>
            <w:vAlign w:val="center"/>
          </w:tcPr>
          <w:p w14:paraId="7EA19806">
            <w:pPr>
              <w:pStyle w:val="78"/>
            </w:pPr>
          </w:p>
        </w:tc>
      </w:tr>
      <w:tr w14:paraId="019D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2005B721">
            <w:pPr>
              <w:pStyle w:val="78"/>
            </w:pPr>
            <w:r>
              <w:rPr>
                <w:rFonts w:hint="eastAsia"/>
              </w:rPr>
              <w:t>8</w:t>
            </w:r>
          </w:p>
        </w:tc>
        <w:tc>
          <w:tcPr>
            <w:tcW w:w="594" w:type="pct"/>
            <w:shd w:val="clear" w:color="auto" w:fill="FFFFFF"/>
            <w:vAlign w:val="center"/>
          </w:tcPr>
          <w:p w14:paraId="164F2B08">
            <w:pPr>
              <w:pStyle w:val="78"/>
            </w:pPr>
            <w:r>
              <w:rPr>
                <w:rFonts w:hint="eastAsia"/>
              </w:rPr>
              <w:t>氨水</w:t>
            </w:r>
          </w:p>
        </w:tc>
        <w:tc>
          <w:tcPr>
            <w:tcW w:w="199" w:type="pct"/>
            <w:shd w:val="clear" w:color="auto" w:fill="FFFFFF"/>
            <w:vAlign w:val="center"/>
          </w:tcPr>
          <w:p w14:paraId="763294AA">
            <w:pPr>
              <w:pStyle w:val="78"/>
            </w:pPr>
            <w:r>
              <w:t>t</w:t>
            </w:r>
          </w:p>
        </w:tc>
        <w:tc>
          <w:tcPr>
            <w:tcW w:w="510" w:type="pct"/>
            <w:shd w:val="clear" w:color="auto" w:fill="FFFFFF"/>
            <w:vAlign w:val="center"/>
          </w:tcPr>
          <w:p w14:paraId="0D7E37E5">
            <w:pPr>
              <w:pStyle w:val="78"/>
            </w:pPr>
            <w:r>
              <w:rPr>
                <w:rFonts w:hint="eastAsia"/>
              </w:rPr>
              <w:t>10</w:t>
            </w:r>
          </w:p>
        </w:tc>
        <w:tc>
          <w:tcPr>
            <w:tcW w:w="410" w:type="pct"/>
            <w:shd w:val="clear" w:color="auto" w:fill="FFFFFF"/>
            <w:vAlign w:val="center"/>
          </w:tcPr>
          <w:p w14:paraId="3E3302AA">
            <w:pPr>
              <w:pStyle w:val="78"/>
            </w:pPr>
            <w:r>
              <w:rPr>
                <w:rFonts w:hint="eastAsia"/>
              </w:rPr>
              <w:t>液体</w:t>
            </w:r>
          </w:p>
        </w:tc>
        <w:tc>
          <w:tcPr>
            <w:tcW w:w="538" w:type="pct"/>
            <w:shd w:val="clear" w:color="auto" w:fill="FFFFFF"/>
            <w:vAlign w:val="center"/>
          </w:tcPr>
          <w:p w14:paraId="45FA0F9F">
            <w:pPr>
              <w:pStyle w:val="78"/>
            </w:pPr>
            <w:r>
              <w:rPr>
                <w:rFonts w:hint="eastAsia"/>
              </w:rPr>
              <w:t>2</w:t>
            </w:r>
          </w:p>
        </w:tc>
        <w:tc>
          <w:tcPr>
            <w:tcW w:w="498" w:type="pct"/>
            <w:vMerge w:val="continue"/>
            <w:shd w:val="clear" w:color="auto" w:fill="FFFFFF"/>
            <w:vAlign w:val="center"/>
          </w:tcPr>
          <w:p w14:paraId="253614C4">
            <w:pPr>
              <w:pStyle w:val="78"/>
            </w:pPr>
          </w:p>
        </w:tc>
        <w:tc>
          <w:tcPr>
            <w:tcW w:w="415" w:type="pct"/>
            <w:shd w:val="clear" w:color="auto" w:fill="FFFFFF"/>
            <w:vAlign w:val="center"/>
          </w:tcPr>
          <w:p w14:paraId="26C75A0D">
            <w:pPr>
              <w:pStyle w:val="78"/>
            </w:pPr>
            <w:r>
              <w:t>外购</w:t>
            </w:r>
          </w:p>
        </w:tc>
        <w:tc>
          <w:tcPr>
            <w:tcW w:w="1000" w:type="pct"/>
            <w:shd w:val="clear" w:color="auto" w:fill="FFFFFF"/>
            <w:vAlign w:val="center"/>
          </w:tcPr>
          <w:p w14:paraId="48D67D10">
            <w:pPr>
              <w:pStyle w:val="78"/>
            </w:pPr>
            <w:r>
              <w:rPr>
                <w:rFonts w:hint="eastAsia"/>
              </w:rPr>
              <w:t>含量20%</w:t>
            </w:r>
          </w:p>
        </w:tc>
        <w:tc>
          <w:tcPr>
            <w:tcW w:w="578" w:type="pct"/>
            <w:vMerge w:val="continue"/>
            <w:shd w:val="clear" w:color="auto" w:fill="FFFFFF"/>
            <w:vAlign w:val="center"/>
          </w:tcPr>
          <w:p w14:paraId="6788AE92">
            <w:pPr>
              <w:pStyle w:val="78"/>
            </w:pPr>
          </w:p>
        </w:tc>
      </w:tr>
      <w:bookmarkEnd w:id="26"/>
      <w:bookmarkEnd w:id="27"/>
    </w:tbl>
    <w:p w14:paraId="1B1C2452">
      <w:pPr>
        <w:rPr>
          <w:rFonts w:hint="eastAsia"/>
        </w:rPr>
      </w:pPr>
    </w:p>
    <w:p w14:paraId="4D18AE24">
      <w:pPr>
        <w:pStyle w:val="14"/>
        <w:ind w:firstLine="422"/>
        <w:rPr>
          <w:rFonts w:cs="Times New Roman"/>
          <w:color w:val="auto"/>
        </w:rPr>
      </w:pPr>
      <w:bookmarkStart w:id="29" w:name="_Ref195198722"/>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29"/>
      <w:r>
        <w:rPr>
          <w:rFonts w:cs="Times New Roman"/>
          <w:color w:val="auto"/>
        </w:rPr>
        <w:t xml:space="preserve">  本公司产品方案</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1502"/>
        <w:gridCol w:w="1236"/>
        <w:gridCol w:w="1839"/>
        <w:gridCol w:w="1606"/>
        <w:gridCol w:w="1055"/>
      </w:tblGrid>
      <w:tr w14:paraId="5F73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753" w:type="pct"/>
            <w:vAlign w:val="center"/>
          </w:tcPr>
          <w:p w14:paraId="46DD810E">
            <w:pPr>
              <w:pStyle w:val="78"/>
            </w:pPr>
            <w:bookmarkStart w:id="30" w:name="_Hlk173765843"/>
            <w:r>
              <w:t>产品名称</w:t>
            </w:r>
          </w:p>
        </w:tc>
        <w:tc>
          <w:tcPr>
            <w:tcW w:w="881" w:type="pct"/>
            <w:vAlign w:val="center"/>
          </w:tcPr>
          <w:p w14:paraId="3AACD818">
            <w:pPr>
              <w:pStyle w:val="78"/>
            </w:pPr>
            <w:r>
              <w:t>设计年产量（万吨/年）</w:t>
            </w:r>
          </w:p>
        </w:tc>
        <w:tc>
          <w:tcPr>
            <w:tcW w:w="725" w:type="pct"/>
            <w:vAlign w:val="center"/>
          </w:tcPr>
          <w:p w14:paraId="13EADAAD">
            <w:pPr>
              <w:pStyle w:val="78"/>
            </w:pPr>
            <w:r>
              <w:t>物理状态</w:t>
            </w:r>
          </w:p>
        </w:tc>
        <w:tc>
          <w:tcPr>
            <w:tcW w:w="1079" w:type="pct"/>
            <w:vAlign w:val="center"/>
          </w:tcPr>
          <w:p w14:paraId="33D3DD0A">
            <w:pPr>
              <w:pStyle w:val="78"/>
            </w:pPr>
            <w:r>
              <w:t>厂内包装储存方式</w:t>
            </w:r>
          </w:p>
        </w:tc>
        <w:tc>
          <w:tcPr>
            <w:tcW w:w="942" w:type="pct"/>
            <w:vAlign w:val="center"/>
          </w:tcPr>
          <w:p w14:paraId="61D39954">
            <w:pPr>
              <w:pStyle w:val="78"/>
            </w:pPr>
            <w:r>
              <w:t>最大储存量（t）</w:t>
            </w:r>
          </w:p>
        </w:tc>
        <w:tc>
          <w:tcPr>
            <w:tcW w:w="619" w:type="pct"/>
            <w:vAlign w:val="center"/>
          </w:tcPr>
          <w:p w14:paraId="0DAE1D69">
            <w:pPr>
              <w:pStyle w:val="78"/>
            </w:pPr>
            <w:r>
              <w:t>存放位置</w:t>
            </w:r>
          </w:p>
        </w:tc>
      </w:tr>
      <w:tr w14:paraId="469D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3" w:type="pct"/>
            <w:vAlign w:val="center"/>
          </w:tcPr>
          <w:p w14:paraId="0022182F">
            <w:pPr>
              <w:pStyle w:val="78"/>
            </w:pPr>
            <w:r>
              <w:t>液化塑料裂解气</w:t>
            </w:r>
          </w:p>
        </w:tc>
        <w:tc>
          <w:tcPr>
            <w:tcW w:w="881" w:type="pct"/>
            <w:vAlign w:val="center"/>
          </w:tcPr>
          <w:p w14:paraId="37067700">
            <w:pPr>
              <w:pStyle w:val="78"/>
            </w:pPr>
            <w:r>
              <w:t>10.51</w:t>
            </w:r>
          </w:p>
        </w:tc>
        <w:tc>
          <w:tcPr>
            <w:tcW w:w="725" w:type="pct"/>
            <w:vAlign w:val="center"/>
          </w:tcPr>
          <w:p w14:paraId="0E101020">
            <w:pPr>
              <w:pStyle w:val="78"/>
            </w:pPr>
            <w:r>
              <w:t>液体</w:t>
            </w:r>
          </w:p>
        </w:tc>
        <w:tc>
          <w:tcPr>
            <w:tcW w:w="1079" w:type="pct"/>
            <w:vAlign w:val="center"/>
          </w:tcPr>
          <w:p w14:paraId="19474450">
            <w:pPr>
              <w:pStyle w:val="78"/>
            </w:pPr>
            <w:r>
              <w:t>储罐</w:t>
            </w:r>
          </w:p>
        </w:tc>
        <w:tc>
          <w:tcPr>
            <w:tcW w:w="942" w:type="pct"/>
            <w:vAlign w:val="center"/>
          </w:tcPr>
          <w:p w14:paraId="5E147CBD">
            <w:pPr>
              <w:pStyle w:val="78"/>
            </w:pPr>
            <w:r>
              <w:t>1800</w:t>
            </w:r>
          </w:p>
        </w:tc>
        <w:tc>
          <w:tcPr>
            <w:tcW w:w="619" w:type="pct"/>
            <w:vAlign w:val="center"/>
          </w:tcPr>
          <w:p w14:paraId="53024A08">
            <w:pPr>
              <w:pStyle w:val="78"/>
            </w:pPr>
            <w:r>
              <w:t>球罐区</w:t>
            </w:r>
          </w:p>
        </w:tc>
      </w:tr>
      <w:tr w14:paraId="2CD7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3" w:type="pct"/>
            <w:vAlign w:val="center"/>
          </w:tcPr>
          <w:p w14:paraId="28E4CB8B">
            <w:pPr>
              <w:pStyle w:val="78"/>
            </w:pPr>
            <w:r>
              <w:t>塑料裂解轻油</w:t>
            </w:r>
          </w:p>
        </w:tc>
        <w:tc>
          <w:tcPr>
            <w:tcW w:w="881" w:type="pct"/>
            <w:vAlign w:val="center"/>
          </w:tcPr>
          <w:p w14:paraId="6C616B9C">
            <w:pPr>
              <w:pStyle w:val="78"/>
            </w:pPr>
            <w:r>
              <w:t>1.76</w:t>
            </w:r>
          </w:p>
        </w:tc>
        <w:tc>
          <w:tcPr>
            <w:tcW w:w="725" w:type="pct"/>
            <w:vAlign w:val="center"/>
          </w:tcPr>
          <w:p w14:paraId="706A30E3">
            <w:pPr>
              <w:pStyle w:val="78"/>
            </w:pPr>
            <w:r>
              <w:t>液体</w:t>
            </w:r>
          </w:p>
        </w:tc>
        <w:tc>
          <w:tcPr>
            <w:tcW w:w="1079" w:type="pct"/>
            <w:vAlign w:val="center"/>
          </w:tcPr>
          <w:p w14:paraId="34E25FFD">
            <w:pPr>
              <w:pStyle w:val="78"/>
            </w:pPr>
            <w:r>
              <w:t>储罐</w:t>
            </w:r>
          </w:p>
        </w:tc>
        <w:tc>
          <w:tcPr>
            <w:tcW w:w="942" w:type="pct"/>
            <w:vAlign w:val="center"/>
          </w:tcPr>
          <w:p w14:paraId="6B89398F">
            <w:pPr>
              <w:pStyle w:val="78"/>
            </w:pPr>
            <w:r>
              <w:t>1350</w:t>
            </w:r>
          </w:p>
        </w:tc>
        <w:tc>
          <w:tcPr>
            <w:tcW w:w="619" w:type="pct"/>
            <w:vAlign w:val="center"/>
          </w:tcPr>
          <w:p w14:paraId="0A721C30">
            <w:pPr>
              <w:pStyle w:val="78"/>
            </w:pPr>
            <w:r>
              <w:t>球罐区</w:t>
            </w:r>
          </w:p>
        </w:tc>
      </w:tr>
      <w:bookmarkEnd w:id="30"/>
    </w:tbl>
    <w:p w14:paraId="2058ED39">
      <w:pPr>
        <w:pStyle w:val="4"/>
      </w:pPr>
      <w:bookmarkStart w:id="31" w:name="_Toc210915267"/>
      <w:bookmarkStart w:id="32" w:name="_Toc200527728"/>
      <w:r>
        <w:t>生产工艺及产排污环节</w:t>
      </w:r>
      <w:bookmarkEnd w:id="31"/>
      <w:bookmarkEnd w:id="32"/>
    </w:p>
    <w:p w14:paraId="6FF5B192">
      <w:pPr>
        <w:pStyle w:val="3"/>
        <w:ind w:firstLine="480"/>
      </w:pPr>
      <w:r>
        <w:rPr>
          <w:rFonts w:hint="eastAsia"/>
        </w:rPr>
        <w:t>全厂工艺流程概化简图见</w:t>
      </w:r>
      <w:r>
        <w:fldChar w:fldCharType="begin"/>
      </w:r>
      <w:r>
        <w:instrText xml:space="preserve"> </w:instrText>
      </w:r>
      <w:r>
        <w:rPr>
          <w:rFonts w:hint="eastAsia"/>
        </w:rPr>
        <w:instrText xml:space="preserve">REF _Ref199150443 \h</w:instrText>
      </w:r>
      <w:r>
        <w:instrText xml:space="preserve">  \* MERGEFORMAT </w:instrText>
      </w:r>
      <w:r>
        <w:fldChar w:fldCharType="separate"/>
      </w:r>
      <w:r>
        <w:t>图 2.4</w:t>
      </w:r>
      <w:r>
        <w:noBreakHyphen/>
      </w:r>
      <w:r>
        <w:t>1</w:t>
      </w:r>
      <w:r>
        <w:fldChar w:fldCharType="end"/>
      </w:r>
      <w:r>
        <w:rPr>
          <w:rFonts w:hint="eastAsia"/>
        </w:rPr>
        <w:t>，全厂工艺产排污节点总图见</w:t>
      </w:r>
      <w:r>
        <w:fldChar w:fldCharType="begin"/>
      </w:r>
      <w:r>
        <w:instrText xml:space="preserve"> </w:instrText>
      </w:r>
      <w:r>
        <w:rPr>
          <w:rFonts w:hint="eastAsia"/>
        </w:rPr>
        <w:instrText xml:space="preserve">REF _Ref199150422 \h</w:instrText>
      </w:r>
      <w:r>
        <w:instrText xml:space="preserve">  \* MERGEFORMAT </w:instrText>
      </w:r>
      <w:r>
        <w:fldChar w:fldCharType="separate"/>
      </w:r>
      <w:r>
        <w:t>图 2.4</w:t>
      </w:r>
      <w:r>
        <w:noBreakHyphen/>
      </w:r>
      <w:r>
        <w:t>2</w:t>
      </w:r>
      <w:r>
        <w:fldChar w:fldCharType="end"/>
      </w:r>
      <w:r>
        <w:rPr>
          <w:rFonts w:hint="eastAsia"/>
        </w:rPr>
        <w:t>、</w:t>
      </w:r>
      <w:r>
        <w:fldChar w:fldCharType="begin"/>
      </w:r>
      <w:r>
        <w:instrText xml:space="preserve"> </w:instrText>
      </w:r>
      <w:r>
        <w:rPr>
          <w:rFonts w:hint="eastAsia"/>
        </w:rPr>
        <w:instrText xml:space="preserve">REF _Ref199149439 \h</w:instrText>
      </w:r>
      <w:r>
        <w:instrText xml:space="preserve">  \* MERGEFORMAT </w:instrText>
      </w:r>
      <w:r>
        <w:fldChar w:fldCharType="separate"/>
      </w:r>
      <w:r>
        <w:t>表 2.4</w:t>
      </w:r>
      <w:r>
        <w:noBreakHyphen/>
      </w:r>
      <w:r>
        <w:t>1</w:t>
      </w:r>
      <w:r>
        <w:fldChar w:fldCharType="end"/>
      </w:r>
      <w:r>
        <w:rPr>
          <w:rFonts w:hint="eastAsia"/>
        </w:rPr>
        <w:t>。</w:t>
      </w:r>
    </w:p>
    <w:p w14:paraId="3FAA2BB2">
      <w:pPr>
        <w:pStyle w:val="3"/>
        <w:ind w:firstLine="480"/>
      </w:pPr>
      <w:r>
        <w:rPr>
          <w:rFonts w:hint="eastAsia"/>
        </w:rPr>
        <w:t>生产工艺主要分为原料化单元与裂解单元，工艺流程如下：</w:t>
      </w:r>
    </w:p>
    <w:p w14:paraId="7E5B16AA">
      <w:pPr>
        <w:pStyle w:val="6"/>
        <w:widowControl w:val="0"/>
        <w:tabs>
          <w:tab w:val="left" w:pos="0"/>
          <w:tab w:val="clear" w:pos="1615"/>
        </w:tabs>
        <w:adjustRightInd/>
        <w:snapToGrid/>
        <w:ind w:left="864" w:hanging="864"/>
        <w:jc w:val="both"/>
      </w:pPr>
      <w:r>
        <w:rPr>
          <w:rFonts w:hint="eastAsia"/>
        </w:rPr>
        <w:t>原料化单元</w:t>
      </w:r>
    </w:p>
    <w:p w14:paraId="07817125">
      <w:pPr>
        <w:pStyle w:val="3"/>
        <w:ind w:firstLine="480"/>
      </w:pPr>
      <w:r>
        <w:t>1、生活塑料处理线</w:t>
      </w:r>
    </w:p>
    <w:p w14:paraId="0BDE55D0">
      <w:pPr>
        <w:pStyle w:val="3"/>
        <w:ind w:firstLine="480"/>
      </w:pPr>
      <w:r>
        <w:t>（1）将打包废塑料进入拆包机拆包，运送至撕碎机处理成100mm左右片状塑料，撕碎前</w:t>
      </w:r>
      <w:r>
        <w:rPr>
          <w:rFonts w:hint="eastAsia"/>
        </w:rPr>
        <w:t>设置磁选机</w:t>
      </w:r>
      <w:r>
        <w:t>除金属。由于撕碎的废塑料直径较大，因此不会产生粉尘。</w:t>
      </w:r>
    </w:p>
    <w:p w14:paraId="6B8EB6F8">
      <w:pPr>
        <w:pStyle w:val="3"/>
        <w:ind w:firstLine="480"/>
      </w:pPr>
      <w:r>
        <w:t>（2）撕碎后的100mm塑料进入破碎机，破碎至20mm，破碎前</w:t>
      </w:r>
      <w:r>
        <w:rPr>
          <w:rFonts w:hint="eastAsia"/>
        </w:rPr>
        <w:t>设置磁选机</w:t>
      </w:r>
      <w:r>
        <w:t>除金属。</w:t>
      </w:r>
    </w:p>
    <w:p w14:paraId="5D0E40F4">
      <w:pPr>
        <w:pStyle w:val="3"/>
        <w:ind w:firstLine="480"/>
      </w:pPr>
      <w:r>
        <w:t>（3）破碎后的塑料</w:t>
      </w:r>
      <w:r>
        <w:rPr>
          <w:rFonts w:hint="eastAsia"/>
        </w:rPr>
        <w:t>在负压气流中吸至热风干燥塔，并</w:t>
      </w:r>
      <w:r>
        <w:t>采用温度为</w:t>
      </w:r>
      <w:r>
        <w:rPr>
          <w:rFonts w:hint="eastAsia"/>
        </w:rPr>
        <w:t>9</w:t>
      </w:r>
      <w:r>
        <w:t>0℃的气流进行干燥，除去塑料表面水分</w:t>
      </w:r>
      <w:r>
        <w:rPr>
          <w:rFonts w:hint="eastAsia"/>
        </w:rPr>
        <w:t>；塑料随气流进入旋风分离器，在旋风分离器底部下料转阀排出干燥塑料，顶部的含尘废气引至废气处理装置处理。气流干燥过程会产生</w:t>
      </w:r>
      <w:r>
        <w:t>非甲烷总烃</w:t>
      </w:r>
      <w:r>
        <w:rPr>
          <w:rFonts w:hint="eastAsia"/>
        </w:rPr>
        <w:t>和臭气，从旋风分离器顶部随含尘废气排出</w:t>
      </w:r>
      <w:r>
        <w:t>。</w:t>
      </w:r>
      <w:r>
        <w:rPr>
          <w:rFonts w:hint="eastAsia"/>
        </w:rPr>
        <w:t>热风干燥塔的热风来源为烟气换热和锅炉系统产生的蒸气。</w:t>
      </w:r>
    </w:p>
    <w:p w14:paraId="06DEAA09">
      <w:pPr>
        <w:pStyle w:val="3"/>
        <w:ind w:firstLine="480"/>
      </w:pPr>
      <w:r>
        <w:rPr>
          <w:rFonts w:hint="eastAsia"/>
        </w:rPr>
        <w:t>（4）干燥后的塑料进入</w:t>
      </w:r>
      <w:r>
        <w:t>环模颗粒机，</w:t>
      </w:r>
      <w:r>
        <w:rPr>
          <w:rFonts w:hint="eastAsia"/>
        </w:rPr>
        <w:t>挤出</w:t>
      </w:r>
      <w:r>
        <w:t>制成10mm×10cm的棒状塑料</w:t>
      </w:r>
      <w:r>
        <w:rPr>
          <w:rFonts w:hint="eastAsia"/>
        </w:rPr>
        <w:t>，挤出成型温度为80℃。</w:t>
      </w:r>
      <w:r>
        <w:t>该过程会产生少量的非甲烷总烃</w:t>
      </w:r>
      <w:r>
        <w:rPr>
          <w:rFonts w:hint="eastAsia"/>
        </w:rPr>
        <w:t>和臭气</w:t>
      </w:r>
      <w:r>
        <w:t>。</w:t>
      </w:r>
    </w:p>
    <w:p w14:paraId="272DC322">
      <w:pPr>
        <w:pStyle w:val="3"/>
        <w:ind w:firstLine="480"/>
      </w:pPr>
      <w:r>
        <w:rPr>
          <w:rFonts w:hint="eastAsia"/>
        </w:rPr>
        <w:t>（5）</w:t>
      </w:r>
      <w:r>
        <w:t>棒状塑料</w:t>
      </w:r>
      <w:r>
        <w:rPr>
          <w:rFonts w:hint="eastAsia"/>
        </w:rPr>
        <w:t>由斗提机</w:t>
      </w:r>
      <w:r>
        <w:t>输送至原料池进行缓存。</w:t>
      </w:r>
    </w:p>
    <w:p w14:paraId="21A3BB1B">
      <w:pPr>
        <w:pStyle w:val="3"/>
        <w:ind w:firstLine="480"/>
      </w:pPr>
      <w:r>
        <w:rPr>
          <w:rFonts w:hint="eastAsia"/>
        </w:rPr>
        <w:t>（6）</w:t>
      </w:r>
      <w:r>
        <w:t>原料池的塑料通过抓斗起重机抓取至剪切机，剪切为</w:t>
      </w:r>
      <w:r>
        <w:rPr>
          <w:rFonts w:hint="eastAsia"/>
        </w:rPr>
        <w:t>2</w:t>
      </w:r>
      <w:r>
        <w:t>.5mm的塑料，</w:t>
      </w:r>
      <w:r>
        <w:rPr>
          <w:rFonts w:hint="eastAsia"/>
        </w:rPr>
        <w:t>再</w:t>
      </w:r>
      <w:r>
        <w:t>经过风机</w:t>
      </w:r>
      <w:r>
        <w:rPr>
          <w:rFonts w:hint="eastAsia"/>
        </w:rPr>
        <w:t>先</w:t>
      </w:r>
      <w:r>
        <w:t>输送</w:t>
      </w:r>
      <w:r>
        <w:rPr>
          <w:rFonts w:hint="eastAsia"/>
        </w:rPr>
        <w:t>到缓存料仓，再输送至裂解单元的原料仓，作为裂解单元的原料。</w:t>
      </w:r>
      <w:r>
        <w:t>剪切机前</w:t>
      </w:r>
      <w:r>
        <w:rPr>
          <w:rFonts w:hint="eastAsia"/>
        </w:rPr>
        <w:t>设置磁选机</w:t>
      </w:r>
      <w:r>
        <w:t>除金属</w:t>
      </w:r>
      <w:r>
        <w:rPr>
          <w:rFonts w:hint="eastAsia"/>
        </w:rPr>
        <w:t>。</w:t>
      </w:r>
    </w:p>
    <w:p w14:paraId="214DC6CA">
      <w:pPr>
        <w:pStyle w:val="3"/>
        <w:ind w:firstLine="480"/>
      </w:pPr>
      <w:r>
        <w:rPr>
          <w:rFonts w:hint="eastAsia"/>
        </w:rPr>
        <w:t>2</w:t>
      </w:r>
      <w:r>
        <w:t>、</w:t>
      </w:r>
      <w:r>
        <w:rPr>
          <w:rFonts w:hint="eastAsia"/>
        </w:rPr>
        <w:t>农</w:t>
      </w:r>
      <w:r>
        <w:t>地膜处理线</w:t>
      </w:r>
    </w:p>
    <w:p w14:paraId="3FCFEDE7">
      <w:pPr>
        <w:pStyle w:val="3"/>
        <w:ind w:firstLine="480"/>
      </w:pPr>
      <w:r>
        <w:t>（1）将打包废塑料进入拆包机拆包，运送至撕碎机处理成100mm左右片状塑料，撕碎前</w:t>
      </w:r>
      <w:r>
        <w:rPr>
          <w:rFonts w:hint="eastAsia"/>
        </w:rPr>
        <w:t>设置磁选机</w:t>
      </w:r>
      <w:r>
        <w:t>除金属。由于撕碎的废塑料直径较大，因此不会产生粉尘。</w:t>
      </w:r>
    </w:p>
    <w:p w14:paraId="26E68B70">
      <w:pPr>
        <w:pStyle w:val="3"/>
        <w:ind w:firstLine="480"/>
      </w:pPr>
      <w:r>
        <w:t>（2）撕碎后的地膜</w:t>
      </w:r>
      <w:r>
        <w:rPr>
          <w:rFonts w:hint="eastAsia"/>
        </w:rPr>
        <w:t>塑料经过风选机除金属后</w:t>
      </w:r>
      <w:r>
        <w:t>输送至原料池。</w:t>
      </w:r>
    </w:p>
    <w:p w14:paraId="75801D54">
      <w:pPr>
        <w:pStyle w:val="3"/>
        <w:ind w:firstLine="480"/>
      </w:pPr>
      <w:r>
        <w:t>（3）爪机抓取地膜塑料输送带进入到团粒机内，调好间隙2mm，</w:t>
      </w:r>
      <w:r>
        <w:rPr>
          <w:rFonts w:hint="eastAsia"/>
        </w:rPr>
        <w:t>团粒</w:t>
      </w:r>
      <w:r>
        <w:t>温度约85℃左右。该过程会产生少量的非甲烷总烃</w:t>
      </w:r>
      <w:r>
        <w:rPr>
          <w:rFonts w:hint="eastAsia"/>
        </w:rPr>
        <w:t>和臭气</w:t>
      </w:r>
      <w:r>
        <w:t>。</w:t>
      </w:r>
    </w:p>
    <w:p w14:paraId="4EF210F5">
      <w:pPr>
        <w:pStyle w:val="3"/>
        <w:ind w:firstLine="480"/>
      </w:pPr>
      <w:r>
        <w:t>（4）团粒后</w:t>
      </w:r>
      <w:r>
        <w:rPr>
          <w:rFonts w:hint="eastAsia"/>
        </w:rPr>
        <w:t>，塑料粒经过旋风分离器筛选，然后进入振动筛进行筛分。</w:t>
      </w:r>
    </w:p>
    <w:p w14:paraId="37816125">
      <w:pPr>
        <w:pStyle w:val="3"/>
        <w:ind w:firstLine="480"/>
      </w:pPr>
      <w:r>
        <w:rPr>
          <w:rFonts w:hint="eastAsia"/>
        </w:rPr>
        <w:t>（5）</w:t>
      </w:r>
      <w:r>
        <w:t>物料经过10目</w:t>
      </w:r>
      <w:r>
        <w:rPr>
          <w:rFonts w:hint="eastAsia"/>
        </w:rPr>
        <w:t>（约2mm）</w:t>
      </w:r>
      <w:r>
        <w:t>振动筛筛分</w:t>
      </w:r>
      <w:r>
        <w:rPr>
          <w:rFonts w:hint="eastAsia"/>
        </w:rPr>
        <w:t>，振动筛为全部封闭，不产生粉尘外溢。经过处理后的</w:t>
      </w:r>
      <w:r>
        <w:t>塑料通过气力输送系统送至</w:t>
      </w:r>
      <w:r>
        <w:rPr>
          <w:rFonts w:hint="eastAsia"/>
        </w:rPr>
        <w:t>缓存料仓，再输送至裂解单元的原料仓</w:t>
      </w:r>
      <w:r>
        <w:t>，作为塑料裂解单元的原料。</w:t>
      </w:r>
    </w:p>
    <w:p w14:paraId="79788F9F">
      <w:pPr>
        <w:pStyle w:val="3"/>
        <w:ind w:firstLine="480"/>
      </w:pPr>
      <w:r>
        <w:rPr>
          <w:rFonts w:hint="eastAsia"/>
        </w:rPr>
        <w:t>3</w:t>
      </w:r>
      <w:r>
        <w:t>、硬质塑料处理线</w:t>
      </w:r>
    </w:p>
    <w:p w14:paraId="212AB608">
      <w:pPr>
        <w:pStyle w:val="3"/>
        <w:ind w:firstLine="480"/>
      </w:pPr>
      <w:r>
        <w:t>（1）硬质塑料由吨包盛装，投入料斗后由输送带均匀输送到</w:t>
      </w:r>
      <w:r>
        <w:rPr>
          <w:rFonts w:hint="eastAsia"/>
        </w:rPr>
        <w:t>破碎机，</w:t>
      </w:r>
      <w:r>
        <w:t>破碎至10mm</w:t>
      </w:r>
      <w:r>
        <w:rPr>
          <w:rFonts w:hint="eastAsia"/>
        </w:rPr>
        <w:t>，破碎</w:t>
      </w:r>
      <w:r>
        <w:t>前</w:t>
      </w:r>
      <w:r>
        <w:rPr>
          <w:rFonts w:hint="eastAsia"/>
        </w:rPr>
        <w:t>设置磁选机</w:t>
      </w:r>
      <w:r>
        <w:t>除金属</w:t>
      </w:r>
      <w:r>
        <w:rPr>
          <w:rFonts w:hint="eastAsia"/>
        </w:rPr>
        <w:t>。破碎过程全部密闭，同时由于废塑料的粒径较大，因此无粉尘产生。</w:t>
      </w:r>
    </w:p>
    <w:p w14:paraId="7E9620B4">
      <w:pPr>
        <w:pStyle w:val="3"/>
        <w:ind w:firstLine="480"/>
      </w:pPr>
      <w:r>
        <w:rPr>
          <w:rFonts w:hint="eastAsia"/>
        </w:rPr>
        <w:t>（3）破碎后，废塑料经过旋风分离器筛选进入进料料仓。</w:t>
      </w:r>
    </w:p>
    <w:p w14:paraId="60718463">
      <w:pPr>
        <w:pStyle w:val="3"/>
        <w:ind w:firstLine="480"/>
      </w:pPr>
      <w:r>
        <w:t>（2）</w:t>
      </w:r>
      <w:r>
        <w:rPr>
          <w:rFonts w:hint="eastAsia"/>
        </w:rPr>
        <w:t>塑料从进料料仓，输送至磨粉机在常温下进行研磨至2mm。经过处理后的</w:t>
      </w:r>
      <w:r>
        <w:t>塑料通过气力输送系统送至裂解单元原料仓，作为塑料裂解单元的原料。</w:t>
      </w:r>
      <w:r>
        <w:rPr>
          <w:rFonts w:hint="eastAsia"/>
        </w:rPr>
        <w:t>磨粉过程全部密闭。</w:t>
      </w:r>
    </w:p>
    <w:p w14:paraId="7DF0B27D">
      <w:pPr>
        <w:pStyle w:val="6"/>
        <w:widowControl w:val="0"/>
        <w:tabs>
          <w:tab w:val="left" w:pos="0"/>
          <w:tab w:val="clear" w:pos="1615"/>
        </w:tabs>
        <w:adjustRightInd/>
        <w:snapToGrid/>
        <w:ind w:left="864" w:hanging="864"/>
        <w:jc w:val="both"/>
      </w:pPr>
      <w:r>
        <w:t>裂解单元</w:t>
      </w:r>
    </w:p>
    <w:p w14:paraId="15FC4E2A">
      <w:pPr>
        <w:pStyle w:val="3"/>
        <w:ind w:firstLine="480"/>
      </w:pPr>
      <w:r>
        <w:t>采用逆流接触式流化床反应器技术以及惠城公司开发的特殊催化剂，以原料化单元处理的废塑料硬化颗粒为原料，催化裂解产生反应油气。通过后部水洗系统、气压机系统得到</w:t>
      </w:r>
      <w:r>
        <w:rPr>
          <w:rFonts w:hint="eastAsia"/>
        </w:rPr>
        <w:t>塑料裂解气、液化塑料裂解气和塑料裂解轻油</w:t>
      </w:r>
      <w:r>
        <w:t>。通过余热回收系统充分回收利用反应油气和再生烟气热量。裂解单元由固体进料、反应-再生、水洗、富气压缩、</w:t>
      </w:r>
      <w:r>
        <w:rPr>
          <w:rFonts w:hint="eastAsia"/>
        </w:rPr>
        <w:t>稳定、吸收、</w:t>
      </w:r>
      <w:r>
        <w:t>余热回收等部分组成。</w:t>
      </w:r>
      <w:r>
        <w:rPr>
          <w:rFonts w:hint="eastAsia"/>
        </w:rPr>
        <w:t>废塑料进入反应器内经一次反应生成塑料裂解气、液化塑料裂解气、塑料裂解轻油、柴油、焦炭、灰分等，产物中不含高分子化合物，不进行回炼，因此物料转化率即产品收率。裂解单元产品总收率为61.99</w:t>
      </w:r>
      <w:r>
        <w:t>%</w:t>
      </w:r>
      <w:r>
        <w:rPr>
          <w:rFonts w:hint="eastAsia"/>
        </w:rPr>
        <w:t>，其中液化塑料裂解气为5</w:t>
      </w:r>
      <w:r>
        <w:t>3.08%</w:t>
      </w:r>
      <w:r>
        <w:rPr>
          <w:rFonts w:hint="eastAsia"/>
        </w:rPr>
        <w:t>、塑料裂解轻油为8</w:t>
      </w:r>
      <w:r>
        <w:t>.91%</w:t>
      </w:r>
      <w:r>
        <w:rPr>
          <w:rFonts w:hint="eastAsia"/>
        </w:rPr>
        <w:t>。</w:t>
      </w:r>
    </w:p>
    <w:p w14:paraId="0B4F5257">
      <w:pPr>
        <w:pStyle w:val="3"/>
        <w:ind w:firstLine="480"/>
      </w:pPr>
      <w:r>
        <w:rPr>
          <w:rFonts w:hint="eastAsia"/>
        </w:rPr>
        <w:t>反应器、再生器为连续进料装置。反应器进料料仓装满后，先抽空再使用氮气置换，进料吹送气采用循环的富气，各用风点均采用高纯氮气，杜绝氧气进入反应器内而产生二噁英。反应器和再生器在生产过程中不通入水蒸气，且设置衬里，操作温度也均在HCl的露点腐蚀温度以上，反应器产物所含HCl通过水洗塔转化为NaCl。目标产物的合成控制一是工业装置根据中试测得反应条件制定反应温度、压力、时间等核心条件控制反应的产物分布，二是筛选具有高选择性的专用催化剂增加目的产物收率。</w:t>
      </w:r>
    </w:p>
    <w:p w14:paraId="7D16861B">
      <w:pPr>
        <w:pStyle w:val="3"/>
        <w:ind w:firstLine="480"/>
      </w:pPr>
      <w:r>
        <w:t>1、固体进料</w:t>
      </w:r>
    </w:p>
    <w:p w14:paraId="6423A3FB">
      <w:pPr>
        <w:pStyle w:val="3"/>
        <w:ind w:firstLine="480"/>
      </w:pPr>
      <w:r>
        <w:t>原料化单元处理好的废塑料颗粒通过输送风送至进料仓，物料输送至进料仓会产生一定的粉尘。为防止原料中的氯乙烯等含氯塑料在有氧气存在的环境中高温裂解产生二噁英，料仓装满后，先抽空再使用氮气置换，随后通过料仓下方的压送罐压送至进料喷嘴，两个料仓切换进行该操作以满足反应器的平稳进料。</w:t>
      </w:r>
    </w:p>
    <w:p w14:paraId="4656BCDC">
      <w:pPr>
        <w:pStyle w:val="3"/>
        <w:ind w:firstLine="480"/>
      </w:pPr>
      <w:r>
        <w:t>2、反应再生</w:t>
      </w:r>
    </w:p>
    <w:p w14:paraId="08981440">
      <w:pPr>
        <w:pStyle w:val="3"/>
        <w:ind w:firstLine="480"/>
      </w:pPr>
      <w:r>
        <w:rPr>
          <w:rFonts w:hint="eastAsia"/>
        </w:rPr>
        <w:t>（1）反应器</w:t>
      </w:r>
    </w:p>
    <w:p w14:paraId="4D4D83F0">
      <w:pPr>
        <w:pStyle w:val="3"/>
        <w:ind w:firstLine="480"/>
      </w:pPr>
      <w:r>
        <w:t>塑料颗粒通过循环富气压送，经由喷嘴进入反应器</w:t>
      </w:r>
      <w:r>
        <w:rPr>
          <w:rFonts w:hint="eastAsia"/>
        </w:rPr>
        <w:t>。</w:t>
      </w:r>
      <w:r>
        <w:t>在高温环境中</w:t>
      </w:r>
      <w:r>
        <w:rPr>
          <w:rFonts w:hint="eastAsia"/>
        </w:rPr>
        <w:t>，</w:t>
      </w:r>
      <w:r>
        <w:t>首先发生热裂解反应，反应温度约</w:t>
      </w:r>
      <w:r>
        <w:rPr>
          <w:rFonts w:hint="eastAsia"/>
        </w:rPr>
        <w:t>6</w:t>
      </w:r>
      <w:r>
        <w:t>50-700℃，</w:t>
      </w:r>
      <w:r>
        <w:rPr>
          <w:rFonts w:hint="eastAsia"/>
        </w:rPr>
        <w:t>反应压力0.1~0.3Mpa，</w:t>
      </w:r>
      <w:r>
        <w:t>分子链断裂为链长为30-40的气相化合物</w:t>
      </w:r>
      <w:r>
        <w:rPr>
          <w:rFonts w:hint="eastAsia"/>
        </w:rPr>
        <w:t>。</w:t>
      </w:r>
    </w:p>
    <w:p w14:paraId="31CB59DE">
      <w:pPr>
        <w:pStyle w:val="3"/>
        <w:ind w:firstLine="480"/>
      </w:pPr>
      <w:r>
        <w:rPr>
          <w:rFonts w:hint="eastAsia"/>
        </w:rPr>
        <w:t>反应器内</w:t>
      </w:r>
      <w:r>
        <w:t>气相上升，与反应器内连续循环下落的高温再生催化剂逆流接触，进一步发生催化裂解反应，反应油气最终从反应器顶部流出</w:t>
      </w:r>
      <w:r>
        <w:rPr>
          <w:rFonts w:hint="eastAsia"/>
        </w:rPr>
        <w:t>，反应残渣与少量焦炭随催化剂通过</w:t>
      </w:r>
      <w:r>
        <w:t>待生斜管</w:t>
      </w:r>
      <w:r>
        <w:rPr>
          <w:rFonts w:hint="eastAsia"/>
        </w:rPr>
        <w:t>进入再生器</w:t>
      </w:r>
      <w:r>
        <w:t>。反应器顶部设有二级高效旋风分离器，防止催化剂从顶部流出。反应器与再生器通过再生斜管和待生斜管相连接，斜管内为催化剂密相床层，通过密相床层密封作用</w:t>
      </w:r>
      <w:r>
        <w:rPr>
          <w:rFonts w:hint="eastAsia"/>
        </w:rPr>
        <w:t>，</w:t>
      </w:r>
      <w:r>
        <w:t>防止反应器内油气进入再生器以及再生器内烟气进入反应器。</w:t>
      </w:r>
      <w:r>
        <w:rPr>
          <w:rFonts w:hint="eastAsia"/>
        </w:rPr>
        <w:t>再生器温度维持所需热量来自于焦炭和补燃燃料油燃烧产生的热量，通过控制补燃量控制再生器的温度。反应器进料料仓装满后，先抽空再使用氮气置换，进料吹送气采用循环的富气，各用风点均采用高纯氮气，杜绝氧气进入反应器内。热解气气化为低碳链分子主要遵循碳正离子机理。裂解反应遵循碳正离子反应机理，主要反应式如下：</w:t>
      </w:r>
    </w:p>
    <w:p w14:paraId="61435EA8">
      <w:pPr>
        <w:pStyle w:val="3"/>
        <w:ind w:firstLine="480"/>
      </w:pPr>
      <w:r>
        <w:rPr>
          <w:rFonts w:hint="eastAsia"/>
        </w:rPr>
        <w:t>（a）</w:t>
      </w:r>
      <w:r>
        <w:t>烷烃裂解成较小的烷烃，烯烃分子</w:t>
      </w:r>
      <w:r>
        <w:rPr>
          <w:rFonts w:hint="eastAsia"/>
        </w:rPr>
        <w:t>：</w:t>
      </w:r>
    </w:p>
    <w:p w14:paraId="70933808">
      <w:pPr>
        <w:spacing w:line="360" w:lineRule="auto"/>
        <w:ind w:firstLine="480"/>
        <w:jc w:val="center"/>
        <w:rPr>
          <w:rFonts w:hint="eastAsia"/>
          <w:iCs/>
        </w:rPr>
      </w:pPr>
      <w:r>
        <w:rPr>
          <w:iCs/>
        </w:rPr>
        <w:pict>
          <v:shape id="_x0000_i1025" o:spt="75" alt="" type="#_x0000_t75" style="height:23.25pt;width:14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2&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m:t&gt;&lt;/m:r&gt;&lt;m:sSub&gt;&lt;m:sSubPr&gt;&lt;m:ctrlPr&gt;&lt;w:rPr&gt;&lt;w:rFonts w:ascii=&quot;Cambria Math&quot; w:h-ansi=&quot;Cambria Math&quot; w:cs=&quot;Times New Roman&quot; w:hint=&quot;default&quot;/&gt;&lt;w:ammmmmmmmmmmmmmmmmmmmmmmmmmmmmmmmmmmmmmmmmmmmmmmmmmmmmmmmmmmmmmmmmmmmmmmmmmmmmmmmmmmmmmmmmmmmmmmmmmmmmmmmmmmmmmmmmmmmmmmmmmmmmmmmmmmmmmmmmmmm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2&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9" o:title=""/>
            <o:lock v:ext="edit" aspectratio="f"/>
            <w10:wrap type="none"/>
            <w10:anchorlock/>
          </v:shape>
        </w:pict>
      </w:r>
    </w:p>
    <w:p w14:paraId="5AD9856A">
      <w:pPr>
        <w:pStyle w:val="3"/>
        <w:ind w:firstLine="480"/>
      </w:pPr>
      <w:r>
        <w:rPr>
          <w:rFonts w:hint="eastAsia"/>
        </w:rPr>
        <w:t>（b）</w:t>
      </w:r>
      <w:r>
        <w:t>烯烃裂解为两个烯烃</w:t>
      </w:r>
      <w:r>
        <w:rPr>
          <w:rFonts w:hint="eastAsia"/>
        </w:rPr>
        <w:t>：</w:t>
      </w:r>
    </w:p>
    <w:p w14:paraId="65E00CBF">
      <w:pPr>
        <w:spacing w:line="360" w:lineRule="auto"/>
        <w:ind w:firstLine="480"/>
        <w:jc w:val="center"/>
        <w:rPr>
          <w:rFonts w:hint="eastAsia"/>
        </w:rPr>
      </w:pPr>
      <w:r>
        <w:pict>
          <v:shape id="_x0000_i1026" o:spt="75" alt="" type="#_x0000_t75" style="height:23.25pt;width:129.7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m:t&gt;&lt;/m:r&gt;&lt;m:sSub&gt;&lt;m:sSubPr&gt;&lt;m:ctrlPr&gt;&lt;w:rPr&gt;&lt;w:rFonts w:ascii=&quot;Cambria Math&quot; w:h-ansi=&quot;Cambria Math&quot; w:cs=&quot;Times New Roman&quot; w:hint=&quot;default&quot;/&gt;&lt;w:i-brrrrrrrrrrrrrrrrrrrrrrrrrrrrrrrrrrrrrrrrrrrrrrrrrrrrrrrrrrrrrrrrrrrrrrrrrrrrrrrrrrrrrrrrrrrrrrrrrrrrrrrrrrrrrrrrrrrrrrrrrrrrrrrrrrrrrrrrrrrr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10" o:title=""/>
            <o:lock v:ext="edit" aspectratio="f"/>
            <w10:wrap type="none"/>
            <w10:anchorlock/>
          </v:shape>
        </w:pict>
      </w:r>
    </w:p>
    <w:p w14:paraId="5F55E209">
      <w:pPr>
        <w:pStyle w:val="3"/>
        <w:ind w:firstLine="480"/>
      </w:pPr>
      <w:r>
        <w:rPr>
          <w:rFonts w:hint="eastAsia"/>
        </w:rPr>
        <w:t>（c）</w:t>
      </w:r>
      <w:r>
        <w:t>烷基芳烃脱烷基</w:t>
      </w:r>
      <w:r>
        <w:rPr>
          <w:rFonts w:hint="eastAsia"/>
        </w:rPr>
        <w:t>：</w:t>
      </w:r>
    </w:p>
    <w:p w14:paraId="7CCD6DA0">
      <w:pPr>
        <w:spacing w:line="360" w:lineRule="auto"/>
        <w:ind w:firstLine="480"/>
        <w:jc w:val="center"/>
        <w:rPr>
          <w:rFonts w:hint="eastAsia"/>
          <w:iCs/>
        </w:rPr>
      </w:pPr>
      <w:r>
        <w:rPr>
          <w:iCs/>
        </w:rPr>
        <w:pict>
          <v:shape id="_x0000_i1027" o:spt="75" alt="" type="#_x0000_t75" style="height:21.75pt;width:14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Ar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1&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扐r&lt;/m:t&gt;&lt;/m:r&gt;&lt;m:sSub&gt;&lt;m:sSubPr&gt;&lt;m:ctrlPr&gt;&lt;w:rPr&gt;&lt;w:rFonts w:ascii=&quot;Cambria Math&quot; w:h-ansi=&quot;Cambria Math&quot; w:cs=&quot;Times New Roman&quot; w:hint=&quot;default&quot;/&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11" o:title=""/>
            <o:lock v:ext="edit" aspectratio="f"/>
            <w10:wrap type="none"/>
            <w10:anchorlock/>
          </v:shape>
        </w:pict>
      </w:r>
    </w:p>
    <w:p w14:paraId="6FF384B7">
      <w:pPr>
        <w:pStyle w:val="3"/>
        <w:ind w:firstLine="480"/>
      </w:pPr>
      <w:r>
        <w:rPr>
          <w:rFonts w:hint="eastAsia"/>
        </w:rPr>
        <w:t>（d）</w:t>
      </w:r>
      <w:r>
        <w:t>烷基芳烃的烷基侧链断裂</w:t>
      </w:r>
      <w:r>
        <w:rPr>
          <w:rFonts w:hint="eastAsia"/>
        </w:rPr>
        <w:t>：</w:t>
      </w:r>
    </w:p>
    <w:p w14:paraId="6C374867">
      <w:pPr>
        <w:pStyle w:val="3"/>
        <w:ind w:firstLine="480"/>
      </w:pPr>
      <w:r>
        <w:pict>
          <v:shape id="_x0000_i1028" o:spt="75" alt="" type="#_x0000_t75" style="height:23.25pt;width:181.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r&gt;&lt;m:rPr&gt;&lt;m:sty m:val=&quot;p&quot;/&gt;&lt;m:scr m:val=&quot;roman&quot;/&gt;&lt;/m:rPr&gt;&lt;w:rPr&gt;&lt;w:rFonts w:ascii=&quot;Cambria Math&quot; w:h-ansi=&quot;Cambria Math&quot; w:cs=&quot;Times New Roman&quot; w:hint=&quot;default&quot;/&gt;&lt;w:sz w:val=&quot;24&quot;/&gt;&lt;w:sz-cs w:val=&quot;24&quot;/&gt;&lt;/w:rPr&gt;&lt;m:t&gt;Ar&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1&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扐r&lt;/m:t&gt;&lt;/m:r&gt;&lt;m:sSub&gt;&lt;m:sSubPr&gt;&lt;m:ctrlPr&gt;&lt;w:rPr&gt;&lt;w:rFonts w:ascii=&quot;Cambria Math&quot; w:h-ansi=&quot;Cambria Math&quot; w:cs=&quot;Times New Roman&quot; w:hint=&quot;default&quot;/&gt;&lt;w:i-cs/&gt;&lt;w:sz w:val=&quot;24&quot;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lt;m:wt&gt;r&lt;/rm&gt;&lt;: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2&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12" o:title=""/>
            <o:lock v:ext="edit" aspectratio="f"/>
            <w10:wrap type="none"/>
            <w10:anchorlock/>
          </v:shape>
        </w:pict>
      </w:r>
    </w:p>
    <w:p w14:paraId="1FE1953A">
      <w:pPr>
        <w:pStyle w:val="3"/>
        <w:ind w:firstLine="480"/>
      </w:pPr>
      <w:r>
        <w:rPr>
          <w:rFonts w:hint="eastAsia"/>
        </w:rPr>
        <w:t>（e）</w:t>
      </w:r>
      <w:r>
        <w:t>环烷烃裂化生成烯烃</w:t>
      </w:r>
      <w:r>
        <w:rPr>
          <w:rFonts w:hint="eastAsia"/>
        </w:rPr>
        <w:t>：</w:t>
      </w:r>
    </w:p>
    <w:p w14:paraId="2C2684A6">
      <w:pPr>
        <w:pStyle w:val="3"/>
        <w:ind w:firstLine="480"/>
      </w:pPr>
      <w:r>
        <w:pict>
          <v:shape id="_x0000_i1029" o:spt="75" alt="" type="#_x0000_t75" style="height:23.25pt;width:14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2&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m:t&gt;&lt;/m:r&gt;&lt;m:sSub&gt;&lt;m:sSubPr&gt;&lt;m:ctrlPr&gt;&lt;w:rPr&gt;&lt;w:rFonts w:ascii=&quot;Cambria Math&quot; w:h-ansi=&quot;Cambria Math&quot; w:cs=&quot;Times New Roman&quot; w:hint=&quot;default&quot;/&gt;&lt;w:ammmmmmmmmmmmmmmmmmmmmmmmmmmmmmmmmmmmmmmmmmmmmmmmmmmmmmmmmmmmmmmmmmmmmmmmmmmmmmmmmmmmmmmmmmmmmmmmmmmmmmmmmmmmmmmmmmmmmmmmmmmmmmmmmmmmmmmmmmmm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2&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9" o:title=""/>
            <o:lock v:ext="edit" aspectratio="f"/>
            <w10:wrap type="none"/>
            <w10:anchorlock/>
          </v:shape>
        </w:pict>
      </w:r>
    </w:p>
    <w:p w14:paraId="5CBB9F15">
      <w:pPr>
        <w:pStyle w:val="3"/>
        <w:ind w:firstLine="480"/>
      </w:pPr>
      <w:r>
        <w:rPr>
          <w:rFonts w:hint="eastAsia"/>
        </w:rPr>
        <w:t>（f）</w:t>
      </w:r>
      <w:r>
        <w:t>烯烃的异构化</w:t>
      </w:r>
      <w:r>
        <w:rPr>
          <w:rFonts w:hint="eastAsia"/>
        </w:rPr>
        <w:t>：</w:t>
      </w:r>
    </w:p>
    <w:p w14:paraId="24D2CD1C">
      <w:pPr>
        <w:spacing w:line="360" w:lineRule="auto"/>
        <w:ind w:firstLine="480"/>
        <w:jc w:val="center"/>
        <w:rPr>
          <w:rFonts w:hint="eastAsia"/>
        </w:rPr>
      </w:pPr>
      <w:r>
        <w:drawing>
          <wp:inline distT="0" distB="0" distL="0" distR="0">
            <wp:extent cx="4405630" cy="304800"/>
            <wp:effectExtent l="0" t="0" r="0" b="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noChangeArrowheads="1"/>
                    </pic:cNvPicPr>
                  </pic:nvPicPr>
                  <pic:blipFill>
                    <a:blip r:embed="rId13"/>
                    <a:srcRect/>
                    <a:stretch>
                      <a:fillRect/>
                    </a:stretch>
                  </pic:blipFill>
                  <pic:spPr>
                    <a:xfrm>
                      <a:off x="0" y="0"/>
                      <a:ext cx="4405630" cy="304800"/>
                    </a:xfrm>
                    <a:prstGeom prst="rect">
                      <a:avLst/>
                    </a:prstGeom>
                    <a:noFill/>
                    <a:ln>
                      <a:noFill/>
                    </a:ln>
                  </pic:spPr>
                </pic:pic>
              </a:graphicData>
            </a:graphic>
          </wp:inline>
        </w:drawing>
      </w:r>
    </w:p>
    <w:p w14:paraId="461374E7">
      <w:pPr>
        <w:pStyle w:val="3"/>
        <w:ind w:firstLine="480"/>
      </w:pPr>
      <w:r>
        <w:drawing>
          <wp:anchor distT="0" distB="0" distL="114300" distR="114300" simplePos="0" relativeHeight="251665408" behindDoc="0" locked="0" layoutInCell="1" allowOverlap="1">
            <wp:simplePos x="0" y="0"/>
            <wp:positionH relativeFrom="column">
              <wp:posOffset>299720</wp:posOffset>
            </wp:positionH>
            <wp:positionV relativeFrom="paragraph">
              <wp:posOffset>288290</wp:posOffset>
            </wp:positionV>
            <wp:extent cx="2828925" cy="1224280"/>
            <wp:effectExtent l="0" t="0" r="9525" b="0"/>
            <wp:wrapSquare wrapText="bothSides"/>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noChangeArrowheads="1"/>
                    </pic:cNvPicPr>
                  </pic:nvPicPr>
                  <pic:blipFill>
                    <a:blip r:embed="rId14"/>
                    <a:srcRect/>
                    <a:stretch>
                      <a:fillRect/>
                    </a:stretch>
                  </pic:blipFill>
                  <pic:spPr>
                    <a:xfrm>
                      <a:off x="0" y="0"/>
                      <a:ext cx="2828925" cy="1224280"/>
                    </a:xfrm>
                    <a:prstGeom prst="rect">
                      <a:avLst/>
                    </a:prstGeom>
                    <a:noFill/>
                    <a:ln>
                      <a:noFill/>
                    </a:ln>
                  </pic:spPr>
                </pic:pic>
              </a:graphicData>
            </a:graphic>
          </wp:anchor>
        </w:drawing>
      </w:r>
      <w:r>
        <w:rPr>
          <w:rFonts w:hint="eastAsia"/>
        </w:rPr>
        <w:t>（g）</w:t>
      </w:r>
      <w:r>
        <w:t>芳烃的异构化</w:t>
      </w:r>
    </w:p>
    <w:p w14:paraId="73789190">
      <w:pPr>
        <w:pStyle w:val="3"/>
        <w:ind w:firstLine="480"/>
      </w:pPr>
      <w:r>
        <w:rPr/>
        <w:br w:type="textWrapping" w:clear="all"/>
      </w:r>
    </w:p>
    <w:p w14:paraId="737544BC">
      <w:pPr>
        <w:pStyle w:val="3"/>
        <w:ind w:firstLine="480"/>
      </w:pPr>
      <w:r>
        <w:rPr>
          <w:rFonts w:hint="eastAsia"/>
        </w:rPr>
        <w:t>（h）</w:t>
      </w:r>
      <w:r>
        <w:t>烷基转移</w:t>
      </w:r>
    </w:p>
    <w:p w14:paraId="74DAD136">
      <w:pPr>
        <w:pStyle w:val="3"/>
        <w:ind w:firstLine="480"/>
      </w:pPr>
      <w:r>
        <w:drawing>
          <wp:inline distT="0" distB="0" distL="0" distR="0">
            <wp:extent cx="2614930" cy="1019175"/>
            <wp:effectExtent l="0" t="0" r="0" b="952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noChangeArrowheads="1"/>
                    </pic:cNvPicPr>
                  </pic:nvPicPr>
                  <pic:blipFill>
                    <a:blip r:embed="rId15"/>
                    <a:srcRect/>
                    <a:stretch>
                      <a:fillRect/>
                    </a:stretch>
                  </pic:blipFill>
                  <pic:spPr>
                    <a:xfrm>
                      <a:off x="0" y="0"/>
                      <a:ext cx="2614930" cy="1019175"/>
                    </a:xfrm>
                    <a:prstGeom prst="rect">
                      <a:avLst/>
                    </a:prstGeom>
                    <a:noFill/>
                    <a:ln>
                      <a:noFill/>
                    </a:ln>
                  </pic:spPr>
                </pic:pic>
              </a:graphicData>
            </a:graphic>
          </wp:inline>
        </w:drawing>
      </w:r>
    </w:p>
    <w:p w14:paraId="0998FAA2">
      <w:pPr>
        <w:pStyle w:val="3"/>
        <w:ind w:firstLine="480"/>
      </w:pPr>
      <w:r>
        <w:rPr>
          <w:rFonts w:hint="eastAsia"/>
        </w:rPr>
        <w:t>（i）</w:t>
      </w:r>
      <w:r>
        <w:t>歧化反应</w:t>
      </w:r>
    </w:p>
    <w:p w14:paraId="4CD3CFA0">
      <w:pPr>
        <w:spacing w:before="156" w:after="156" w:line="360" w:lineRule="auto"/>
        <w:ind w:left="420"/>
        <w:jc w:val="center"/>
        <w:rPr>
          <w:rFonts w:hint="eastAsia"/>
        </w:rPr>
      </w:pPr>
      <w:r>
        <w:drawing>
          <wp:inline distT="0" distB="0" distL="0" distR="0">
            <wp:extent cx="4167505" cy="1266825"/>
            <wp:effectExtent l="0" t="0" r="4445" b="952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noChangeArrowheads="1"/>
                    </pic:cNvPicPr>
                  </pic:nvPicPr>
                  <pic:blipFill>
                    <a:blip r:embed="rId16"/>
                    <a:srcRect/>
                    <a:stretch>
                      <a:fillRect/>
                    </a:stretch>
                  </pic:blipFill>
                  <pic:spPr>
                    <a:xfrm>
                      <a:off x="0" y="0"/>
                      <a:ext cx="4167505" cy="1266825"/>
                    </a:xfrm>
                    <a:prstGeom prst="rect">
                      <a:avLst/>
                    </a:prstGeom>
                    <a:noFill/>
                    <a:ln>
                      <a:noFill/>
                    </a:ln>
                  </pic:spPr>
                </pic:pic>
              </a:graphicData>
            </a:graphic>
          </wp:inline>
        </w:drawing>
      </w:r>
    </w:p>
    <w:p w14:paraId="74D0FE7F">
      <w:pPr>
        <w:pStyle w:val="3"/>
        <w:ind w:firstLine="480"/>
      </w:pPr>
      <w:r>
        <w:rPr>
          <w:rFonts w:hint="eastAsia"/>
        </w:rPr>
        <w:t>（j）</w:t>
      </w:r>
      <w:r>
        <w:t>氢转移</w:t>
      </w:r>
    </w:p>
    <w:p w14:paraId="10C03205">
      <w:pPr>
        <w:pStyle w:val="3"/>
        <w:ind w:firstLine="480"/>
      </w:pPr>
      <w:r>
        <w:t>烯烃+环烷</w:t>
      </w:r>
      <w:r>
        <w:rPr>
          <w:rFonts w:eastAsia="Calibri"/>
        </w:rPr>
        <w:t>→</w:t>
      </w:r>
      <w:r>
        <w:t>烷烃+芳烃</w:t>
      </w:r>
    </w:p>
    <w:p w14:paraId="384BA23D">
      <w:pPr>
        <w:pStyle w:val="3"/>
        <w:ind w:firstLine="480"/>
      </w:pPr>
      <w:r>
        <w:t>烯烃</w:t>
      </w:r>
      <w:r>
        <w:rPr>
          <w:rFonts w:eastAsia="Calibri"/>
        </w:rPr>
        <w:t>→</w:t>
      </w:r>
      <w:r>
        <w:t>烷烃+芳烃</w:t>
      </w:r>
    </w:p>
    <w:p w14:paraId="489BCF62">
      <w:pPr>
        <w:pStyle w:val="3"/>
        <w:ind w:firstLine="480"/>
      </w:pPr>
      <w:r>
        <w:t>环烯</w:t>
      </w:r>
      <w:r>
        <w:rPr>
          <w:rFonts w:eastAsia="Calibri"/>
        </w:rPr>
        <w:t>→</w:t>
      </w:r>
      <w:r>
        <w:t>烷烃+芳烃</w:t>
      </w:r>
    </w:p>
    <w:p w14:paraId="1C6FB88C">
      <w:pPr>
        <w:pStyle w:val="3"/>
        <w:ind w:firstLine="480"/>
      </w:pPr>
      <w:r>
        <w:rPr>
          <w:rFonts w:hint="eastAsia"/>
        </w:rPr>
        <w:t>（k）</w:t>
      </w:r>
      <w:r>
        <w:t>环化</w:t>
      </w:r>
    </w:p>
    <w:p w14:paraId="05079374">
      <w:pPr>
        <w:pStyle w:val="3"/>
        <w:ind w:firstLine="480"/>
        <w:jc w:val="center"/>
      </w:pPr>
      <w:r>
        <w:drawing>
          <wp:inline distT="0" distB="0" distL="0" distR="0">
            <wp:extent cx="4300855" cy="576580"/>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17"/>
                    <a:srcRect/>
                    <a:stretch>
                      <a:fillRect/>
                    </a:stretch>
                  </pic:blipFill>
                  <pic:spPr>
                    <a:xfrm>
                      <a:off x="0" y="0"/>
                      <a:ext cx="4300855" cy="576580"/>
                    </a:xfrm>
                    <a:prstGeom prst="rect">
                      <a:avLst/>
                    </a:prstGeom>
                    <a:noFill/>
                    <a:ln>
                      <a:noFill/>
                    </a:ln>
                  </pic:spPr>
                </pic:pic>
              </a:graphicData>
            </a:graphic>
          </wp:inline>
        </w:drawing>
      </w:r>
    </w:p>
    <w:p w14:paraId="0EB06C49">
      <w:pPr>
        <w:pStyle w:val="3"/>
        <w:ind w:firstLine="480"/>
      </w:pPr>
      <w:r>
        <w:rPr>
          <w:rFonts w:hint="eastAsia"/>
        </w:rPr>
        <w:t>（l）</w:t>
      </w:r>
      <w:r>
        <w:t>缩核</w:t>
      </w:r>
    </w:p>
    <w:p w14:paraId="2136E744">
      <w:pPr>
        <w:pStyle w:val="3"/>
        <w:ind w:firstLine="480"/>
        <w:jc w:val="center"/>
      </w:pPr>
      <w:r>
        <w:drawing>
          <wp:inline distT="0" distB="0" distL="0" distR="0">
            <wp:extent cx="4371975" cy="857250"/>
            <wp:effectExtent l="0" t="0" r="9525" b="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noChangeArrowheads="1"/>
                    </pic:cNvPicPr>
                  </pic:nvPicPr>
                  <pic:blipFill>
                    <a:blip r:embed="rId18"/>
                    <a:srcRect/>
                    <a:stretch>
                      <a:fillRect/>
                    </a:stretch>
                  </pic:blipFill>
                  <pic:spPr>
                    <a:xfrm>
                      <a:off x="0" y="0"/>
                      <a:ext cx="4371975" cy="857250"/>
                    </a:xfrm>
                    <a:prstGeom prst="rect">
                      <a:avLst/>
                    </a:prstGeom>
                    <a:noFill/>
                    <a:ln>
                      <a:noFill/>
                    </a:ln>
                  </pic:spPr>
                </pic:pic>
              </a:graphicData>
            </a:graphic>
          </wp:inline>
        </w:drawing>
      </w:r>
    </w:p>
    <w:p w14:paraId="5252DEC3">
      <w:pPr>
        <w:pStyle w:val="3"/>
        <w:ind w:firstLine="480"/>
      </w:pPr>
      <w:r>
        <w:rPr>
          <w:rFonts w:hint="eastAsia"/>
        </w:rPr>
        <w:t>（m）</w:t>
      </w:r>
      <w:r>
        <w:t>叠合</w:t>
      </w:r>
    </w:p>
    <w:p w14:paraId="5038CE7B">
      <w:pPr>
        <w:pStyle w:val="3"/>
        <w:ind w:firstLine="480"/>
      </w:pPr>
      <w:r>
        <w:drawing>
          <wp:inline distT="0" distB="0" distL="0" distR="0">
            <wp:extent cx="2638425" cy="281305"/>
            <wp:effectExtent l="0" t="0" r="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noChangeArrowheads="1"/>
                    </pic:cNvPicPr>
                  </pic:nvPicPr>
                  <pic:blipFill>
                    <a:blip r:embed="rId19"/>
                    <a:srcRect/>
                    <a:stretch>
                      <a:fillRect/>
                    </a:stretch>
                  </pic:blipFill>
                  <pic:spPr>
                    <a:xfrm>
                      <a:off x="0" y="0"/>
                      <a:ext cx="2638425" cy="281305"/>
                    </a:xfrm>
                    <a:prstGeom prst="rect">
                      <a:avLst/>
                    </a:prstGeom>
                    <a:noFill/>
                    <a:ln>
                      <a:noFill/>
                    </a:ln>
                  </pic:spPr>
                </pic:pic>
              </a:graphicData>
            </a:graphic>
          </wp:inline>
        </w:drawing>
      </w:r>
    </w:p>
    <w:p w14:paraId="2E563740">
      <w:pPr>
        <w:pStyle w:val="3"/>
        <w:ind w:firstLine="480"/>
      </w:pPr>
      <w:r>
        <w:rPr>
          <w:rFonts w:hint="eastAsia"/>
        </w:rPr>
        <w:t>（n）</w:t>
      </w:r>
      <w:r>
        <w:t>烷基化</w:t>
      </w:r>
    </w:p>
    <w:p w14:paraId="3C9261AD">
      <w:pPr>
        <w:pStyle w:val="3"/>
        <w:ind w:firstLine="480"/>
      </w:pPr>
      <w:r>
        <w:t>烯烃+烷烃→烷烃</w:t>
      </w:r>
    </w:p>
    <w:p w14:paraId="56B9F201">
      <w:pPr>
        <w:pStyle w:val="3"/>
        <w:ind w:firstLine="480"/>
      </w:pPr>
      <w:r>
        <w:t>烯烃+芳烃→烷基芳烃</w:t>
      </w:r>
    </w:p>
    <w:p w14:paraId="3685E722">
      <w:pPr>
        <w:pStyle w:val="3"/>
        <w:ind w:firstLine="480"/>
      </w:pPr>
      <w:r>
        <w:rPr>
          <w:rFonts w:hint="eastAsia"/>
        </w:rPr>
        <w:t>（2）再生器</w:t>
      </w:r>
    </w:p>
    <w:p w14:paraId="4A00C3DD">
      <w:pPr>
        <w:pStyle w:val="3"/>
        <w:ind w:firstLine="480"/>
      </w:pPr>
      <w:r>
        <w:rPr>
          <w:rFonts w:hint="eastAsia"/>
        </w:rPr>
        <w:t>焦炭沉积在催化剂表面上覆盖其活性中心，会使催化剂的活性和选择性降低，该现象称为“结焦失活”，这种失活属于“暂时失活”。在高温下用空气将表面的焦炭烧掉，使活性中心重新暴露而恢复活性，这一过程称为“催化剂再生”。</w:t>
      </w:r>
      <w:r>
        <w:t>反应器中下落的催化剂通过待生斜管进入再生器底部，利用主风机输送的主风进行提升，并烧焦再生，再生器烧焦温度约700℃</w:t>
      </w:r>
      <w:r>
        <w:rPr>
          <w:rFonts w:hint="eastAsia"/>
        </w:rPr>
        <w:t>，反应压力0.1~0.3Mpa</w:t>
      </w:r>
      <w:r>
        <w:t>。再生器用自产柴油和外购广东石化轻质柴油进行补燃。再生催化剂提升至二密相后，通过再生斜管密相输送至反应器。烧焦产生的烟气进入再生器顶部二级高效旋风分离器，分离催化剂后，烟气去往余热回收工序。</w:t>
      </w:r>
      <w:r>
        <w:rPr>
          <w:rFonts w:hint="eastAsia"/>
        </w:rPr>
        <w:t>再生器采用柴油燃烧供热，柴油燃烧温度</w:t>
      </w:r>
      <w:r>
        <w:t>650-720℃</w:t>
      </w:r>
      <w:r>
        <w:rPr>
          <w:rFonts w:hint="eastAsia"/>
        </w:rPr>
        <w:t>，烟气在再生器内的</w:t>
      </w:r>
      <w:r>
        <w:t>停留时间30-50s</w:t>
      </w:r>
      <w:r>
        <w:rPr>
          <w:rFonts w:hint="eastAsia"/>
        </w:rPr>
        <w:t>，</w:t>
      </w:r>
      <w:r>
        <w:t>燃烧空气过剩系数</w:t>
      </w:r>
      <w:r>
        <w:rPr>
          <w:rFonts w:hint="eastAsia"/>
        </w:rPr>
        <w:t>为</w:t>
      </w:r>
      <w:r>
        <w:t>1.2-1.25</w:t>
      </w:r>
      <w:r>
        <w:rPr>
          <w:rFonts w:hint="eastAsia"/>
        </w:rPr>
        <w:t>。</w:t>
      </w:r>
    </w:p>
    <w:p w14:paraId="1A66DE30">
      <w:pPr>
        <w:pStyle w:val="3"/>
        <w:ind w:firstLine="480"/>
      </w:pPr>
      <w:r>
        <w:t>开工装剂时，催化剂通过吨袋密闭装剂系统送至催化剂罐，再通过催化剂罐底</w:t>
      </w:r>
      <w:r>
        <w:rPr>
          <w:rFonts w:hint="eastAsia"/>
        </w:rPr>
        <w:t>的</w:t>
      </w:r>
      <w:r>
        <w:t>输送管线送至再生器</w:t>
      </w:r>
      <w:r>
        <w:rPr>
          <w:rFonts w:hint="eastAsia"/>
        </w:rPr>
        <w:t>。</w:t>
      </w:r>
      <w:r>
        <w:t>设置一台主风机，一台增压机，开工前烘衬里时，主风流经辅助燃烧室后进入两器。</w:t>
      </w:r>
    </w:p>
    <w:p w14:paraId="7766964D">
      <w:pPr>
        <w:pStyle w:val="3"/>
        <w:ind w:firstLine="480"/>
      </w:pPr>
      <w:r>
        <w:t>反应器和再生器在生产过程中不通入水蒸气，且设置衬里，操作温度也均在HCl的露点腐蚀温度以上，</w:t>
      </w:r>
      <w:r>
        <w:rPr>
          <w:rFonts w:hint="eastAsia"/>
        </w:rPr>
        <w:t>除了极少量氯元素进入再生器，</w:t>
      </w:r>
      <w:r>
        <w:t>反应器产物所含</w:t>
      </w:r>
      <w:r>
        <w:rPr>
          <w:rFonts w:hint="eastAsia"/>
        </w:rPr>
        <w:t>绝大部分</w:t>
      </w:r>
      <w:r>
        <w:t>HCl通过水洗塔转化为NaCl</w:t>
      </w:r>
      <w:r>
        <w:rPr>
          <w:rFonts w:hint="eastAsia"/>
        </w:rPr>
        <w:t>。氯化氢存在的时间较短，转化为</w:t>
      </w:r>
      <w:r>
        <w:t>NaCl</w:t>
      </w:r>
      <w:r>
        <w:rPr>
          <w:rFonts w:hint="eastAsia"/>
        </w:rPr>
        <w:t>后，对后续的装置不再具有腐蚀性。</w:t>
      </w:r>
    </w:p>
    <w:p w14:paraId="35A0F106">
      <w:pPr>
        <w:pStyle w:val="3"/>
        <w:ind w:firstLine="480"/>
      </w:pPr>
      <w:r>
        <w:t>3、水洗</w:t>
      </w:r>
    </w:p>
    <w:p w14:paraId="7A4B4021">
      <w:pPr>
        <w:pStyle w:val="3"/>
        <w:ind w:firstLine="480"/>
      </w:pPr>
      <w:r>
        <w:t>为回收反应油气热量，设置单管程反应油气—蒸汽发生器</w:t>
      </w:r>
      <w:r>
        <w:rPr>
          <w:rFonts w:hint="eastAsia"/>
        </w:rPr>
        <w:t>产出</w:t>
      </w:r>
      <w:r>
        <w:t>中压蒸汽</w:t>
      </w:r>
      <w:r>
        <w:rPr>
          <w:rFonts w:hint="eastAsia"/>
        </w:rPr>
        <w:t>。油气经过热量回收</w:t>
      </w:r>
      <w:r>
        <w:t>降温至240℃后的反应油气进入水洗塔底部，水洗塔中的循环液相为一定浓度</w:t>
      </w:r>
      <w:r>
        <w:rPr>
          <w:rFonts w:hint="eastAsia"/>
        </w:rPr>
        <w:t>的</w:t>
      </w:r>
      <w:r>
        <w:t>NaOH溶液，</w:t>
      </w:r>
      <w:r>
        <w:rPr>
          <w:rFonts w:hint="eastAsia"/>
        </w:rPr>
        <w:t>可使水洗过程</w:t>
      </w:r>
      <w:r>
        <w:t>达到除尘、冷却、脱柴油和吸收多余Cl</w:t>
      </w:r>
      <w:r>
        <w:rPr>
          <w:vertAlign w:val="superscript"/>
        </w:rPr>
        <w:t>-</w:t>
      </w:r>
      <w:r>
        <w:t>、SO</w:t>
      </w:r>
      <w:r>
        <w:rPr>
          <w:vertAlign w:val="subscript"/>
        </w:rPr>
        <w:t>4</w:t>
      </w:r>
      <w:r>
        <w:rPr>
          <w:vertAlign w:val="superscript"/>
        </w:rPr>
        <w:t>2-</w:t>
      </w:r>
      <w:r>
        <w:t>和SO</w:t>
      </w:r>
      <w:r>
        <w:rPr>
          <w:vertAlign w:val="subscript"/>
        </w:rPr>
        <w:t>3</w:t>
      </w:r>
      <w:r>
        <w:rPr>
          <w:vertAlign w:val="superscript"/>
        </w:rPr>
        <w:t>2-</w:t>
      </w:r>
      <w:r>
        <w:t>的目的。水洗塔上段为塔盘，中段循</w:t>
      </w:r>
      <w:r>
        <w:rPr>
          <w:rFonts w:hint="eastAsia"/>
        </w:rPr>
        <w:t>环的</w:t>
      </w:r>
      <w:r>
        <w:t>NaOH溶液自塔中段抽出</w:t>
      </w:r>
      <w:r>
        <w:rPr>
          <w:rFonts w:hint="eastAsia"/>
        </w:rPr>
        <w:t>，</w:t>
      </w:r>
      <w:r>
        <w:t>采用水冷器</w:t>
      </w:r>
      <w:r>
        <w:rPr>
          <w:rFonts w:hint="eastAsia"/>
        </w:rPr>
        <w:t>使</w:t>
      </w:r>
      <w:r>
        <w:t>NaOH溶液</w:t>
      </w:r>
      <w:r>
        <w:rPr>
          <w:rFonts w:hint="eastAsia"/>
        </w:rPr>
        <w:t>降温</w:t>
      </w:r>
      <w:r>
        <w:t>至40℃</w:t>
      </w:r>
      <w:r>
        <w:rPr>
          <w:rFonts w:hint="eastAsia"/>
        </w:rPr>
        <w:t>后返回塔顶</w:t>
      </w:r>
      <w:r>
        <w:t>。油气经洗涤后，自水洗塔顶产出，温度为42℃。</w:t>
      </w:r>
    </w:p>
    <w:p w14:paraId="33E820BC">
      <w:pPr>
        <w:pStyle w:val="3"/>
        <w:ind w:firstLine="480"/>
      </w:pPr>
      <w:r>
        <w:t>约82℃的洗涤浓浆从塔底自流至</w:t>
      </w:r>
      <w:r>
        <w:rPr>
          <w:rFonts w:hint="eastAsia"/>
        </w:rPr>
        <w:t>沸腾床撬装</w:t>
      </w:r>
      <w:r>
        <w:t>，加入破乳剂，防止油进入到水相。</w:t>
      </w:r>
      <w:r>
        <w:rPr>
          <w:rFonts w:hint="eastAsia"/>
        </w:rPr>
        <w:t>水洗塔</w:t>
      </w:r>
      <w:r>
        <w:t>上部抽出油相送至</w:t>
      </w:r>
      <w:r>
        <w:rPr>
          <w:rFonts w:hint="eastAsia"/>
        </w:rPr>
        <w:t>上段洗涤水溢油罐，杂</w:t>
      </w:r>
      <w:r>
        <w:t>油</w:t>
      </w:r>
      <w:r>
        <w:rPr>
          <w:rFonts w:hint="eastAsia"/>
        </w:rPr>
        <w:t>送至汽柴油分离塔</w:t>
      </w:r>
      <w:r>
        <w:t>，水相返回水洗塔。</w:t>
      </w:r>
      <w:r>
        <w:rPr>
          <w:rFonts w:hint="eastAsia"/>
        </w:rPr>
        <w:t>汽柴油分离塔分离出的柴油回再生器，塑料裂解轻油送至换热、重沸系统。</w:t>
      </w:r>
      <w:r>
        <w:t>为防止水洗水浓集，</w:t>
      </w:r>
      <w:r>
        <w:rPr>
          <w:rFonts w:hint="eastAsia"/>
        </w:rPr>
        <w:t>沸腾床撬装</w:t>
      </w:r>
      <w:r>
        <w:t>连续外甩高含盐</w:t>
      </w:r>
      <w:r>
        <w:rPr>
          <w:rFonts w:hint="eastAsia"/>
        </w:rPr>
        <w:t>废水，收集该废水，排入园区污水厂高浓度系统</w:t>
      </w:r>
      <w:r>
        <w:t>。</w:t>
      </w:r>
    </w:p>
    <w:p w14:paraId="6B3C91C1">
      <w:pPr>
        <w:pStyle w:val="3"/>
        <w:ind w:firstLine="480"/>
      </w:pPr>
      <w:r>
        <w:rPr>
          <w:rFonts w:hint="eastAsia"/>
          <w:lang w:bidi="ar"/>
        </w:rPr>
        <w:t>沸腾床撬装的工作原理：分离操作工况下，水洗水自水洗水篮式过滤器入口进入沸腾床水洗水过滤器进行过滤分离，脱除部分芳烃后，进入聚结除油器进行深度净化，进一步脱除水洗水中的芳烃。经过系统处理后，水洗水送至水洗水篮式过滤器出口，聚结除油器上部聚结污油进入密闭污油罐。设备压差上升到设定值或设备达到设定的运行时间后自动切换至再生操作工况，利用沸腾床水洗水过滤器入口水洗水（或急冷水过滤器出口水洗水清液）和低压氮气（备用蒸汽）对分离媒质进行流化再生，再生液送至再生液缓冲罐，经油水分层，再生液上层油相通过罐内自压接入密闭污油罐，再生液下层水相经再生液提升泵外送至系统外。</w:t>
      </w:r>
    </w:p>
    <w:p w14:paraId="0DB08191">
      <w:pPr>
        <w:pStyle w:val="3"/>
        <w:ind w:firstLine="480"/>
      </w:pPr>
      <w:r>
        <w:t>4、富气压缩</w:t>
      </w:r>
    </w:p>
    <w:p w14:paraId="4767533E">
      <w:pPr>
        <w:pStyle w:val="3"/>
        <w:ind w:firstLine="480"/>
      </w:pPr>
      <w:r>
        <w:t>经洗涤后的反应油气进入富气压缩机，通过三段压缩机升压至1.5Mpa（g），级间设置级间冷却器和级间凝液罐。压缩富气经压缩富气</w:t>
      </w:r>
      <w:r>
        <w:rPr>
          <w:rFonts w:hint="eastAsia"/>
        </w:rPr>
        <w:t>水</w:t>
      </w:r>
      <w:r>
        <w:t>冷器浅冷至15℃后，在气压机出口凝液罐中分离为富气和凝缩油。</w:t>
      </w:r>
      <w:r>
        <w:rPr>
          <w:rFonts w:ascii="CIDFont" w:hAnsi="CIDFont"/>
        </w:rPr>
        <w:t>富气与凝缩油均进入后部流程，进行分离。</w:t>
      </w:r>
    </w:p>
    <w:p w14:paraId="61F15ADF">
      <w:pPr>
        <w:pStyle w:val="3"/>
        <w:ind w:firstLine="480"/>
      </w:pPr>
      <w:r>
        <w:t>5、</w:t>
      </w:r>
      <w:r>
        <w:rPr>
          <w:rFonts w:hint="eastAsia"/>
        </w:rPr>
        <w:t>产品分离</w:t>
      </w:r>
    </w:p>
    <w:p w14:paraId="033805B1">
      <w:pPr>
        <w:pStyle w:val="3"/>
        <w:ind w:firstLine="480"/>
      </w:pPr>
      <w:r>
        <w:t>经气压机加压后的富气</w:t>
      </w:r>
      <w:r>
        <w:rPr>
          <w:rFonts w:hint="eastAsia"/>
        </w:rPr>
        <w:t>自底部</w:t>
      </w:r>
      <w:r>
        <w:t>进入吸收塔进行吸收，循环</w:t>
      </w:r>
      <w:r>
        <w:rPr>
          <w:rFonts w:hint="eastAsia"/>
        </w:rPr>
        <w:t>塑料裂解轻油</w:t>
      </w:r>
      <w:r>
        <w:t>作为吸收剂自塔顶进入，吸收塔顶塑料裂解气先后经过塑料裂解气加热器、塑料裂解气过冷器降温进入塑料裂解气分液罐进行气、液分离</w:t>
      </w:r>
      <w:r>
        <w:rPr>
          <w:rFonts w:hint="eastAsia"/>
        </w:rPr>
        <w:t>，分</w:t>
      </w:r>
      <w:r>
        <w:t>离后的塑料裂解气</w:t>
      </w:r>
      <w:r>
        <w:rPr>
          <w:rFonts w:hint="eastAsia"/>
        </w:rPr>
        <w:t>输送至尾气回收装置</w:t>
      </w:r>
      <w:r>
        <w:t>。</w:t>
      </w:r>
    </w:p>
    <w:p w14:paraId="173F0143">
      <w:pPr>
        <w:pStyle w:val="3"/>
        <w:ind w:firstLine="480"/>
      </w:pPr>
      <w:r>
        <w:t>吸收塔底油与气压机系统产出的凝液混合后打入解吸塔，解吸塔设置中段重沸器及塔底重沸器，以</w:t>
      </w:r>
      <w:r>
        <w:rPr>
          <w:rFonts w:hint="eastAsia"/>
        </w:rPr>
        <w:t>解析</w:t>
      </w:r>
      <w:r>
        <w:t>出凝缩油中C1~C2组分</w:t>
      </w:r>
      <w:r>
        <w:rPr>
          <w:rFonts w:hint="eastAsia"/>
        </w:rPr>
        <w:t>的解吸气</w:t>
      </w:r>
      <w:r>
        <w:t>，返回气压机系统进行循环。</w:t>
      </w:r>
    </w:p>
    <w:p w14:paraId="67203664">
      <w:pPr>
        <w:pStyle w:val="3"/>
        <w:ind w:firstLine="480"/>
      </w:pPr>
      <w:r>
        <w:t>解吸塔底油经稳定塔进料换热器换热后，送至稳定塔进行分馏，</w:t>
      </w:r>
      <w:r>
        <w:rPr>
          <w:rFonts w:hint="eastAsia"/>
        </w:rPr>
        <w:t>稳定塔气相物质经过塔顶水冷器冷却后进入回流罐，</w:t>
      </w:r>
      <w:r>
        <w:t>液化塑料裂解气</w:t>
      </w:r>
      <w:r>
        <w:rPr>
          <w:rFonts w:hint="eastAsia"/>
        </w:rPr>
        <w:t>从回流罐下部</w:t>
      </w:r>
      <w:r>
        <w:t>馏出</w:t>
      </w:r>
      <w:r>
        <w:rPr>
          <w:rFonts w:hint="eastAsia"/>
        </w:rPr>
        <w:t>，不凝气从回流罐上部</w:t>
      </w:r>
      <w:r>
        <w:t>馏出返回气压机系统进行循环</w:t>
      </w:r>
      <w:r>
        <w:rPr>
          <w:rFonts w:hint="eastAsia"/>
        </w:rPr>
        <w:t>，回流罐含油污水送至上段洗涤水溢油罐。</w:t>
      </w:r>
      <w:r>
        <w:t>稳定</w:t>
      </w:r>
      <w:r>
        <w:rPr>
          <w:rFonts w:hint="eastAsia"/>
        </w:rPr>
        <w:t>塑料裂解轻油</w:t>
      </w:r>
      <w:r>
        <w:t>自稳定塔底抽出后依次与稳定塔进料换热器、解吸塔中段重沸器、脱碳二塔底重沸器换热后，再经空冷器与水冷器冷却，一部分作为塑料裂解轻油产品送至罐区，另一部分作为吸收剂送至吸收塔顶。</w:t>
      </w:r>
    </w:p>
    <w:p w14:paraId="59D37D02">
      <w:pPr>
        <w:pStyle w:val="3"/>
        <w:ind w:firstLine="480"/>
      </w:pPr>
      <w:r>
        <w:t>液化塑料裂解气从稳定塔</w:t>
      </w:r>
      <w:r>
        <w:rPr>
          <w:rFonts w:hint="eastAsia"/>
        </w:rPr>
        <w:t>回流罐下部</w:t>
      </w:r>
      <w:r>
        <w:t>馏</w:t>
      </w:r>
      <w:r>
        <w:rPr>
          <w:rFonts w:hint="eastAsia"/>
        </w:rPr>
        <w:t>后，</w:t>
      </w:r>
      <w:r>
        <w:t>送至脱碳二塔进行轻组分脱除，脱碳二塔</w:t>
      </w:r>
      <w:r>
        <w:rPr>
          <w:rFonts w:hint="eastAsia"/>
        </w:rPr>
        <w:t>顶部气相物质经过塔顶水冷器冷却后进入回流罐，</w:t>
      </w:r>
      <w:r>
        <w:t>少量C1~C2组分</w:t>
      </w:r>
      <w:r>
        <w:rPr>
          <w:rFonts w:hint="eastAsia"/>
        </w:rPr>
        <w:t>的不凝气从回流罐上部</w:t>
      </w:r>
      <w:r>
        <w:t>馏出</w:t>
      </w:r>
      <w:r>
        <w:rPr>
          <w:rFonts w:hint="eastAsia"/>
        </w:rPr>
        <w:t>送至尾气回收装置，回流罐含油污水送至上段洗涤水溢油罐。</w:t>
      </w:r>
      <w:r>
        <w:t>脱碳二塔底产出C2含量≤200ppm的合格液化塑料裂解气产品，送至罐区。</w:t>
      </w:r>
    </w:p>
    <w:p w14:paraId="216F9809">
      <w:pPr>
        <w:pStyle w:val="3"/>
        <w:ind w:firstLine="480"/>
      </w:pPr>
      <w:r>
        <w:rPr>
          <w:rFonts w:hint="eastAsia"/>
        </w:rPr>
        <w:t>冷却器、过冷器的冷却介质及冷源是冷冻水，裂解单元设置</w:t>
      </w:r>
      <w:r>
        <w:t>1</w:t>
      </w:r>
      <w:r>
        <w:rPr>
          <w:rFonts w:hint="eastAsia"/>
        </w:rPr>
        <w:t>台</w:t>
      </w:r>
      <w:r>
        <w:t>4000kW</w:t>
      </w:r>
      <w:r>
        <w:rPr>
          <w:rFonts w:hint="eastAsia"/>
        </w:rPr>
        <w:t>离心式冷水机组（</w:t>
      </w:r>
      <w:r>
        <w:t>12℃→7℃</w:t>
      </w:r>
      <w:r>
        <w:rPr>
          <w:rFonts w:hint="eastAsia"/>
        </w:rPr>
        <w:t>）满足工艺用冷需求，制冷所需循环水由循环水场供水。</w:t>
      </w:r>
    </w:p>
    <w:p w14:paraId="512850BC">
      <w:pPr>
        <w:pStyle w:val="3"/>
        <w:ind w:firstLine="480"/>
      </w:pPr>
      <w:r>
        <w:t>6、余热回收</w:t>
      </w:r>
    </w:p>
    <w:p w14:paraId="12AE105F">
      <w:pPr>
        <w:pStyle w:val="3"/>
        <w:ind w:firstLine="480"/>
      </w:pPr>
      <w:r>
        <w:t>再生器顶部流出的高温烟气</w:t>
      </w:r>
      <w:r>
        <w:rPr>
          <w:rFonts w:hint="eastAsia"/>
        </w:rPr>
        <w:t>经过脱硝后</w:t>
      </w:r>
      <w:r>
        <w:t>送至余热锅炉进行余热回收</w:t>
      </w:r>
      <w:r>
        <w:rPr>
          <w:rFonts w:hint="eastAsia"/>
        </w:rPr>
        <w:t>，</w:t>
      </w:r>
      <w:r>
        <w:t>随后烟气经</w:t>
      </w:r>
      <w:r>
        <w:rPr>
          <w:rFonts w:hint="eastAsia"/>
        </w:rPr>
        <w:t>半干法脱酸+活性炭喷射+</w:t>
      </w:r>
      <w:r>
        <w:t>布袋除尘后排</w:t>
      </w:r>
      <w:r>
        <w:rPr>
          <w:rFonts w:hint="eastAsia"/>
        </w:rPr>
        <w:t>至</w:t>
      </w:r>
      <w:r>
        <w:t>大气。</w:t>
      </w:r>
      <w:r>
        <w:rPr>
          <w:rFonts w:hint="eastAsia"/>
        </w:rPr>
        <w:t>烟气处理系统预留SCR位置。</w:t>
      </w:r>
    </w:p>
    <w:p w14:paraId="3AB6B858">
      <w:pPr>
        <w:pStyle w:val="3"/>
        <w:ind w:firstLine="480"/>
      </w:pPr>
      <w:r>
        <w:t>反应油气-蒸汽发生器所</w:t>
      </w:r>
      <w:r>
        <w:rPr>
          <w:rFonts w:hint="eastAsia"/>
        </w:rPr>
        <w:t>产生的</w:t>
      </w:r>
      <w:r>
        <w:t>蒸汽经减压后进入余热锅炉过热，余热锅炉产出的过热蒸汽</w:t>
      </w:r>
      <w:r>
        <w:rPr>
          <w:rFonts w:hint="eastAsia"/>
        </w:rPr>
        <w:t>全部厂内自用</w:t>
      </w:r>
      <w:r>
        <w:t>。</w:t>
      </w:r>
    </w:p>
    <w:p w14:paraId="0ECAEBC7">
      <w:pPr>
        <w:pStyle w:val="3"/>
        <w:ind w:firstLine="480"/>
      </w:pPr>
      <w:r>
        <w:rPr>
          <w:rFonts w:hint="eastAsia"/>
        </w:rPr>
        <w:t>7、塑料裂解气回收处理</w:t>
      </w:r>
    </w:p>
    <w:p w14:paraId="19C3E2AC">
      <w:pPr>
        <w:pStyle w:val="3"/>
        <w:ind w:firstLine="480"/>
      </w:pPr>
      <w:r>
        <w:rPr>
          <w:rFonts w:hint="eastAsia"/>
        </w:rPr>
        <w:t>塑料裂解气以及</w:t>
      </w:r>
      <w:r>
        <w:t>脱碳二塔</w:t>
      </w:r>
      <w:r>
        <w:rPr>
          <w:rFonts w:hint="eastAsia"/>
        </w:rPr>
        <w:t>产生的少量不凝气</w:t>
      </w:r>
      <w:r>
        <w:t>送至尾气回收装置</w:t>
      </w:r>
      <w:r>
        <w:rPr>
          <w:rFonts w:hint="eastAsia"/>
        </w:rPr>
        <w:t>进行焚烧，焚烧烟气引至排气筒排放。焚烧装置为TO炉，</w:t>
      </w:r>
      <w:r>
        <w:t>采用低NOx燃烧器和烟气循环技术，确保</w:t>
      </w:r>
      <w:r>
        <w:rPr>
          <w:rFonts w:hint="eastAsia"/>
        </w:rPr>
        <w:t>烟</w:t>
      </w:r>
      <w:r>
        <w:t>气中NOx含量满足排放要求。</w:t>
      </w:r>
    </w:p>
    <w:p w14:paraId="0ADBAEDD">
      <w:pPr>
        <w:pStyle w:val="262"/>
        <w:ind w:firstLine="482"/>
        <w:rPr>
          <w:rFonts w:hint="eastAsia"/>
          <w:b/>
          <w:color w:val="auto"/>
          <w:kern w:val="0"/>
        </w:rPr>
        <w:sectPr>
          <w:pgSz w:w="11906" w:h="16838"/>
          <w:pgMar w:top="1440" w:right="1800" w:bottom="1440" w:left="1800" w:header="992" w:footer="992" w:gutter="0"/>
          <w:cols w:space="425" w:num="1"/>
          <w:docGrid w:linePitch="312" w:charSpace="0"/>
        </w:sectPr>
      </w:pPr>
    </w:p>
    <w:p w14:paraId="28D0079D">
      <w:pPr>
        <w:pStyle w:val="3"/>
        <w:ind w:firstLine="480"/>
      </w:pPr>
      <w:r>
        <w:rPr>
          <w:rFonts w:hint="eastAsia"/>
        </w:rPr>
        <w:object>
          <v:shape id="_x0000_i1030" o:spt="75" alt="" type="#_x0000_t75" style="height:390pt;width:603pt;" o:ole="t" filled="f" o:preferrelative="t" stroked="f" coordsize="21600,21600">
            <v:path/>
            <v:fill on="f" focussize="0,0"/>
            <v:stroke on="f"/>
            <v:imagedata r:id="rId21" o:title=""/>
            <o:lock v:ext="edit" aspectratio="t"/>
            <w10:wrap type="none"/>
            <w10:anchorlock/>
          </v:shape>
          <o:OLEObject Type="Embed" ProgID="Visio.Drawing.15" ShapeID="_x0000_i1030" DrawAspect="Content" ObjectID="_1468075725" r:id="rId20">
            <o:LockedField>false</o:LockedField>
          </o:OLEObject>
        </w:object>
      </w:r>
    </w:p>
    <w:p w14:paraId="4FC0D5C5">
      <w:pPr>
        <w:pStyle w:val="14"/>
        <w:ind w:right="844" w:firstLine="632" w:firstLineChars="300"/>
        <w:rPr>
          <w:color w:val="auto"/>
        </w:rPr>
      </w:pPr>
      <w:bookmarkStart w:id="33" w:name="_Ref199150443"/>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w:t>
      </w:r>
      <w:r>
        <w:rPr>
          <w:color w:val="auto"/>
        </w:rPr>
        <w:fldChar w:fldCharType="end"/>
      </w:r>
      <w:bookmarkEnd w:id="33"/>
      <w:r>
        <w:rPr>
          <w:color w:val="auto"/>
        </w:rPr>
        <w:t xml:space="preserve">  </w:t>
      </w:r>
      <w:r>
        <w:rPr>
          <w:rFonts w:hint="eastAsia"/>
          <w:color w:val="auto"/>
        </w:rPr>
        <w:t>全厂工艺流程概化简图</w:t>
      </w:r>
    </w:p>
    <w:p w14:paraId="33D5C833">
      <w:pPr>
        <w:rPr>
          <w:rFonts w:hint="eastAsia"/>
        </w:rPr>
        <w:sectPr>
          <w:pgSz w:w="16838" w:h="11906" w:orient="landscape"/>
          <w:pgMar w:top="1800" w:right="1440" w:bottom="1800" w:left="1440" w:header="992" w:footer="992" w:gutter="0"/>
          <w:cols w:space="425" w:num="1"/>
          <w:docGrid w:linePitch="312" w:charSpace="0"/>
        </w:sectPr>
      </w:pPr>
    </w:p>
    <w:p w14:paraId="2B6E1A01">
      <w:pPr>
        <w:pStyle w:val="3"/>
        <w:ind w:firstLine="480"/>
      </w:pPr>
      <w:r>
        <w:rPr>
          <w:rFonts w:hint="eastAsia"/>
        </w:rPr>
        <w:object>
          <v:shape id="_x0000_i1031" o:spt="75" alt="" type="#_x0000_t75" style="height:609.75pt;width:930pt;" o:ole="t" filled="f" o:preferrelative="t" stroked="f" coordsize="21600,21600">
            <v:path/>
            <v:fill on="f" focussize="0,0"/>
            <v:stroke on="f"/>
            <v:imagedata r:id="rId23" o:title=""/>
            <o:lock v:ext="edit" aspectratio="t"/>
            <w10:wrap type="none"/>
            <w10:anchorlock/>
          </v:shape>
          <o:OLEObject Type="Embed" ProgID="Visio.Drawing.15" ShapeID="_x0000_i1031" DrawAspect="Content" ObjectID="_1468075726" r:id="rId22">
            <o:LockedField>false</o:LockedField>
          </o:OLEObject>
        </w:object>
      </w:r>
    </w:p>
    <w:p w14:paraId="39E86B29">
      <w:pPr>
        <w:pStyle w:val="14"/>
        <w:ind w:left="480" w:hanging="480"/>
        <w:rPr>
          <w:color w:val="auto"/>
        </w:rPr>
        <w:sectPr>
          <w:pgSz w:w="23814" w:h="16839" w:orient="landscape"/>
          <w:pgMar w:top="1800" w:right="1440" w:bottom="1800" w:left="1440" w:header="851" w:footer="992" w:gutter="0"/>
          <w:cols w:space="425" w:num="1"/>
          <w:docGrid w:type="lines" w:linePitch="312" w:charSpace="0"/>
        </w:sectPr>
      </w:pPr>
      <w:bookmarkStart w:id="34" w:name="_Ref199150422"/>
      <w:bookmarkStart w:id="35" w:name="_Ref198836026"/>
      <w:r>
        <w:rPr>
          <w:color w:val="auto"/>
        </w:rPr>
        <mc:AlternateContent>
          <mc:Choice Requires="wps">
            <w:drawing>
              <wp:anchor distT="0" distB="0" distL="114300" distR="114300" simplePos="0" relativeHeight="251664384" behindDoc="0" locked="0" layoutInCell="1" allowOverlap="1">
                <wp:simplePos x="0" y="0"/>
                <wp:positionH relativeFrom="column">
                  <wp:posOffset>3834765</wp:posOffset>
                </wp:positionH>
                <wp:positionV relativeFrom="paragraph">
                  <wp:posOffset>439420</wp:posOffset>
                </wp:positionV>
                <wp:extent cx="635" cy="635"/>
                <wp:effectExtent l="8890" t="8890" r="12065" b="12065"/>
                <wp:wrapNone/>
                <wp:docPr id="38" name="墨迹 38"/>
                <wp:cNvGraphicFramePr/>
                <a:graphic xmlns:a="http://schemas.openxmlformats.org/drawingml/2006/main">
                  <a:graphicData uri="http://schemas.microsoft.com/office/word/2010/wordprocessingInk">
                    <mc:AlternateContent xmlns:a14="http://schemas.microsoft.com/office/drawing/2010/main">
                      <mc:Choice Requires="a14">
                        <w14:contentPart bwMode="clr" r:id="rId24">
                          <w14:nvContentPartPr>
                            <w14:cNvPr id="38" name="墨迹 38"/>
                            <w14:cNvContentPartPr/>
                          </w14:nvContentPartPr>
                          <w14:xfrm>
                            <a:off x="4735195" y="9735185"/>
                            <a:ext cx="635" cy="635"/>
                          </w14:xfrm>
                        </w14:contentPart>
                      </mc:Choice>
                    </mc:AlternateContent>
                  </a:graphicData>
                </a:graphic>
              </wp:anchor>
            </w:drawing>
          </mc:Choice>
          <mc:Fallback>
            <w:pict>
              <v:shape id="_x0000_s1026" o:spid="_x0000_s1026" o:spt="75" style="position:absolute;left:0pt;margin-left:301.95pt;margin-top:34.6pt;height:0.05pt;width:0.05pt;z-index:251664384;mso-width-relative:page;mso-height-relative:page;" coordsize="21600,21600" o:gfxdata="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">
                <v:imagedata r:id="rId25" o:title=""/>
                <o:lock v:ext="edit"/>
              </v:shape>
            </w:pict>
          </mc:Fallback>
        </mc:AlternateContent>
      </w: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2</w:t>
      </w:r>
      <w:r>
        <w:rPr>
          <w:color w:val="auto"/>
        </w:rPr>
        <w:fldChar w:fldCharType="end"/>
      </w:r>
      <w:bookmarkEnd w:id="34"/>
      <w:r>
        <w:rPr>
          <w:rFonts w:hint="eastAsia"/>
          <w:color w:val="auto"/>
        </w:rPr>
        <w:t xml:space="preserve">   全厂工艺产排污节点总图</w:t>
      </w:r>
      <w:bookmarkEnd w:id="35"/>
    </w:p>
    <w:p w14:paraId="2463D2B9">
      <w:pPr>
        <w:pStyle w:val="14"/>
        <w:rPr>
          <w:color w:val="auto"/>
        </w:rPr>
      </w:pPr>
      <w:bookmarkStart w:id="36" w:name="_Ref199149439"/>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36"/>
      <w:r>
        <w:rPr>
          <w:color w:val="auto"/>
        </w:rPr>
        <w:t xml:space="preserve">  生产过程中产污环节一览表</w:t>
      </w:r>
    </w:p>
    <w:tbl>
      <w:tblPr>
        <w:tblStyle w:val="41"/>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138"/>
        <w:gridCol w:w="856"/>
        <w:gridCol w:w="768"/>
        <w:gridCol w:w="2579"/>
        <w:gridCol w:w="2798"/>
        <w:gridCol w:w="782"/>
        <w:gridCol w:w="978"/>
        <w:gridCol w:w="2437"/>
      </w:tblGrid>
      <w:tr w14:paraId="60B5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09" w:type="pct"/>
            <w:vAlign w:val="center"/>
          </w:tcPr>
          <w:p w14:paraId="32E09EAC">
            <w:pPr>
              <w:pStyle w:val="78"/>
            </w:pPr>
            <w:r>
              <w:t>污染物类别</w:t>
            </w:r>
          </w:p>
        </w:tc>
        <w:tc>
          <w:tcPr>
            <w:tcW w:w="752" w:type="pct"/>
            <w:vAlign w:val="center"/>
          </w:tcPr>
          <w:p w14:paraId="6E3404BF">
            <w:pPr>
              <w:pStyle w:val="78"/>
            </w:pPr>
            <w:r>
              <w:t>产污单元</w:t>
            </w:r>
          </w:p>
        </w:tc>
        <w:tc>
          <w:tcPr>
            <w:tcW w:w="301" w:type="pct"/>
            <w:vAlign w:val="center"/>
          </w:tcPr>
          <w:p w14:paraId="5CA7128A">
            <w:pPr>
              <w:pStyle w:val="78"/>
            </w:pPr>
            <w:r>
              <w:t>工况</w:t>
            </w:r>
          </w:p>
        </w:tc>
        <w:tc>
          <w:tcPr>
            <w:tcW w:w="270" w:type="pct"/>
            <w:vAlign w:val="center"/>
          </w:tcPr>
          <w:p w14:paraId="107F1B6B">
            <w:pPr>
              <w:pStyle w:val="78"/>
            </w:pPr>
            <w:r>
              <w:t>产污编号</w:t>
            </w:r>
          </w:p>
        </w:tc>
        <w:tc>
          <w:tcPr>
            <w:tcW w:w="907" w:type="pct"/>
            <w:vAlign w:val="center"/>
          </w:tcPr>
          <w:p w14:paraId="774B7ED5">
            <w:pPr>
              <w:pStyle w:val="78"/>
            </w:pPr>
            <w:r>
              <w:t>产污环节</w:t>
            </w:r>
          </w:p>
        </w:tc>
        <w:tc>
          <w:tcPr>
            <w:tcW w:w="984" w:type="pct"/>
            <w:vAlign w:val="center"/>
          </w:tcPr>
          <w:p w14:paraId="264D9C9A">
            <w:pPr>
              <w:pStyle w:val="78"/>
            </w:pPr>
            <w:r>
              <w:t>污染物</w:t>
            </w:r>
          </w:p>
        </w:tc>
        <w:tc>
          <w:tcPr>
            <w:tcW w:w="275" w:type="pct"/>
            <w:vAlign w:val="center"/>
          </w:tcPr>
          <w:p w14:paraId="0A7D9717">
            <w:pPr>
              <w:pStyle w:val="78"/>
            </w:pPr>
            <w:r>
              <w:t>排放规律</w:t>
            </w:r>
          </w:p>
        </w:tc>
        <w:tc>
          <w:tcPr>
            <w:tcW w:w="344" w:type="pct"/>
            <w:vAlign w:val="center"/>
          </w:tcPr>
          <w:p w14:paraId="0F1A0A5A">
            <w:pPr>
              <w:pStyle w:val="78"/>
            </w:pPr>
            <w:r>
              <w:t>排放方式</w:t>
            </w:r>
          </w:p>
        </w:tc>
        <w:tc>
          <w:tcPr>
            <w:tcW w:w="857" w:type="pct"/>
            <w:vAlign w:val="center"/>
          </w:tcPr>
          <w:p w14:paraId="750BCCA0">
            <w:pPr>
              <w:pStyle w:val="78"/>
            </w:pPr>
            <w:r>
              <w:t>环保措施或排放去向</w:t>
            </w:r>
          </w:p>
        </w:tc>
      </w:tr>
      <w:tr w14:paraId="6395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40C07183">
            <w:pPr>
              <w:pStyle w:val="78"/>
            </w:pPr>
            <w:r>
              <w:t>废气</w:t>
            </w:r>
          </w:p>
        </w:tc>
        <w:tc>
          <w:tcPr>
            <w:tcW w:w="752" w:type="pct"/>
            <w:vMerge w:val="restart"/>
            <w:vAlign w:val="center"/>
          </w:tcPr>
          <w:p w14:paraId="31CF8775">
            <w:pPr>
              <w:pStyle w:val="78"/>
            </w:pPr>
            <w:r>
              <w:t>原料化单元</w:t>
            </w:r>
          </w:p>
        </w:tc>
        <w:tc>
          <w:tcPr>
            <w:tcW w:w="301" w:type="pct"/>
            <w:vAlign w:val="center"/>
          </w:tcPr>
          <w:p w14:paraId="018C5751">
            <w:pPr>
              <w:pStyle w:val="78"/>
            </w:pPr>
            <w:r>
              <w:t>正常</w:t>
            </w:r>
          </w:p>
        </w:tc>
        <w:tc>
          <w:tcPr>
            <w:tcW w:w="270" w:type="pct"/>
            <w:vAlign w:val="center"/>
          </w:tcPr>
          <w:p w14:paraId="7FFE80A9">
            <w:pPr>
              <w:pStyle w:val="78"/>
            </w:pPr>
            <w:r>
              <w:t>G1</w:t>
            </w:r>
          </w:p>
        </w:tc>
        <w:tc>
          <w:tcPr>
            <w:tcW w:w="907" w:type="pct"/>
            <w:vAlign w:val="center"/>
          </w:tcPr>
          <w:p w14:paraId="619AC31D">
            <w:pPr>
              <w:pStyle w:val="78"/>
            </w:pPr>
            <w:r>
              <w:rPr>
                <w:rFonts w:hint="eastAsia"/>
              </w:rPr>
              <w:t>生活塑料热风干燥塔</w:t>
            </w:r>
          </w:p>
        </w:tc>
        <w:tc>
          <w:tcPr>
            <w:tcW w:w="984" w:type="pct"/>
            <w:vAlign w:val="center"/>
          </w:tcPr>
          <w:p w14:paraId="093C0E53">
            <w:pPr>
              <w:pStyle w:val="78"/>
            </w:pPr>
            <w:r>
              <w:t>非甲烷总烃</w:t>
            </w:r>
            <w:r>
              <w:rPr>
                <w:rFonts w:hint="eastAsia"/>
              </w:rPr>
              <w:t>、臭气浓度</w:t>
            </w:r>
          </w:p>
        </w:tc>
        <w:tc>
          <w:tcPr>
            <w:tcW w:w="275" w:type="pct"/>
            <w:vAlign w:val="center"/>
          </w:tcPr>
          <w:p w14:paraId="5FFE3102">
            <w:pPr>
              <w:pStyle w:val="78"/>
            </w:pPr>
            <w:r>
              <w:t>连续</w:t>
            </w:r>
          </w:p>
        </w:tc>
        <w:tc>
          <w:tcPr>
            <w:tcW w:w="344" w:type="pct"/>
            <w:vAlign w:val="center"/>
          </w:tcPr>
          <w:p w14:paraId="35AB1609">
            <w:pPr>
              <w:pStyle w:val="78"/>
            </w:pPr>
            <w:r>
              <w:t>有组织</w:t>
            </w:r>
          </w:p>
        </w:tc>
        <w:tc>
          <w:tcPr>
            <w:tcW w:w="857" w:type="pct"/>
            <w:vMerge w:val="restart"/>
            <w:vAlign w:val="center"/>
          </w:tcPr>
          <w:p w14:paraId="7F7917DB">
            <w:pPr>
              <w:pStyle w:val="78"/>
            </w:pPr>
            <w:r>
              <w:rPr>
                <w:color w:val="000000" w:themeColor="text1"/>
                <w14:textFill>
                  <w14:solidFill>
                    <w14:schemeClr w14:val="tx1"/>
                  </w14:solidFill>
                </w14:textFill>
              </w:rPr>
              <w:t>布袋除尘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活性炭吸附</w:t>
            </w:r>
          </w:p>
        </w:tc>
      </w:tr>
      <w:tr w14:paraId="4CB4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A7062C7">
            <w:pPr>
              <w:pStyle w:val="78"/>
            </w:pPr>
          </w:p>
        </w:tc>
        <w:tc>
          <w:tcPr>
            <w:tcW w:w="752" w:type="pct"/>
            <w:vMerge w:val="continue"/>
            <w:vAlign w:val="center"/>
          </w:tcPr>
          <w:p w14:paraId="748A5CAF">
            <w:pPr>
              <w:pStyle w:val="78"/>
            </w:pPr>
          </w:p>
        </w:tc>
        <w:tc>
          <w:tcPr>
            <w:tcW w:w="301" w:type="pct"/>
            <w:vAlign w:val="center"/>
          </w:tcPr>
          <w:p w14:paraId="7B129118">
            <w:pPr>
              <w:pStyle w:val="78"/>
            </w:pPr>
            <w:r>
              <w:t>正常</w:t>
            </w:r>
          </w:p>
        </w:tc>
        <w:tc>
          <w:tcPr>
            <w:tcW w:w="270" w:type="pct"/>
            <w:vAlign w:val="center"/>
          </w:tcPr>
          <w:p w14:paraId="125538BD">
            <w:pPr>
              <w:pStyle w:val="78"/>
            </w:pPr>
            <w:r>
              <w:t>G2</w:t>
            </w:r>
          </w:p>
        </w:tc>
        <w:tc>
          <w:tcPr>
            <w:tcW w:w="907" w:type="pct"/>
            <w:vAlign w:val="center"/>
          </w:tcPr>
          <w:p w14:paraId="6A6E573D">
            <w:pPr>
              <w:pStyle w:val="78"/>
            </w:pPr>
            <w:r>
              <w:rPr>
                <w:rFonts w:hint="eastAsia"/>
              </w:rPr>
              <w:t>生活塑料旋风分离器</w:t>
            </w:r>
          </w:p>
        </w:tc>
        <w:tc>
          <w:tcPr>
            <w:tcW w:w="984" w:type="pct"/>
            <w:vAlign w:val="center"/>
          </w:tcPr>
          <w:p w14:paraId="2615C249">
            <w:pPr>
              <w:pStyle w:val="78"/>
            </w:pPr>
            <w:r>
              <w:t>颗粒物</w:t>
            </w:r>
          </w:p>
        </w:tc>
        <w:tc>
          <w:tcPr>
            <w:tcW w:w="275" w:type="pct"/>
            <w:vAlign w:val="center"/>
          </w:tcPr>
          <w:p w14:paraId="2BCB3F6A">
            <w:pPr>
              <w:pStyle w:val="78"/>
            </w:pPr>
            <w:r>
              <w:t>连续</w:t>
            </w:r>
          </w:p>
        </w:tc>
        <w:tc>
          <w:tcPr>
            <w:tcW w:w="344" w:type="pct"/>
            <w:vAlign w:val="center"/>
          </w:tcPr>
          <w:p w14:paraId="2F4C97A1">
            <w:pPr>
              <w:pStyle w:val="78"/>
            </w:pPr>
            <w:r>
              <w:t>有组织</w:t>
            </w:r>
          </w:p>
        </w:tc>
        <w:tc>
          <w:tcPr>
            <w:tcW w:w="857" w:type="pct"/>
            <w:vMerge w:val="continue"/>
            <w:vAlign w:val="center"/>
          </w:tcPr>
          <w:p w14:paraId="2861D854">
            <w:pPr>
              <w:pStyle w:val="78"/>
            </w:pPr>
          </w:p>
        </w:tc>
      </w:tr>
      <w:tr w14:paraId="4A25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DD09B74">
            <w:pPr>
              <w:pStyle w:val="78"/>
            </w:pPr>
          </w:p>
        </w:tc>
        <w:tc>
          <w:tcPr>
            <w:tcW w:w="752" w:type="pct"/>
            <w:vMerge w:val="continue"/>
            <w:vAlign w:val="center"/>
          </w:tcPr>
          <w:p w14:paraId="56E88E5A">
            <w:pPr>
              <w:pStyle w:val="78"/>
            </w:pPr>
          </w:p>
        </w:tc>
        <w:tc>
          <w:tcPr>
            <w:tcW w:w="301" w:type="pct"/>
            <w:vAlign w:val="center"/>
          </w:tcPr>
          <w:p w14:paraId="32A9EB09">
            <w:pPr>
              <w:pStyle w:val="78"/>
            </w:pPr>
            <w:r>
              <w:rPr>
                <w:rFonts w:hint="eastAsia"/>
              </w:rPr>
              <w:t>正常</w:t>
            </w:r>
          </w:p>
        </w:tc>
        <w:tc>
          <w:tcPr>
            <w:tcW w:w="270" w:type="pct"/>
            <w:vAlign w:val="center"/>
          </w:tcPr>
          <w:p w14:paraId="3BAA9807">
            <w:pPr>
              <w:pStyle w:val="78"/>
            </w:pPr>
            <w:r>
              <w:rPr>
                <w:rFonts w:hint="eastAsia"/>
              </w:rPr>
              <w:t>G3</w:t>
            </w:r>
          </w:p>
        </w:tc>
        <w:tc>
          <w:tcPr>
            <w:tcW w:w="907" w:type="pct"/>
            <w:vAlign w:val="center"/>
          </w:tcPr>
          <w:p w14:paraId="1A9723A1">
            <w:pPr>
              <w:pStyle w:val="78"/>
            </w:pPr>
            <w:r>
              <w:rPr>
                <w:rFonts w:hint="eastAsia"/>
              </w:rPr>
              <w:t>生活塑料环膜颗粒机</w:t>
            </w:r>
          </w:p>
        </w:tc>
        <w:tc>
          <w:tcPr>
            <w:tcW w:w="984" w:type="pct"/>
            <w:vAlign w:val="center"/>
          </w:tcPr>
          <w:p w14:paraId="333E9E39">
            <w:pPr>
              <w:pStyle w:val="78"/>
            </w:pPr>
            <w:r>
              <w:t>非甲烷总烃</w:t>
            </w:r>
            <w:r>
              <w:rPr>
                <w:rFonts w:hint="eastAsia"/>
              </w:rPr>
              <w:t>、臭气浓度</w:t>
            </w:r>
          </w:p>
        </w:tc>
        <w:tc>
          <w:tcPr>
            <w:tcW w:w="275" w:type="pct"/>
            <w:vAlign w:val="center"/>
          </w:tcPr>
          <w:p w14:paraId="0448B62B">
            <w:pPr>
              <w:pStyle w:val="78"/>
            </w:pPr>
            <w:r>
              <w:t>连续</w:t>
            </w:r>
          </w:p>
        </w:tc>
        <w:tc>
          <w:tcPr>
            <w:tcW w:w="344" w:type="pct"/>
            <w:vAlign w:val="center"/>
          </w:tcPr>
          <w:p w14:paraId="748151B4">
            <w:pPr>
              <w:pStyle w:val="78"/>
            </w:pPr>
            <w:r>
              <w:t>有组织</w:t>
            </w:r>
          </w:p>
        </w:tc>
        <w:tc>
          <w:tcPr>
            <w:tcW w:w="857" w:type="pct"/>
            <w:vAlign w:val="center"/>
          </w:tcPr>
          <w:p w14:paraId="20286E8A">
            <w:pPr>
              <w:pStyle w:val="78"/>
            </w:pPr>
            <w:r>
              <w:rPr>
                <w:color w:val="000000" w:themeColor="text1"/>
                <w14:textFill>
                  <w14:solidFill>
                    <w14:schemeClr w14:val="tx1"/>
                  </w14:solidFill>
                </w14:textFill>
              </w:rPr>
              <w:t>活性炭吸附</w:t>
            </w:r>
          </w:p>
        </w:tc>
      </w:tr>
      <w:tr w14:paraId="71C9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5DE0A80">
            <w:pPr>
              <w:pStyle w:val="78"/>
            </w:pPr>
          </w:p>
        </w:tc>
        <w:tc>
          <w:tcPr>
            <w:tcW w:w="752" w:type="pct"/>
            <w:vMerge w:val="continue"/>
            <w:vAlign w:val="center"/>
          </w:tcPr>
          <w:p w14:paraId="02459BF5">
            <w:pPr>
              <w:pStyle w:val="78"/>
            </w:pPr>
          </w:p>
        </w:tc>
        <w:tc>
          <w:tcPr>
            <w:tcW w:w="301" w:type="pct"/>
          </w:tcPr>
          <w:p w14:paraId="437CB61C">
            <w:pPr>
              <w:pStyle w:val="78"/>
            </w:pPr>
            <w:r>
              <w:rPr>
                <w:rFonts w:hint="eastAsia"/>
              </w:rPr>
              <w:t>正常</w:t>
            </w:r>
          </w:p>
        </w:tc>
        <w:tc>
          <w:tcPr>
            <w:tcW w:w="270" w:type="pct"/>
            <w:vAlign w:val="center"/>
          </w:tcPr>
          <w:p w14:paraId="22631B2E">
            <w:pPr>
              <w:pStyle w:val="78"/>
            </w:pPr>
            <w:r>
              <w:rPr>
                <w:rFonts w:hint="eastAsia"/>
              </w:rPr>
              <w:t>G5</w:t>
            </w:r>
          </w:p>
        </w:tc>
        <w:tc>
          <w:tcPr>
            <w:tcW w:w="907" w:type="pct"/>
            <w:vAlign w:val="center"/>
          </w:tcPr>
          <w:p w14:paraId="4F16775F">
            <w:pPr>
              <w:pStyle w:val="78"/>
            </w:pPr>
            <w:r>
              <w:rPr>
                <w:rFonts w:hint="eastAsia"/>
              </w:rPr>
              <w:t>农地膜塑料团粒机</w:t>
            </w:r>
          </w:p>
        </w:tc>
        <w:tc>
          <w:tcPr>
            <w:tcW w:w="984" w:type="pct"/>
            <w:vAlign w:val="center"/>
          </w:tcPr>
          <w:p w14:paraId="2BEE522D">
            <w:pPr>
              <w:pStyle w:val="78"/>
            </w:pPr>
            <w:r>
              <w:t>非甲烷总烃</w:t>
            </w:r>
            <w:r>
              <w:rPr>
                <w:rFonts w:hint="eastAsia"/>
              </w:rPr>
              <w:t>、臭气浓度</w:t>
            </w:r>
          </w:p>
        </w:tc>
        <w:tc>
          <w:tcPr>
            <w:tcW w:w="275" w:type="pct"/>
            <w:vAlign w:val="center"/>
          </w:tcPr>
          <w:p w14:paraId="70D359F1">
            <w:pPr>
              <w:pStyle w:val="78"/>
            </w:pPr>
            <w:r>
              <w:t>连续</w:t>
            </w:r>
          </w:p>
        </w:tc>
        <w:tc>
          <w:tcPr>
            <w:tcW w:w="344" w:type="pct"/>
            <w:vAlign w:val="center"/>
          </w:tcPr>
          <w:p w14:paraId="772E6B55">
            <w:pPr>
              <w:pStyle w:val="78"/>
            </w:pPr>
            <w:r>
              <w:t>有组织</w:t>
            </w:r>
          </w:p>
        </w:tc>
        <w:tc>
          <w:tcPr>
            <w:tcW w:w="857" w:type="pct"/>
            <w:vAlign w:val="center"/>
          </w:tcPr>
          <w:p w14:paraId="4AD89497">
            <w:pPr>
              <w:pStyle w:val="78"/>
            </w:pPr>
            <w:r>
              <w:t>布袋除尘</w:t>
            </w:r>
            <w:r>
              <w:rPr>
                <w:rFonts w:hint="eastAsia"/>
              </w:rPr>
              <w:t>+</w:t>
            </w:r>
            <w:r>
              <w:t>活性炭吸附</w:t>
            </w:r>
          </w:p>
        </w:tc>
      </w:tr>
      <w:tr w14:paraId="2D24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E4F1D2A">
            <w:pPr>
              <w:pStyle w:val="78"/>
            </w:pPr>
          </w:p>
        </w:tc>
        <w:tc>
          <w:tcPr>
            <w:tcW w:w="752" w:type="pct"/>
            <w:vMerge w:val="continue"/>
            <w:vAlign w:val="center"/>
          </w:tcPr>
          <w:p w14:paraId="4C1EC5C6">
            <w:pPr>
              <w:pStyle w:val="78"/>
            </w:pPr>
          </w:p>
        </w:tc>
        <w:tc>
          <w:tcPr>
            <w:tcW w:w="301" w:type="pct"/>
          </w:tcPr>
          <w:p w14:paraId="53961DE3">
            <w:pPr>
              <w:pStyle w:val="78"/>
            </w:pPr>
            <w:r>
              <w:rPr>
                <w:rFonts w:hint="eastAsia"/>
              </w:rPr>
              <w:t>正常</w:t>
            </w:r>
          </w:p>
        </w:tc>
        <w:tc>
          <w:tcPr>
            <w:tcW w:w="270" w:type="pct"/>
            <w:vAlign w:val="center"/>
          </w:tcPr>
          <w:p w14:paraId="410568F4">
            <w:pPr>
              <w:pStyle w:val="78"/>
            </w:pPr>
            <w:r>
              <w:rPr>
                <w:rFonts w:hint="eastAsia"/>
              </w:rPr>
              <w:t>G6</w:t>
            </w:r>
          </w:p>
        </w:tc>
        <w:tc>
          <w:tcPr>
            <w:tcW w:w="907" w:type="pct"/>
            <w:vAlign w:val="center"/>
          </w:tcPr>
          <w:p w14:paraId="07982A2B">
            <w:pPr>
              <w:pStyle w:val="78"/>
            </w:pPr>
            <w:r>
              <w:rPr>
                <w:rFonts w:hint="eastAsia"/>
              </w:rPr>
              <w:t>农地膜塑料旋风分离器</w:t>
            </w:r>
          </w:p>
        </w:tc>
        <w:tc>
          <w:tcPr>
            <w:tcW w:w="984" w:type="pct"/>
            <w:vAlign w:val="center"/>
          </w:tcPr>
          <w:p w14:paraId="739658B5">
            <w:pPr>
              <w:pStyle w:val="78"/>
            </w:pPr>
            <w:r>
              <w:t>颗粒物</w:t>
            </w:r>
          </w:p>
        </w:tc>
        <w:tc>
          <w:tcPr>
            <w:tcW w:w="275" w:type="pct"/>
            <w:vAlign w:val="center"/>
          </w:tcPr>
          <w:p w14:paraId="69D61495">
            <w:pPr>
              <w:pStyle w:val="78"/>
            </w:pPr>
            <w:r>
              <w:t>连续</w:t>
            </w:r>
          </w:p>
        </w:tc>
        <w:tc>
          <w:tcPr>
            <w:tcW w:w="344" w:type="pct"/>
            <w:vAlign w:val="center"/>
          </w:tcPr>
          <w:p w14:paraId="54E089A5">
            <w:pPr>
              <w:pStyle w:val="78"/>
            </w:pPr>
            <w:r>
              <w:rPr>
                <w:rFonts w:hint="eastAsia"/>
              </w:rPr>
              <w:t>无组织</w:t>
            </w:r>
          </w:p>
        </w:tc>
        <w:tc>
          <w:tcPr>
            <w:tcW w:w="857" w:type="pct"/>
            <w:vAlign w:val="center"/>
          </w:tcPr>
          <w:p w14:paraId="450D5FE6">
            <w:pPr>
              <w:pStyle w:val="78"/>
            </w:pPr>
            <w:r>
              <w:rPr>
                <w:rFonts w:hint="eastAsia"/>
              </w:rPr>
              <w:t>简易布袋除尘</w:t>
            </w:r>
          </w:p>
        </w:tc>
      </w:tr>
      <w:tr w14:paraId="3D12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9343584">
            <w:pPr>
              <w:pStyle w:val="78"/>
            </w:pPr>
          </w:p>
        </w:tc>
        <w:tc>
          <w:tcPr>
            <w:tcW w:w="752" w:type="pct"/>
            <w:vMerge w:val="continue"/>
            <w:vAlign w:val="center"/>
          </w:tcPr>
          <w:p w14:paraId="62F5FAC4">
            <w:pPr>
              <w:pStyle w:val="78"/>
            </w:pPr>
          </w:p>
        </w:tc>
        <w:tc>
          <w:tcPr>
            <w:tcW w:w="301" w:type="pct"/>
          </w:tcPr>
          <w:p w14:paraId="11A22E1D">
            <w:pPr>
              <w:pStyle w:val="78"/>
            </w:pPr>
            <w:r>
              <w:rPr>
                <w:rFonts w:hint="eastAsia"/>
              </w:rPr>
              <w:t>正常</w:t>
            </w:r>
          </w:p>
        </w:tc>
        <w:tc>
          <w:tcPr>
            <w:tcW w:w="270" w:type="pct"/>
            <w:vAlign w:val="center"/>
          </w:tcPr>
          <w:p w14:paraId="15CFBA25">
            <w:pPr>
              <w:pStyle w:val="78"/>
            </w:pPr>
            <w:r>
              <w:rPr>
                <w:rFonts w:hint="eastAsia"/>
              </w:rPr>
              <w:t>G7</w:t>
            </w:r>
          </w:p>
        </w:tc>
        <w:tc>
          <w:tcPr>
            <w:tcW w:w="907" w:type="pct"/>
            <w:vAlign w:val="center"/>
          </w:tcPr>
          <w:p w14:paraId="5D24EC57">
            <w:pPr>
              <w:pStyle w:val="78"/>
            </w:pPr>
            <w:r>
              <w:rPr>
                <w:rFonts w:hint="eastAsia"/>
              </w:rPr>
              <w:t>农地膜塑料缓存料仓</w:t>
            </w:r>
          </w:p>
        </w:tc>
        <w:tc>
          <w:tcPr>
            <w:tcW w:w="984" w:type="pct"/>
            <w:vAlign w:val="center"/>
          </w:tcPr>
          <w:p w14:paraId="6C8BA9B5">
            <w:pPr>
              <w:pStyle w:val="78"/>
            </w:pPr>
            <w:r>
              <w:t>颗粒物</w:t>
            </w:r>
          </w:p>
        </w:tc>
        <w:tc>
          <w:tcPr>
            <w:tcW w:w="275" w:type="pct"/>
            <w:vAlign w:val="center"/>
          </w:tcPr>
          <w:p w14:paraId="44FA785E">
            <w:pPr>
              <w:pStyle w:val="78"/>
            </w:pPr>
            <w:r>
              <w:t>连续</w:t>
            </w:r>
          </w:p>
        </w:tc>
        <w:tc>
          <w:tcPr>
            <w:tcW w:w="344" w:type="pct"/>
            <w:vAlign w:val="center"/>
          </w:tcPr>
          <w:p w14:paraId="57E8927A">
            <w:pPr>
              <w:pStyle w:val="78"/>
            </w:pPr>
            <w:r>
              <w:rPr>
                <w:rFonts w:hint="eastAsia"/>
              </w:rPr>
              <w:t>无组织</w:t>
            </w:r>
          </w:p>
        </w:tc>
        <w:tc>
          <w:tcPr>
            <w:tcW w:w="857" w:type="pct"/>
            <w:vAlign w:val="center"/>
          </w:tcPr>
          <w:p w14:paraId="1048347B">
            <w:pPr>
              <w:pStyle w:val="78"/>
            </w:pPr>
            <w:r>
              <w:rPr>
                <w:rFonts w:hint="eastAsia"/>
              </w:rPr>
              <w:t>仓顶布袋除尘</w:t>
            </w:r>
          </w:p>
        </w:tc>
      </w:tr>
      <w:tr w14:paraId="4C17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73867ED">
            <w:pPr>
              <w:pStyle w:val="78"/>
            </w:pPr>
          </w:p>
        </w:tc>
        <w:tc>
          <w:tcPr>
            <w:tcW w:w="752" w:type="pct"/>
            <w:vMerge w:val="continue"/>
            <w:vAlign w:val="center"/>
          </w:tcPr>
          <w:p w14:paraId="49F7E6E8">
            <w:pPr>
              <w:pStyle w:val="78"/>
            </w:pPr>
          </w:p>
        </w:tc>
        <w:tc>
          <w:tcPr>
            <w:tcW w:w="301" w:type="pct"/>
          </w:tcPr>
          <w:p w14:paraId="46623D34">
            <w:pPr>
              <w:pStyle w:val="78"/>
            </w:pPr>
            <w:r>
              <w:rPr>
                <w:rFonts w:hint="eastAsia"/>
              </w:rPr>
              <w:t>正常</w:t>
            </w:r>
          </w:p>
        </w:tc>
        <w:tc>
          <w:tcPr>
            <w:tcW w:w="270" w:type="pct"/>
            <w:vAlign w:val="center"/>
          </w:tcPr>
          <w:p w14:paraId="41D2D573">
            <w:pPr>
              <w:pStyle w:val="78"/>
            </w:pPr>
            <w:r>
              <w:rPr>
                <w:rFonts w:hint="eastAsia"/>
              </w:rPr>
              <w:t>G8</w:t>
            </w:r>
          </w:p>
        </w:tc>
        <w:tc>
          <w:tcPr>
            <w:tcW w:w="907" w:type="pct"/>
            <w:vAlign w:val="center"/>
          </w:tcPr>
          <w:p w14:paraId="50536349">
            <w:pPr>
              <w:pStyle w:val="78"/>
            </w:pPr>
            <w:r>
              <w:rPr>
                <w:rFonts w:hint="eastAsia"/>
              </w:rPr>
              <w:t>硬质塑料旋风分离器</w:t>
            </w:r>
          </w:p>
        </w:tc>
        <w:tc>
          <w:tcPr>
            <w:tcW w:w="984" w:type="pct"/>
            <w:vAlign w:val="center"/>
          </w:tcPr>
          <w:p w14:paraId="2A14BE70">
            <w:pPr>
              <w:pStyle w:val="78"/>
            </w:pPr>
            <w:r>
              <w:t>颗粒物</w:t>
            </w:r>
          </w:p>
        </w:tc>
        <w:tc>
          <w:tcPr>
            <w:tcW w:w="275" w:type="pct"/>
          </w:tcPr>
          <w:p w14:paraId="78DA9D22">
            <w:pPr>
              <w:pStyle w:val="78"/>
            </w:pPr>
            <w:r>
              <w:t>连续</w:t>
            </w:r>
          </w:p>
        </w:tc>
        <w:tc>
          <w:tcPr>
            <w:tcW w:w="344" w:type="pct"/>
          </w:tcPr>
          <w:p w14:paraId="75CB285F">
            <w:pPr>
              <w:pStyle w:val="78"/>
            </w:pPr>
            <w:r>
              <w:rPr>
                <w:rFonts w:hint="eastAsia"/>
              </w:rPr>
              <w:t>无组织</w:t>
            </w:r>
          </w:p>
        </w:tc>
        <w:tc>
          <w:tcPr>
            <w:tcW w:w="857" w:type="pct"/>
            <w:vAlign w:val="center"/>
          </w:tcPr>
          <w:p w14:paraId="0DD8AAA4">
            <w:pPr>
              <w:pStyle w:val="78"/>
            </w:pPr>
            <w:r>
              <w:rPr>
                <w:rFonts w:hint="eastAsia"/>
              </w:rPr>
              <w:t>简易布袋除尘</w:t>
            </w:r>
          </w:p>
        </w:tc>
      </w:tr>
      <w:tr w14:paraId="255D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E16097B">
            <w:pPr>
              <w:pStyle w:val="78"/>
            </w:pPr>
          </w:p>
        </w:tc>
        <w:tc>
          <w:tcPr>
            <w:tcW w:w="752" w:type="pct"/>
            <w:vMerge w:val="continue"/>
            <w:vAlign w:val="center"/>
          </w:tcPr>
          <w:p w14:paraId="1E766E81">
            <w:pPr>
              <w:pStyle w:val="78"/>
            </w:pPr>
          </w:p>
        </w:tc>
        <w:tc>
          <w:tcPr>
            <w:tcW w:w="301" w:type="pct"/>
          </w:tcPr>
          <w:p w14:paraId="407A14E5">
            <w:pPr>
              <w:pStyle w:val="78"/>
            </w:pPr>
            <w:r>
              <w:rPr>
                <w:rFonts w:hint="eastAsia"/>
              </w:rPr>
              <w:t>正常</w:t>
            </w:r>
          </w:p>
        </w:tc>
        <w:tc>
          <w:tcPr>
            <w:tcW w:w="270" w:type="pct"/>
            <w:vAlign w:val="center"/>
          </w:tcPr>
          <w:p w14:paraId="26805A5A">
            <w:pPr>
              <w:pStyle w:val="78"/>
            </w:pPr>
            <w:r>
              <w:rPr>
                <w:rFonts w:hint="eastAsia"/>
              </w:rPr>
              <w:t>G9</w:t>
            </w:r>
          </w:p>
        </w:tc>
        <w:tc>
          <w:tcPr>
            <w:tcW w:w="907" w:type="pct"/>
            <w:vAlign w:val="center"/>
          </w:tcPr>
          <w:p w14:paraId="2516FB46">
            <w:pPr>
              <w:pStyle w:val="78"/>
            </w:pPr>
            <w:r>
              <w:rPr>
                <w:rFonts w:hint="eastAsia"/>
              </w:rPr>
              <w:t>硬质塑料磨粉机</w:t>
            </w:r>
          </w:p>
        </w:tc>
        <w:tc>
          <w:tcPr>
            <w:tcW w:w="984" w:type="pct"/>
            <w:vAlign w:val="center"/>
          </w:tcPr>
          <w:p w14:paraId="7DB27854">
            <w:pPr>
              <w:pStyle w:val="78"/>
            </w:pPr>
            <w:r>
              <w:t>颗粒物</w:t>
            </w:r>
          </w:p>
        </w:tc>
        <w:tc>
          <w:tcPr>
            <w:tcW w:w="275" w:type="pct"/>
          </w:tcPr>
          <w:p w14:paraId="42BF2ECB">
            <w:pPr>
              <w:pStyle w:val="78"/>
            </w:pPr>
            <w:r>
              <w:t>连续</w:t>
            </w:r>
          </w:p>
        </w:tc>
        <w:tc>
          <w:tcPr>
            <w:tcW w:w="344" w:type="pct"/>
          </w:tcPr>
          <w:p w14:paraId="3B72FA63">
            <w:pPr>
              <w:pStyle w:val="78"/>
            </w:pPr>
            <w:r>
              <w:rPr>
                <w:rFonts w:hint="eastAsia"/>
              </w:rPr>
              <w:t>无组织</w:t>
            </w:r>
          </w:p>
        </w:tc>
        <w:tc>
          <w:tcPr>
            <w:tcW w:w="857" w:type="pct"/>
            <w:vAlign w:val="center"/>
          </w:tcPr>
          <w:p w14:paraId="44FC7D3C">
            <w:pPr>
              <w:pStyle w:val="78"/>
            </w:pPr>
            <w:r>
              <w:rPr>
                <w:rFonts w:hint="eastAsia"/>
              </w:rPr>
              <w:t>简易布袋除尘</w:t>
            </w:r>
          </w:p>
        </w:tc>
      </w:tr>
      <w:tr w14:paraId="7E7C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03D6524A">
            <w:pPr>
              <w:pStyle w:val="78"/>
            </w:pPr>
          </w:p>
        </w:tc>
        <w:tc>
          <w:tcPr>
            <w:tcW w:w="752" w:type="pct"/>
            <w:vMerge w:val="continue"/>
            <w:vAlign w:val="center"/>
          </w:tcPr>
          <w:p w14:paraId="501F9841">
            <w:pPr>
              <w:pStyle w:val="78"/>
            </w:pPr>
          </w:p>
        </w:tc>
        <w:tc>
          <w:tcPr>
            <w:tcW w:w="301" w:type="pct"/>
          </w:tcPr>
          <w:p w14:paraId="6720D85E">
            <w:pPr>
              <w:pStyle w:val="78"/>
            </w:pPr>
            <w:r>
              <w:rPr>
                <w:rFonts w:hint="eastAsia"/>
              </w:rPr>
              <w:t>正常</w:t>
            </w:r>
          </w:p>
        </w:tc>
        <w:tc>
          <w:tcPr>
            <w:tcW w:w="270" w:type="pct"/>
            <w:vAlign w:val="center"/>
          </w:tcPr>
          <w:p w14:paraId="7219776C">
            <w:pPr>
              <w:pStyle w:val="78"/>
            </w:pPr>
            <w:r>
              <w:rPr>
                <w:rFonts w:hint="eastAsia"/>
              </w:rPr>
              <w:t>G10</w:t>
            </w:r>
          </w:p>
        </w:tc>
        <w:tc>
          <w:tcPr>
            <w:tcW w:w="907" w:type="pct"/>
            <w:vAlign w:val="center"/>
          </w:tcPr>
          <w:p w14:paraId="56074BF1">
            <w:pPr>
              <w:pStyle w:val="78"/>
            </w:pPr>
            <w:r>
              <w:rPr>
                <w:rFonts w:hint="eastAsia"/>
              </w:rPr>
              <w:t>硬质塑料缓存料仓</w:t>
            </w:r>
          </w:p>
        </w:tc>
        <w:tc>
          <w:tcPr>
            <w:tcW w:w="984" w:type="pct"/>
            <w:vAlign w:val="center"/>
          </w:tcPr>
          <w:p w14:paraId="70F930FE">
            <w:pPr>
              <w:pStyle w:val="78"/>
            </w:pPr>
            <w:r>
              <w:t>颗粒物</w:t>
            </w:r>
          </w:p>
        </w:tc>
        <w:tc>
          <w:tcPr>
            <w:tcW w:w="275" w:type="pct"/>
          </w:tcPr>
          <w:p w14:paraId="22D97550">
            <w:pPr>
              <w:pStyle w:val="78"/>
            </w:pPr>
            <w:r>
              <w:t>连续</w:t>
            </w:r>
          </w:p>
        </w:tc>
        <w:tc>
          <w:tcPr>
            <w:tcW w:w="344" w:type="pct"/>
          </w:tcPr>
          <w:p w14:paraId="0B764D6A">
            <w:pPr>
              <w:pStyle w:val="78"/>
            </w:pPr>
            <w:r>
              <w:rPr>
                <w:rFonts w:hint="eastAsia"/>
              </w:rPr>
              <w:t>无组织</w:t>
            </w:r>
          </w:p>
        </w:tc>
        <w:tc>
          <w:tcPr>
            <w:tcW w:w="857" w:type="pct"/>
            <w:vAlign w:val="center"/>
          </w:tcPr>
          <w:p w14:paraId="54849CB2">
            <w:pPr>
              <w:pStyle w:val="78"/>
            </w:pPr>
            <w:r>
              <w:rPr>
                <w:rFonts w:hint="eastAsia"/>
              </w:rPr>
              <w:t>仓顶布袋除尘</w:t>
            </w:r>
          </w:p>
        </w:tc>
      </w:tr>
      <w:tr w14:paraId="44FA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DD28EB9">
            <w:pPr>
              <w:pStyle w:val="78"/>
            </w:pPr>
          </w:p>
        </w:tc>
        <w:tc>
          <w:tcPr>
            <w:tcW w:w="752" w:type="pct"/>
            <w:vMerge w:val="continue"/>
            <w:vAlign w:val="center"/>
          </w:tcPr>
          <w:p w14:paraId="11BA3BA2">
            <w:pPr>
              <w:pStyle w:val="78"/>
            </w:pPr>
          </w:p>
        </w:tc>
        <w:tc>
          <w:tcPr>
            <w:tcW w:w="301" w:type="pct"/>
          </w:tcPr>
          <w:p w14:paraId="308E6309">
            <w:pPr>
              <w:pStyle w:val="78"/>
            </w:pPr>
            <w:r>
              <w:rPr>
                <w:rFonts w:hint="eastAsia"/>
              </w:rPr>
              <w:t>正常</w:t>
            </w:r>
          </w:p>
        </w:tc>
        <w:tc>
          <w:tcPr>
            <w:tcW w:w="270" w:type="pct"/>
            <w:vAlign w:val="center"/>
          </w:tcPr>
          <w:p w14:paraId="617A180D">
            <w:pPr>
              <w:pStyle w:val="78"/>
            </w:pPr>
            <w:r>
              <w:rPr>
                <w:rFonts w:hint="eastAsia"/>
              </w:rPr>
              <w:t>G21*</w:t>
            </w:r>
          </w:p>
        </w:tc>
        <w:tc>
          <w:tcPr>
            <w:tcW w:w="907" w:type="pct"/>
            <w:vAlign w:val="center"/>
          </w:tcPr>
          <w:p w14:paraId="23F98503">
            <w:pPr>
              <w:pStyle w:val="78"/>
            </w:pPr>
            <w:r>
              <w:rPr>
                <w:rFonts w:hint="eastAsia"/>
              </w:rPr>
              <w:t>生活塑料新增旋风分离器2</w:t>
            </w:r>
          </w:p>
        </w:tc>
        <w:tc>
          <w:tcPr>
            <w:tcW w:w="984" w:type="pct"/>
            <w:vAlign w:val="center"/>
          </w:tcPr>
          <w:p w14:paraId="36709936">
            <w:pPr>
              <w:pStyle w:val="78"/>
            </w:pPr>
            <w:r>
              <w:t>颗粒物</w:t>
            </w:r>
          </w:p>
        </w:tc>
        <w:tc>
          <w:tcPr>
            <w:tcW w:w="275" w:type="pct"/>
            <w:vAlign w:val="center"/>
          </w:tcPr>
          <w:p w14:paraId="18B26D48">
            <w:pPr>
              <w:pStyle w:val="78"/>
            </w:pPr>
            <w:r>
              <w:t>连续</w:t>
            </w:r>
          </w:p>
        </w:tc>
        <w:tc>
          <w:tcPr>
            <w:tcW w:w="344" w:type="pct"/>
            <w:vAlign w:val="center"/>
          </w:tcPr>
          <w:p w14:paraId="101733A2">
            <w:pPr>
              <w:pStyle w:val="78"/>
            </w:pPr>
            <w:r>
              <w:t>有组织</w:t>
            </w:r>
          </w:p>
        </w:tc>
        <w:tc>
          <w:tcPr>
            <w:tcW w:w="857" w:type="pct"/>
            <w:vAlign w:val="center"/>
          </w:tcPr>
          <w:p w14:paraId="65248479">
            <w:pPr>
              <w:pStyle w:val="78"/>
            </w:pPr>
            <w:r>
              <w:rPr>
                <w:rFonts w:hint="eastAsia"/>
                <w:bCs/>
                <w:color w:val="000000" w:themeColor="text1"/>
                <w14:textFill>
                  <w14:solidFill>
                    <w14:schemeClr w14:val="tx1"/>
                  </w14:solidFill>
                </w14:textFill>
              </w:rPr>
              <w:t>一级布袋除尘后引入热风干燥塔后的废气总管，再进行二级</w:t>
            </w:r>
            <w:r>
              <w:rPr>
                <w:bCs/>
                <w:color w:val="000000" w:themeColor="text1"/>
                <w14:textFill>
                  <w14:solidFill>
                    <w14:schemeClr w14:val="tx1"/>
                  </w14:solidFill>
                </w14:textFill>
              </w:rPr>
              <w:t>布袋除尘</w:t>
            </w:r>
          </w:p>
        </w:tc>
      </w:tr>
      <w:tr w14:paraId="48C7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C327B3C">
            <w:pPr>
              <w:pStyle w:val="78"/>
            </w:pPr>
          </w:p>
        </w:tc>
        <w:tc>
          <w:tcPr>
            <w:tcW w:w="752" w:type="pct"/>
            <w:vMerge w:val="restart"/>
            <w:vAlign w:val="center"/>
          </w:tcPr>
          <w:p w14:paraId="67AE8AC1">
            <w:pPr>
              <w:pStyle w:val="78"/>
            </w:pPr>
            <w:r>
              <w:t>裂解单元</w:t>
            </w:r>
          </w:p>
        </w:tc>
        <w:tc>
          <w:tcPr>
            <w:tcW w:w="301" w:type="pct"/>
            <w:vAlign w:val="center"/>
          </w:tcPr>
          <w:p w14:paraId="2E0E05ED">
            <w:pPr>
              <w:pStyle w:val="78"/>
            </w:pPr>
            <w:r>
              <w:t>正常</w:t>
            </w:r>
          </w:p>
        </w:tc>
        <w:tc>
          <w:tcPr>
            <w:tcW w:w="270" w:type="pct"/>
            <w:vAlign w:val="center"/>
          </w:tcPr>
          <w:p w14:paraId="6B061994">
            <w:pPr>
              <w:pStyle w:val="78"/>
            </w:pPr>
            <w:r>
              <w:t>G</w:t>
            </w:r>
            <w:r>
              <w:rPr>
                <w:rFonts w:hint="eastAsia"/>
              </w:rPr>
              <w:t>11</w:t>
            </w:r>
          </w:p>
        </w:tc>
        <w:tc>
          <w:tcPr>
            <w:tcW w:w="907" w:type="pct"/>
            <w:vAlign w:val="center"/>
          </w:tcPr>
          <w:p w14:paraId="641043B7">
            <w:pPr>
              <w:pStyle w:val="78"/>
            </w:pPr>
            <w:r>
              <w:t>进料仓输送粉尘</w:t>
            </w:r>
          </w:p>
        </w:tc>
        <w:tc>
          <w:tcPr>
            <w:tcW w:w="984" w:type="pct"/>
            <w:vAlign w:val="center"/>
          </w:tcPr>
          <w:p w14:paraId="5F02B48C">
            <w:pPr>
              <w:pStyle w:val="78"/>
            </w:pPr>
            <w:r>
              <w:t>颗粒物</w:t>
            </w:r>
          </w:p>
        </w:tc>
        <w:tc>
          <w:tcPr>
            <w:tcW w:w="275" w:type="pct"/>
            <w:vAlign w:val="center"/>
          </w:tcPr>
          <w:p w14:paraId="05D53C60">
            <w:pPr>
              <w:pStyle w:val="78"/>
            </w:pPr>
            <w:r>
              <w:t>连续</w:t>
            </w:r>
          </w:p>
        </w:tc>
        <w:tc>
          <w:tcPr>
            <w:tcW w:w="344" w:type="pct"/>
            <w:vAlign w:val="center"/>
          </w:tcPr>
          <w:p w14:paraId="6079D65C">
            <w:pPr>
              <w:pStyle w:val="78"/>
            </w:pPr>
            <w:r>
              <w:t>无组织</w:t>
            </w:r>
          </w:p>
        </w:tc>
        <w:tc>
          <w:tcPr>
            <w:tcW w:w="857" w:type="pct"/>
            <w:vAlign w:val="center"/>
          </w:tcPr>
          <w:p w14:paraId="3D217D0F">
            <w:pPr>
              <w:pStyle w:val="78"/>
            </w:pPr>
            <w:r>
              <w:t>仓顶布袋除尘</w:t>
            </w:r>
          </w:p>
        </w:tc>
      </w:tr>
      <w:tr w14:paraId="2121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9E0D6EB">
            <w:pPr>
              <w:pStyle w:val="78"/>
            </w:pPr>
          </w:p>
        </w:tc>
        <w:tc>
          <w:tcPr>
            <w:tcW w:w="752" w:type="pct"/>
            <w:vMerge w:val="continue"/>
            <w:vAlign w:val="center"/>
          </w:tcPr>
          <w:p w14:paraId="31A1B523">
            <w:pPr>
              <w:pStyle w:val="78"/>
            </w:pPr>
          </w:p>
        </w:tc>
        <w:tc>
          <w:tcPr>
            <w:tcW w:w="301" w:type="pct"/>
            <w:vAlign w:val="center"/>
          </w:tcPr>
          <w:p w14:paraId="23AEC94C">
            <w:pPr>
              <w:pStyle w:val="78"/>
            </w:pPr>
            <w:r>
              <w:rPr>
                <w:rFonts w:hint="eastAsia"/>
              </w:rPr>
              <w:t>正常</w:t>
            </w:r>
          </w:p>
        </w:tc>
        <w:tc>
          <w:tcPr>
            <w:tcW w:w="270" w:type="pct"/>
            <w:vAlign w:val="center"/>
          </w:tcPr>
          <w:p w14:paraId="036D2A53">
            <w:pPr>
              <w:pStyle w:val="78"/>
            </w:pPr>
            <w:r>
              <w:rPr>
                <w:rFonts w:hint="eastAsia"/>
              </w:rPr>
              <w:t>G12</w:t>
            </w:r>
          </w:p>
        </w:tc>
        <w:tc>
          <w:tcPr>
            <w:tcW w:w="907" w:type="pct"/>
            <w:vAlign w:val="center"/>
          </w:tcPr>
          <w:p w14:paraId="0DFD7118">
            <w:pPr>
              <w:pStyle w:val="78"/>
            </w:pPr>
            <w:r>
              <w:rPr>
                <w:rFonts w:hint="eastAsia"/>
              </w:rPr>
              <w:t>催化剂罐粉尘</w:t>
            </w:r>
          </w:p>
        </w:tc>
        <w:tc>
          <w:tcPr>
            <w:tcW w:w="984" w:type="pct"/>
            <w:vAlign w:val="center"/>
          </w:tcPr>
          <w:p w14:paraId="4EE86F5F">
            <w:pPr>
              <w:pStyle w:val="78"/>
            </w:pPr>
            <w:r>
              <w:t>颗粒物</w:t>
            </w:r>
          </w:p>
        </w:tc>
        <w:tc>
          <w:tcPr>
            <w:tcW w:w="275" w:type="pct"/>
            <w:vAlign w:val="center"/>
          </w:tcPr>
          <w:p w14:paraId="46057E8E">
            <w:pPr>
              <w:pStyle w:val="78"/>
            </w:pPr>
            <w:r>
              <w:rPr>
                <w:rFonts w:hint="eastAsia"/>
              </w:rPr>
              <w:t>间歇</w:t>
            </w:r>
          </w:p>
        </w:tc>
        <w:tc>
          <w:tcPr>
            <w:tcW w:w="344" w:type="pct"/>
            <w:vAlign w:val="center"/>
          </w:tcPr>
          <w:p w14:paraId="5BD4EEC4">
            <w:pPr>
              <w:pStyle w:val="78"/>
            </w:pPr>
            <w:r>
              <w:t>无组织</w:t>
            </w:r>
          </w:p>
        </w:tc>
        <w:tc>
          <w:tcPr>
            <w:tcW w:w="857" w:type="pct"/>
            <w:vAlign w:val="center"/>
          </w:tcPr>
          <w:p w14:paraId="12D8C599">
            <w:pPr>
              <w:pStyle w:val="78"/>
            </w:pPr>
            <w:r>
              <w:rPr>
                <w:rFonts w:hint="eastAsia"/>
              </w:rPr>
              <w:t>罐顶布袋除尘</w:t>
            </w:r>
          </w:p>
        </w:tc>
      </w:tr>
      <w:tr w14:paraId="5A02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4309C9A">
            <w:pPr>
              <w:pStyle w:val="78"/>
            </w:pPr>
          </w:p>
        </w:tc>
        <w:tc>
          <w:tcPr>
            <w:tcW w:w="752" w:type="pct"/>
            <w:vMerge w:val="continue"/>
            <w:vAlign w:val="center"/>
          </w:tcPr>
          <w:p w14:paraId="27F48BD9">
            <w:pPr>
              <w:pStyle w:val="78"/>
            </w:pPr>
          </w:p>
        </w:tc>
        <w:tc>
          <w:tcPr>
            <w:tcW w:w="301" w:type="pct"/>
            <w:vAlign w:val="center"/>
          </w:tcPr>
          <w:p w14:paraId="6BA5DDBE">
            <w:pPr>
              <w:pStyle w:val="78"/>
            </w:pPr>
            <w:r>
              <w:t>正常</w:t>
            </w:r>
          </w:p>
        </w:tc>
        <w:tc>
          <w:tcPr>
            <w:tcW w:w="270" w:type="pct"/>
            <w:vAlign w:val="center"/>
          </w:tcPr>
          <w:p w14:paraId="5538C107">
            <w:pPr>
              <w:pStyle w:val="78"/>
            </w:pPr>
            <w:r>
              <w:t>G</w:t>
            </w:r>
            <w:r>
              <w:rPr>
                <w:rFonts w:hint="eastAsia"/>
              </w:rPr>
              <w:t>13</w:t>
            </w:r>
          </w:p>
        </w:tc>
        <w:tc>
          <w:tcPr>
            <w:tcW w:w="907" w:type="pct"/>
            <w:vAlign w:val="center"/>
          </w:tcPr>
          <w:p w14:paraId="7D51FEE2">
            <w:pPr>
              <w:pStyle w:val="78"/>
            </w:pPr>
            <w:r>
              <w:t>催化剂再生烟气</w:t>
            </w:r>
          </w:p>
        </w:tc>
        <w:tc>
          <w:tcPr>
            <w:tcW w:w="984" w:type="pct"/>
            <w:vAlign w:val="center"/>
          </w:tcPr>
          <w:p w14:paraId="4DAC2008">
            <w:pPr>
              <w:pStyle w:val="78"/>
            </w:pPr>
            <w:r>
              <w:t>烟尘、二氧化硫、氮氧化物、氯化氢、</w:t>
            </w:r>
            <w:r>
              <w:rPr>
                <w:rFonts w:hint="eastAsia"/>
              </w:rPr>
              <w:t>氟化物</w:t>
            </w:r>
            <w:r>
              <w:t>、汞、镉、铅、镍</w:t>
            </w:r>
            <w:r>
              <w:rPr>
                <w:rFonts w:hint="eastAsia"/>
              </w:rPr>
              <w:t>、二噁英、非甲烷总烃</w:t>
            </w:r>
          </w:p>
        </w:tc>
        <w:tc>
          <w:tcPr>
            <w:tcW w:w="275" w:type="pct"/>
            <w:vAlign w:val="center"/>
          </w:tcPr>
          <w:p w14:paraId="5F55BD87">
            <w:pPr>
              <w:pStyle w:val="78"/>
            </w:pPr>
            <w:r>
              <w:t>连续</w:t>
            </w:r>
          </w:p>
        </w:tc>
        <w:tc>
          <w:tcPr>
            <w:tcW w:w="344" w:type="pct"/>
            <w:vAlign w:val="center"/>
          </w:tcPr>
          <w:p w14:paraId="7754D016">
            <w:pPr>
              <w:pStyle w:val="78"/>
            </w:pPr>
            <w:r>
              <w:t>有组织</w:t>
            </w:r>
          </w:p>
        </w:tc>
        <w:tc>
          <w:tcPr>
            <w:tcW w:w="857" w:type="pct"/>
            <w:vAlign w:val="center"/>
          </w:tcPr>
          <w:p w14:paraId="0BBFD95A">
            <w:pPr>
              <w:pStyle w:val="78"/>
            </w:pPr>
            <w:r>
              <w:rPr>
                <w:rFonts w:hint="eastAsia"/>
              </w:rPr>
              <w:t>二级</w:t>
            </w:r>
            <w:r>
              <w:t>SNAR+</w:t>
            </w:r>
            <w:r>
              <w:rPr>
                <w:rFonts w:hint="eastAsia"/>
              </w:rPr>
              <w:t>半干法脱酸+活性炭喷射+</w:t>
            </w:r>
            <w:r>
              <w:t>布袋除尘</w:t>
            </w:r>
            <w:r>
              <w:rPr>
                <w:rFonts w:hint="eastAsia"/>
              </w:rPr>
              <w:t>（预留SCR位置）</w:t>
            </w:r>
          </w:p>
        </w:tc>
      </w:tr>
      <w:tr w14:paraId="4873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9E68229">
            <w:pPr>
              <w:pStyle w:val="78"/>
            </w:pPr>
          </w:p>
        </w:tc>
        <w:tc>
          <w:tcPr>
            <w:tcW w:w="752" w:type="pct"/>
            <w:vAlign w:val="center"/>
          </w:tcPr>
          <w:p w14:paraId="3B1C1AC3">
            <w:pPr>
              <w:pStyle w:val="78"/>
            </w:pPr>
            <w:r>
              <w:rPr>
                <w:rFonts w:hint="eastAsia"/>
              </w:rPr>
              <w:t>尾气回收装置</w:t>
            </w:r>
          </w:p>
        </w:tc>
        <w:tc>
          <w:tcPr>
            <w:tcW w:w="301" w:type="pct"/>
            <w:vAlign w:val="center"/>
          </w:tcPr>
          <w:p w14:paraId="403B89B3">
            <w:pPr>
              <w:pStyle w:val="78"/>
            </w:pPr>
            <w:r>
              <w:t>正常</w:t>
            </w:r>
          </w:p>
        </w:tc>
        <w:tc>
          <w:tcPr>
            <w:tcW w:w="270" w:type="pct"/>
            <w:vAlign w:val="center"/>
          </w:tcPr>
          <w:p w14:paraId="471E7038">
            <w:pPr>
              <w:pStyle w:val="78"/>
            </w:pPr>
            <w:r>
              <w:rPr>
                <w:rFonts w:hint="eastAsia"/>
              </w:rPr>
              <w:t>G14</w:t>
            </w:r>
          </w:p>
        </w:tc>
        <w:tc>
          <w:tcPr>
            <w:tcW w:w="907" w:type="pct"/>
            <w:vAlign w:val="center"/>
          </w:tcPr>
          <w:p w14:paraId="75C3E62A">
            <w:pPr>
              <w:pStyle w:val="78"/>
            </w:pPr>
            <w:r>
              <w:rPr>
                <w:rFonts w:hint="eastAsia"/>
              </w:rPr>
              <w:t>塑料裂解气处理</w:t>
            </w:r>
          </w:p>
        </w:tc>
        <w:tc>
          <w:tcPr>
            <w:tcW w:w="984" w:type="pct"/>
            <w:vAlign w:val="center"/>
          </w:tcPr>
          <w:p w14:paraId="7761C095">
            <w:pPr>
              <w:pStyle w:val="78"/>
            </w:pPr>
            <w:r>
              <w:rPr>
                <w:rFonts w:hint="eastAsia"/>
              </w:rPr>
              <w:t>颗粒物、二氧化硫、氮氧化物、苯、甲苯、二甲苯、非甲烷总烃、二噁英</w:t>
            </w:r>
          </w:p>
        </w:tc>
        <w:tc>
          <w:tcPr>
            <w:tcW w:w="275" w:type="pct"/>
            <w:vAlign w:val="center"/>
          </w:tcPr>
          <w:p w14:paraId="7C26008C">
            <w:pPr>
              <w:pStyle w:val="78"/>
            </w:pPr>
            <w:r>
              <w:t>连续</w:t>
            </w:r>
          </w:p>
        </w:tc>
        <w:tc>
          <w:tcPr>
            <w:tcW w:w="344" w:type="pct"/>
            <w:vAlign w:val="center"/>
          </w:tcPr>
          <w:p w14:paraId="58EFF4C4">
            <w:pPr>
              <w:pStyle w:val="78"/>
            </w:pPr>
            <w:r>
              <w:t>有组织</w:t>
            </w:r>
          </w:p>
        </w:tc>
        <w:tc>
          <w:tcPr>
            <w:tcW w:w="857" w:type="pct"/>
            <w:vAlign w:val="center"/>
          </w:tcPr>
          <w:p w14:paraId="088DF16D">
            <w:pPr>
              <w:pStyle w:val="78"/>
            </w:pPr>
            <w:r>
              <w:rPr>
                <w:rFonts w:hint="eastAsia"/>
              </w:rPr>
              <w:t>低氮燃烧+烟气循环（预留SNAR位置）</w:t>
            </w:r>
          </w:p>
        </w:tc>
      </w:tr>
      <w:tr w14:paraId="2B44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66DBBC6">
            <w:pPr>
              <w:pStyle w:val="78"/>
            </w:pPr>
          </w:p>
        </w:tc>
        <w:tc>
          <w:tcPr>
            <w:tcW w:w="752" w:type="pct"/>
            <w:vAlign w:val="center"/>
          </w:tcPr>
          <w:p w14:paraId="0AC95BF9">
            <w:pPr>
              <w:pStyle w:val="78"/>
            </w:pPr>
            <w:r>
              <w:rPr>
                <w:rFonts w:hint="eastAsia"/>
              </w:rPr>
              <w:t>循环水场</w:t>
            </w:r>
          </w:p>
        </w:tc>
        <w:tc>
          <w:tcPr>
            <w:tcW w:w="301" w:type="pct"/>
            <w:vAlign w:val="center"/>
          </w:tcPr>
          <w:p w14:paraId="69DA060B">
            <w:pPr>
              <w:pStyle w:val="78"/>
            </w:pPr>
            <w:r>
              <w:rPr>
                <w:rFonts w:hint="eastAsia"/>
              </w:rPr>
              <w:t>正常</w:t>
            </w:r>
          </w:p>
        </w:tc>
        <w:tc>
          <w:tcPr>
            <w:tcW w:w="270" w:type="pct"/>
            <w:vAlign w:val="center"/>
          </w:tcPr>
          <w:p w14:paraId="6C26C2BD">
            <w:pPr>
              <w:pStyle w:val="78"/>
            </w:pPr>
            <w:r>
              <w:rPr>
                <w:rFonts w:hint="eastAsia"/>
              </w:rPr>
              <w:t>G15</w:t>
            </w:r>
          </w:p>
        </w:tc>
        <w:tc>
          <w:tcPr>
            <w:tcW w:w="907" w:type="pct"/>
            <w:vAlign w:val="center"/>
          </w:tcPr>
          <w:p w14:paraId="2609B856">
            <w:pPr>
              <w:pStyle w:val="78"/>
            </w:pPr>
            <w:r>
              <w:rPr>
                <w:rFonts w:hint="eastAsia"/>
              </w:rPr>
              <w:t>循环水场挥发性有机废气</w:t>
            </w:r>
          </w:p>
        </w:tc>
        <w:tc>
          <w:tcPr>
            <w:tcW w:w="984" w:type="pct"/>
            <w:vAlign w:val="center"/>
          </w:tcPr>
          <w:p w14:paraId="5DF16F77">
            <w:pPr>
              <w:pStyle w:val="78"/>
            </w:pPr>
            <w:r>
              <w:rPr>
                <w:rFonts w:hint="eastAsia"/>
              </w:rPr>
              <w:t>非甲烷总烃</w:t>
            </w:r>
          </w:p>
        </w:tc>
        <w:tc>
          <w:tcPr>
            <w:tcW w:w="275" w:type="pct"/>
            <w:vAlign w:val="center"/>
          </w:tcPr>
          <w:p w14:paraId="124E193A">
            <w:pPr>
              <w:pStyle w:val="78"/>
            </w:pPr>
            <w:r>
              <w:t>连续</w:t>
            </w:r>
          </w:p>
        </w:tc>
        <w:tc>
          <w:tcPr>
            <w:tcW w:w="344" w:type="pct"/>
            <w:vAlign w:val="center"/>
          </w:tcPr>
          <w:p w14:paraId="592A763F">
            <w:pPr>
              <w:pStyle w:val="78"/>
            </w:pPr>
            <w:r>
              <w:rPr>
                <w:rFonts w:hint="eastAsia"/>
              </w:rPr>
              <w:t>无</w:t>
            </w:r>
            <w:r>
              <w:t>组织</w:t>
            </w:r>
          </w:p>
        </w:tc>
        <w:tc>
          <w:tcPr>
            <w:tcW w:w="857" w:type="pct"/>
            <w:vAlign w:val="center"/>
          </w:tcPr>
          <w:p w14:paraId="4D074739">
            <w:pPr>
              <w:pStyle w:val="78"/>
            </w:pPr>
            <w:r>
              <w:rPr>
                <w:rFonts w:hint="eastAsia"/>
              </w:rPr>
              <w:t>/</w:t>
            </w:r>
          </w:p>
        </w:tc>
      </w:tr>
      <w:tr w14:paraId="1F46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03D3269">
            <w:pPr>
              <w:pStyle w:val="78"/>
            </w:pPr>
          </w:p>
        </w:tc>
        <w:tc>
          <w:tcPr>
            <w:tcW w:w="752" w:type="pct"/>
            <w:vAlign w:val="center"/>
          </w:tcPr>
          <w:p w14:paraId="76C3D9C2">
            <w:pPr>
              <w:pStyle w:val="78"/>
            </w:pPr>
            <w:r>
              <w:rPr>
                <w:rFonts w:hint="eastAsia"/>
              </w:rPr>
              <w:t>装置、罐区</w:t>
            </w:r>
          </w:p>
        </w:tc>
        <w:tc>
          <w:tcPr>
            <w:tcW w:w="301" w:type="pct"/>
            <w:vAlign w:val="center"/>
          </w:tcPr>
          <w:p w14:paraId="5285CBCE">
            <w:pPr>
              <w:pStyle w:val="78"/>
            </w:pPr>
            <w:r>
              <w:rPr>
                <w:rFonts w:hint="eastAsia"/>
              </w:rPr>
              <w:t>正常</w:t>
            </w:r>
          </w:p>
        </w:tc>
        <w:tc>
          <w:tcPr>
            <w:tcW w:w="270" w:type="pct"/>
            <w:vAlign w:val="center"/>
          </w:tcPr>
          <w:p w14:paraId="71E88010">
            <w:pPr>
              <w:pStyle w:val="78"/>
            </w:pPr>
            <w:r>
              <w:rPr>
                <w:rFonts w:hint="eastAsia"/>
              </w:rPr>
              <w:t>G16</w:t>
            </w:r>
          </w:p>
        </w:tc>
        <w:tc>
          <w:tcPr>
            <w:tcW w:w="907" w:type="pct"/>
            <w:vAlign w:val="center"/>
          </w:tcPr>
          <w:p w14:paraId="7F85EB08">
            <w:pPr>
              <w:pStyle w:val="78"/>
            </w:pPr>
            <w:r>
              <w:rPr>
                <w:rFonts w:hint="eastAsia"/>
              </w:rPr>
              <w:t>动静密封点</w:t>
            </w:r>
          </w:p>
        </w:tc>
        <w:tc>
          <w:tcPr>
            <w:tcW w:w="984" w:type="pct"/>
            <w:vAlign w:val="center"/>
          </w:tcPr>
          <w:p w14:paraId="4F96909C">
            <w:pPr>
              <w:pStyle w:val="78"/>
            </w:pPr>
            <w:r>
              <w:rPr>
                <w:rFonts w:hint="eastAsia"/>
              </w:rPr>
              <w:t>非甲烷总烃</w:t>
            </w:r>
          </w:p>
        </w:tc>
        <w:tc>
          <w:tcPr>
            <w:tcW w:w="275" w:type="pct"/>
            <w:vAlign w:val="center"/>
          </w:tcPr>
          <w:p w14:paraId="5E369081">
            <w:pPr>
              <w:pStyle w:val="78"/>
            </w:pPr>
            <w:r>
              <w:t>连续</w:t>
            </w:r>
          </w:p>
        </w:tc>
        <w:tc>
          <w:tcPr>
            <w:tcW w:w="344" w:type="pct"/>
            <w:vAlign w:val="center"/>
          </w:tcPr>
          <w:p w14:paraId="6E528AEA">
            <w:pPr>
              <w:pStyle w:val="78"/>
            </w:pPr>
            <w:r>
              <w:rPr>
                <w:rFonts w:hint="eastAsia"/>
              </w:rPr>
              <w:t>无</w:t>
            </w:r>
            <w:r>
              <w:t>组织</w:t>
            </w:r>
          </w:p>
        </w:tc>
        <w:tc>
          <w:tcPr>
            <w:tcW w:w="857" w:type="pct"/>
            <w:vAlign w:val="center"/>
          </w:tcPr>
          <w:p w14:paraId="6FA81BFB">
            <w:pPr>
              <w:pStyle w:val="78"/>
            </w:pPr>
            <w:r>
              <w:t>LDAR</w:t>
            </w:r>
            <w:r>
              <w:rPr>
                <w:rFonts w:hint="eastAsia"/>
              </w:rPr>
              <w:t>检测</w:t>
            </w:r>
          </w:p>
        </w:tc>
      </w:tr>
      <w:tr w14:paraId="227D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8BC461C">
            <w:pPr>
              <w:pStyle w:val="78"/>
            </w:pPr>
          </w:p>
        </w:tc>
        <w:tc>
          <w:tcPr>
            <w:tcW w:w="752" w:type="pct"/>
            <w:vMerge w:val="restart"/>
            <w:vAlign w:val="center"/>
          </w:tcPr>
          <w:p w14:paraId="19DA9690">
            <w:pPr>
              <w:pStyle w:val="78"/>
            </w:pPr>
            <w:r>
              <w:t>裂解单元</w:t>
            </w:r>
          </w:p>
        </w:tc>
        <w:tc>
          <w:tcPr>
            <w:tcW w:w="301" w:type="pct"/>
            <w:vMerge w:val="restart"/>
            <w:vAlign w:val="center"/>
          </w:tcPr>
          <w:p w14:paraId="71CEC57C">
            <w:pPr>
              <w:pStyle w:val="78"/>
            </w:pPr>
            <w:r>
              <w:t>非正常</w:t>
            </w:r>
          </w:p>
        </w:tc>
        <w:tc>
          <w:tcPr>
            <w:tcW w:w="270" w:type="pct"/>
            <w:vAlign w:val="center"/>
          </w:tcPr>
          <w:p w14:paraId="247B2893">
            <w:pPr>
              <w:pStyle w:val="78"/>
            </w:pPr>
            <w:r>
              <w:t>G</w:t>
            </w:r>
            <w:r>
              <w:rPr>
                <w:rFonts w:hint="eastAsia"/>
              </w:rPr>
              <w:t>17</w:t>
            </w:r>
          </w:p>
        </w:tc>
        <w:tc>
          <w:tcPr>
            <w:tcW w:w="907" w:type="pct"/>
            <w:vAlign w:val="center"/>
          </w:tcPr>
          <w:p w14:paraId="23D05311">
            <w:pPr>
              <w:pStyle w:val="78"/>
            </w:pPr>
            <w:r>
              <w:t>再生器</w:t>
            </w:r>
            <w:r>
              <w:rPr>
                <w:rFonts w:hint="eastAsia"/>
              </w:rPr>
              <w:t>启炉</w:t>
            </w:r>
            <w:r>
              <w:t>烟气</w:t>
            </w:r>
          </w:p>
        </w:tc>
        <w:tc>
          <w:tcPr>
            <w:tcW w:w="984" w:type="pct"/>
            <w:vAlign w:val="center"/>
          </w:tcPr>
          <w:p w14:paraId="0A0F677B">
            <w:pPr>
              <w:pStyle w:val="78"/>
            </w:pPr>
            <w:r>
              <w:t>烟尘、二氧化硫、氮氧化物</w:t>
            </w:r>
          </w:p>
        </w:tc>
        <w:tc>
          <w:tcPr>
            <w:tcW w:w="275" w:type="pct"/>
            <w:vAlign w:val="center"/>
          </w:tcPr>
          <w:p w14:paraId="0C0184EC">
            <w:pPr>
              <w:pStyle w:val="78"/>
            </w:pPr>
            <w:r>
              <w:t>1次/年</w:t>
            </w:r>
          </w:p>
        </w:tc>
        <w:tc>
          <w:tcPr>
            <w:tcW w:w="344" w:type="pct"/>
            <w:vAlign w:val="center"/>
          </w:tcPr>
          <w:p w14:paraId="3154FDCB">
            <w:pPr>
              <w:pStyle w:val="78"/>
            </w:pPr>
            <w:r>
              <w:t>有组织</w:t>
            </w:r>
          </w:p>
        </w:tc>
        <w:tc>
          <w:tcPr>
            <w:tcW w:w="857" w:type="pct"/>
            <w:vAlign w:val="center"/>
          </w:tcPr>
          <w:p w14:paraId="24992718">
            <w:pPr>
              <w:pStyle w:val="78"/>
            </w:pPr>
            <w:r>
              <w:rPr>
                <w:rFonts w:hint="eastAsia"/>
              </w:rPr>
              <w:t>二级</w:t>
            </w:r>
            <w:r>
              <w:t>SNAR+</w:t>
            </w:r>
            <w:r>
              <w:rPr>
                <w:rFonts w:hint="eastAsia"/>
              </w:rPr>
              <w:t>半干法脱酸+活性炭喷射+</w:t>
            </w:r>
            <w:r>
              <w:t>布袋除尘</w:t>
            </w:r>
          </w:p>
        </w:tc>
      </w:tr>
      <w:tr w14:paraId="76E9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5E78195">
            <w:pPr>
              <w:pStyle w:val="78"/>
            </w:pPr>
          </w:p>
        </w:tc>
        <w:tc>
          <w:tcPr>
            <w:tcW w:w="752" w:type="pct"/>
            <w:vMerge w:val="continue"/>
            <w:vAlign w:val="center"/>
          </w:tcPr>
          <w:p w14:paraId="5D630040">
            <w:pPr>
              <w:pStyle w:val="78"/>
            </w:pPr>
          </w:p>
        </w:tc>
        <w:tc>
          <w:tcPr>
            <w:tcW w:w="301" w:type="pct"/>
            <w:vMerge w:val="continue"/>
            <w:vAlign w:val="center"/>
          </w:tcPr>
          <w:p w14:paraId="3A0D9043">
            <w:pPr>
              <w:pStyle w:val="78"/>
            </w:pPr>
          </w:p>
        </w:tc>
        <w:tc>
          <w:tcPr>
            <w:tcW w:w="270" w:type="pct"/>
            <w:vAlign w:val="center"/>
          </w:tcPr>
          <w:p w14:paraId="35641B3B">
            <w:pPr>
              <w:pStyle w:val="78"/>
            </w:pPr>
            <w:r>
              <w:rPr>
                <w:rFonts w:hint="eastAsia"/>
              </w:rPr>
              <w:t>G</w:t>
            </w:r>
            <w:r>
              <w:t>1</w:t>
            </w:r>
            <w:r>
              <w:rPr>
                <w:rFonts w:hint="eastAsia"/>
              </w:rPr>
              <w:t>8</w:t>
            </w:r>
          </w:p>
        </w:tc>
        <w:tc>
          <w:tcPr>
            <w:tcW w:w="907" w:type="pct"/>
            <w:vAlign w:val="center"/>
          </w:tcPr>
          <w:p w14:paraId="5C756572">
            <w:pPr>
              <w:pStyle w:val="78"/>
            </w:pPr>
            <w:r>
              <w:rPr>
                <w:rFonts w:hint="eastAsia"/>
              </w:rPr>
              <w:t>热催化剂罐启炉装填粉尘</w:t>
            </w:r>
          </w:p>
        </w:tc>
        <w:tc>
          <w:tcPr>
            <w:tcW w:w="984" w:type="pct"/>
            <w:vAlign w:val="center"/>
          </w:tcPr>
          <w:p w14:paraId="1EC1BD67">
            <w:pPr>
              <w:pStyle w:val="78"/>
            </w:pPr>
            <w:r>
              <w:t>颗粒物</w:t>
            </w:r>
          </w:p>
        </w:tc>
        <w:tc>
          <w:tcPr>
            <w:tcW w:w="275" w:type="pct"/>
            <w:vAlign w:val="center"/>
          </w:tcPr>
          <w:p w14:paraId="098BDCFB">
            <w:pPr>
              <w:pStyle w:val="78"/>
            </w:pPr>
            <w:r>
              <w:t>1次/年</w:t>
            </w:r>
          </w:p>
        </w:tc>
        <w:tc>
          <w:tcPr>
            <w:tcW w:w="344" w:type="pct"/>
            <w:vAlign w:val="center"/>
          </w:tcPr>
          <w:p w14:paraId="55A94460">
            <w:pPr>
              <w:pStyle w:val="78"/>
            </w:pPr>
            <w:r>
              <w:rPr>
                <w:rFonts w:hint="eastAsia"/>
              </w:rPr>
              <w:t>无</w:t>
            </w:r>
            <w:r>
              <w:t>组织</w:t>
            </w:r>
          </w:p>
        </w:tc>
        <w:tc>
          <w:tcPr>
            <w:tcW w:w="857" w:type="pct"/>
            <w:vAlign w:val="center"/>
          </w:tcPr>
          <w:p w14:paraId="59B103BF">
            <w:pPr>
              <w:pStyle w:val="78"/>
            </w:pPr>
            <w:r>
              <w:rPr>
                <w:rFonts w:hint="eastAsia"/>
              </w:rPr>
              <w:t>罐顶布袋除尘</w:t>
            </w:r>
          </w:p>
        </w:tc>
      </w:tr>
      <w:tr w14:paraId="47A9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8DEB7C8">
            <w:pPr>
              <w:pStyle w:val="78"/>
            </w:pPr>
          </w:p>
        </w:tc>
        <w:tc>
          <w:tcPr>
            <w:tcW w:w="752" w:type="pct"/>
            <w:vAlign w:val="center"/>
          </w:tcPr>
          <w:p w14:paraId="133D7AC1">
            <w:pPr>
              <w:pStyle w:val="78"/>
            </w:pPr>
            <w:r>
              <w:rPr>
                <w:rFonts w:hint="eastAsia"/>
              </w:rPr>
              <w:t>尾气回收装置</w:t>
            </w:r>
          </w:p>
        </w:tc>
        <w:tc>
          <w:tcPr>
            <w:tcW w:w="301" w:type="pct"/>
            <w:vAlign w:val="center"/>
          </w:tcPr>
          <w:p w14:paraId="389B04C5">
            <w:pPr>
              <w:pStyle w:val="78"/>
            </w:pPr>
            <w:r>
              <w:rPr>
                <w:rFonts w:hint="eastAsia"/>
              </w:rPr>
              <w:t>非正常</w:t>
            </w:r>
          </w:p>
        </w:tc>
        <w:tc>
          <w:tcPr>
            <w:tcW w:w="270" w:type="pct"/>
            <w:vAlign w:val="center"/>
          </w:tcPr>
          <w:p w14:paraId="2E12DE6C">
            <w:pPr>
              <w:pStyle w:val="78"/>
            </w:pPr>
            <w:r>
              <w:rPr>
                <w:rFonts w:hint="eastAsia"/>
              </w:rPr>
              <w:t>G19</w:t>
            </w:r>
          </w:p>
        </w:tc>
        <w:tc>
          <w:tcPr>
            <w:tcW w:w="907" w:type="pct"/>
            <w:vAlign w:val="center"/>
          </w:tcPr>
          <w:p w14:paraId="24EB9B72">
            <w:pPr>
              <w:pStyle w:val="78"/>
            </w:pPr>
            <w:r>
              <w:rPr>
                <w:rFonts w:hint="eastAsia"/>
              </w:rPr>
              <w:t>开工焚烧烟气</w:t>
            </w:r>
          </w:p>
        </w:tc>
        <w:tc>
          <w:tcPr>
            <w:tcW w:w="984" w:type="pct"/>
            <w:vAlign w:val="center"/>
          </w:tcPr>
          <w:p w14:paraId="7DB71F74">
            <w:pPr>
              <w:pStyle w:val="78"/>
            </w:pPr>
            <w:r>
              <w:rPr>
                <w:rFonts w:hint="eastAsia"/>
              </w:rPr>
              <w:t>颗粒物、二氧化硫、氮氧化物</w:t>
            </w:r>
          </w:p>
        </w:tc>
        <w:tc>
          <w:tcPr>
            <w:tcW w:w="275" w:type="pct"/>
            <w:vAlign w:val="center"/>
          </w:tcPr>
          <w:p w14:paraId="753EAA6F">
            <w:pPr>
              <w:pStyle w:val="78"/>
            </w:pPr>
            <w:r>
              <w:t>1次/年</w:t>
            </w:r>
          </w:p>
        </w:tc>
        <w:tc>
          <w:tcPr>
            <w:tcW w:w="344" w:type="pct"/>
            <w:vAlign w:val="center"/>
          </w:tcPr>
          <w:p w14:paraId="001D69ED">
            <w:pPr>
              <w:pStyle w:val="78"/>
            </w:pPr>
            <w:r>
              <w:t>有组织</w:t>
            </w:r>
          </w:p>
        </w:tc>
        <w:tc>
          <w:tcPr>
            <w:tcW w:w="857" w:type="pct"/>
            <w:vAlign w:val="center"/>
          </w:tcPr>
          <w:p w14:paraId="0375577B">
            <w:pPr>
              <w:pStyle w:val="78"/>
            </w:pPr>
            <w:r>
              <w:rPr>
                <w:rFonts w:hint="eastAsia"/>
              </w:rPr>
              <w:t>低氮燃烧+烟气循环</w:t>
            </w:r>
          </w:p>
        </w:tc>
      </w:tr>
      <w:tr w14:paraId="4BD4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84BB119">
            <w:pPr>
              <w:pStyle w:val="78"/>
            </w:pPr>
          </w:p>
        </w:tc>
        <w:tc>
          <w:tcPr>
            <w:tcW w:w="752" w:type="pct"/>
            <w:vAlign w:val="center"/>
          </w:tcPr>
          <w:p w14:paraId="6AD5F1E8">
            <w:pPr>
              <w:pStyle w:val="78"/>
            </w:pPr>
            <w:r>
              <w:rPr>
                <w:rFonts w:hint="eastAsia"/>
              </w:rPr>
              <w:t>火炬系统</w:t>
            </w:r>
          </w:p>
        </w:tc>
        <w:tc>
          <w:tcPr>
            <w:tcW w:w="301" w:type="pct"/>
            <w:vAlign w:val="center"/>
          </w:tcPr>
          <w:p w14:paraId="2CAE4BB7">
            <w:pPr>
              <w:pStyle w:val="78"/>
            </w:pPr>
            <w:r>
              <w:rPr>
                <w:rFonts w:hint="eastAsia"/>
              </w:rPr>
              <w:t>非正常</w:t>
            </w:r>
          </w:p>
        </w:tc>
        <w:tc>
          <w:tcPr>
            <w:tcW w:w="270" w:type="pct"/>
            <w:vAlign w:val="center"/>
          </w:tcPr>
          <w:p w14:paraId="359B7DD4">
            <w:pPr>
              <w:pStyle w:val="78"/>
            </w:pPr>
            <w:r>
              <w:rPr>
                <w:rFonts w:hint="eastAsia"/>
              </w:rPr>
              <w:t>G20</w:t>
            </w:r>
          </w:p>
        </w:tc>
        <w:tc>
          <w:tcPr>
            <w:tcW w:w="907" w:type="pct"/>
            <w:vAlign w:val="center"/>
          </w:tcPr>
          <w:p w14:paraId="2936F965">
            <w:pPr>
              <w:pStyle w:val="78"/>
            </w:pPr>
            <w:r>
              <w:rPr>
                <w:rFonts w:hint="eastAsia"/>
              </w:rPr>
              <w:t>装置、罐区火灾、停电等放空</w:t>
            </w:r>
          </w:p>
        </w:tc>
        <w:tc>
          <w:tcPr>
            <w:tcW w:w="984" w:type="pct"/>
            <w:vAlign w:val="center"/>
          </w:tcPr>
          <w:p w14:paraId="3D0A6731">
            <w:pPr>
              <w:pStyle w:val="78"/>
            </w:pPr>
            <w:r>
              <w:rPr>
                <w:rFonts w:hint="eastAsia"/>
              </w:rPr>
              <w:t>非甲烷总烃</w:t>
            </w:r>
          </w:p>
        </w:tc>
        <w:tc>
          <w:tcPr>
            <w:tcW w:w="275" w:type="pct"/>
            <w:vAlign w:val="center"/>
          </w:tcPr>
          <w:p w14:paraId="532591ED">
            <w:pPr>
              <w:pStyle w:val="78"/>
            </w:pPr>
            <w:r>
              <w:rPr>
                <w:rFonts w:hint="eastAsia"/>
              </w:rPr>
              <w:t>2</w:t>
            </w:r>
            <w:r>
              <w:t>次/年</w:t>
            </w:r>
          </w:p>
        </w:tc>
        <w:tc>
          <w:tcPr>
            <w:tcW w:w="344" w:type="pct"/>
            <w:vAlign w:val="center"/>
          </w:tcPr>
          <w:p w14:paraId="635C03BE">
            <w:pPr>
              <w:pStyle w:val="78"/>
            </w:pPr>
            <w:r>
              <w:t>有组织</w:t>
            </w:r>
          </w:p>
        </w:tc>
        <w:tc>
          <w:tcPr>
            <w:tcW w:w="857" w:type="pct"/>
            <w:vAlign w:val="center"/>
          </w:tcPr>
          <w:p w14:paraId="5C087746">
            <w:pPr>
              <w:pStyle w:val="78"/>
            </w:pPr>
            <w:r>
              <w:rPr>
                <w:rFonts w:hint="eastAsia"/>
              </w:rPr>
              <w:t>焚烧</w:t>
            </w:r>
          </w:p>
        </w:tc>
      </w:tr>
      <w:tr w14:paraId="7E86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36B6DED3">
            <w:pPr>
              <w:pStyle w:val="78"/>
            </w:pPr>
            <w:r>
              <w:t>废水</w:t>
            </w:r>
          </w:p>
        </w:tc>
        <w:tc>
          <w:tcPr>
            <w:tcW w:w="752" w:type="pct"/>
            <w:vAlign w:val="center"/>
          </w:tcPr>
          <w:p w14:paraId="208F0937">
            <w:pPr>
              <w:pStyle w:val="78"/>
            </w:pPr>
            <w:r>
              <w:t>裂解单元</w:t>
            </w:r>
          </w:p>
        </w:tc>
        <w:tc>
          <w:tcPr>
            <w:tcW w:w="301" w:type="pct"/>
            <w:vAlign w:val="center"/>
          </w:tcPr>
          <w:p w14:paraId="2A613E2D">
            <w:pPr>
              <w:pStyle w:val="78"/>
            </w:pPr>
            <w:r>
              <w:t>正常</w:t>
            </w:r>
          </w:p>
        </w:tc>
        <w:tc>
          <w:tcPr>
            <w:tcW w:w="270" w:type="pct"/>
            <w:vAlign w:val="center"/>
          </w:tcPr>
          <w:p w14:paraId="6F9B0ADA">
            <w:pPr>
              <w:pStyle w:val="78"/>
            </w:pPr>
            <w:r>
              <w:t>W1</w:t>
            </w:r>
          </w:p>
        </w:tc>
        <w:tc>
          <w:tcPr>
            <w:tcW w:w="907" w:type="pct"/>
            <w:vAlign w:val="center"/>
          </w:tcPr>
          <w:p w14:paraId="29FC4A7A">
            <w:pPr>
              <w:pStyle w:val="78"/>
            </w:pPr>
            <w:r>
              <w:rPr>
                <w:rFonts w:hint="eastAsia"/>
              </w:rPr>
              <w:t>高浓度</w:t>
            </w:r>
            <w:r>
              <w:t>含盐废水</w:t>
            </w:r>
          </w:p>
        </w:tc>
        <w:tc>
          <w:tcPr>
            <w:tcW w:w="984" w:type="pct"/>
            <w:vAlign w:val="center"/>
          </w:tcPr>
          <w:p w14:paraId="4EC1F8C5">
            <w:pPr>
              <w:pStyle w:val="78"/>
            </w:pPr>
            <w:r>
              <w:t>COD</w:t>
            </w:r>
            <w:r>
              <w:rPr>
                <w:rFonts w:hint="eastAsia"/>
              </w:rPr>
              <w:t>cr</w:t>
            </w:r>
            <w:r>
              <w:t>、</w:t>
            </w:r>
            <w:r>
              <w:rPr>
                <w:rFonts w:hint="eastAsia"/>
              </w:rPr>
              <w:t>BOD</w:t>
            </w:r>
            <w:r>
              <w:rPr>
                <w:vertAlign w:val="subscript"/>
              </w:rPr>
              <w:t>5</w:t>
            </w:r>
            <w:r>
              <w:rPr>
                <w:rFonts w:hint="eastAsia"/>
              </w:rPr>
              <w:t>、</w:t>
            </w:r>
            <w:r>
              <w:t>SS、</w:t>
            </w:r>
            <w:r>
              <w:rPr>
                <w:rFonts w:hint="eastAsia"/>
              </w:rPr>
              <w:t>氨氮、</w:t>
            </w:r>
            <w:r>
              <w:t>石油类、TDS</w:t>
            </w:r>
            <w:r>
              <w:rPr>
                <w:rFonts w:hint="eastAsia"/>
              </w:rPr>
              <w:t>、硫化物</w:t>
            </w:r>
          </w:p>
        </w:tc>
        <w:tc>
          <w:tcPr>
            <w:tcW w:w="275" w:type="pct"/>
            <w:vAlign w:val="center"/>
          </w:tcPr>
          <w:p w14:paraId="02717E3A">
            <w:pPr>
              <w:pStyle w:val="78"/>
            </w:pPr>
            <w:r>
              <w:t>每天</w:t>
            </w:r>
          </w:p>
        </w:tc>
        <w:tc>
          <w:tcPr>
            <w:tcW w:w="344" w:type="pct"/>
            <w:vAlign w:val="center"/>
          </w:tcPr>
          <w:p w14:paraId="570436AF">
            <w:pPr>
              <w:pStyle w:val="78"/>
            </w:pPr>
            <w:r>
              <w:t>/</w:t>
            </w:r>
          </w:p>
        </w:tc>
        <w:tc>
          <w:tcPr>
            <w:tcW w:w="857" w:type="pct"/>
            <w:vAlign w:val="center"/>
          </w:tcPr>
          <w:p w14:paraId="57B2B995">
            <w:pPr>
              <w:pStyle w:val="78"/>
            </w:pPr>
            <w:r>
              <w:rPr>
                <w:rFonts w:hint="eastAsia"/>
              </w:rPr>
              <w:t>排入</w:t>
            </w:r>
            <w:r>
              <w:t>园区污水厂高浓度进水系统</w:t>
            </w:r>
          </w:p>
        </w:tc>
      </w:tr>
      <w:tr w14:paraId="6B2C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05A0A97C">
            <w:pPr>
              <w:pStyle w:val="78"/>
            </w:pPr>
          </w:p>
        </w:tc>
        <w:tc>
          <w:tcPr>
            <w:tcW w:w="752" w:type="pct"/>
            <w:vAlign w:val="center"/>
          </w:tcPr>
          <w:p w14:paraId="7F92A547">
            <w:pPr>
              <w:pStyle w:val="78"/>
            </w:pPr>
            <w:r>
              <w:t>员工生活办公</w:t>
            </w:r>
          </w:p>
        </w:tc>
        <w:tc>
          <w:tcPr>
            <w:tcW w:w="301" w:type="pct"/>
            <w:vAlign w:val="center"/>
          </w:tcPr>
          <w:p w14:paraId="37DB8D94">
            <w:pPr>
              <w:pStyle w:val="78"/>
            </w:pPr>
            <w:r>
              <w:t>正常</w:t>
            </w:r>
          </w:p>
        </w:tc>
        <w:tc>
          <w:tcPr>
            <w:tcW w:w="270" w:type="pct"/>
            <w:vAlign w:val="center"/>
          </w:tcPr>
          <w:p w14:paraId="7CD3391C">
            <w:pPr>
              <w:pStyle w:val="78"/>
            </w:pPr>
            <w:r>
              <w:t>W</w:t>
            </w:r>
            <w:r>
              <w:rPr>
                <w:rFonts w:hint="eastAsia"/>
              </w:rPr>
              <w:t>2</w:t>
            </w:r>
          </w:p>
        </w:tc>
        <w:tc>
          <w:tcPr>
            <w:tcW w:w="907" w:type="pct"/>
            <w:vAlign w:val="center"/>
          </w:tcPr>
          <w:p w14:paraId="4E42D8EA">
            <w:pPr>
              <w:pStyle w:val="78"/>
            </w:pPr>
            <w:r>
              <w:t>生活污水</w:t>
            </w:r>
          </w:p>
        </w:tc>
        <w:tc>
          <w:tcPr>
            <w:tcW w:w="984" w:type="pct"/>
            <w:vAlign w:val="center"/>
          </w:tcPr>
          <w:p w14:paraId="758858A7">
            <w:pPr>
              <w:pStyle w:val="78"/>
            </w:pPr>
            <w:r>
              <w:t>COD、BOD</w:t>
            </w:r>
            <w:r>
              <w:rPr>
                <w:vertAlign w:val="subscript"/>
              </w:rPr>
              <w:t>5</w:t>
            </w:r>
            <w:r>
              <w:t>、SS、氨氮、</w:t>
            </w:r>
            <w:r>
              <w:rPr>
                <w:rFonts w:hint="eastAsia"/>
              </w:rPr>
              <w:t>总氮、总磷、</w:t>
            </w:r>
            <w:r>
              <w:t>动植物油</w:t>
            </w:r>
          </w:p>
        </w:tc>
        <w:tc>
          <w:tcPr>
            <w:tcW w:w="275" w:type="pct"/>
            <w:vAlign w:val="center"/>
          </w:tcPr>
          <w:p w14:paraId="0ABE0219">
            <w:pPr>
              <w:pStyle w:val="78"/>
            </w:pPr>
            <w:r>
              <w:t>每天</w:t>
            </w:r>
          </w:p>
        </w:tc>
        <w:tc>
          <w:tcPr>
            <w:tcW w:w="344" w:type="pct"/>
            <w:vAlign w:val="center"/>
          </w:tcPr>
          <w:p w14:paraId="36631D46">
            <w:pPr>
              <w:pStyle w:val="78"/>
            </w:pPr>
            <w:r>
              <w:t>/</w:t>
            </w:r>
          </w:p>
        </w:tc>
        <w:tc>
          <w:tcPr>
            <w:tcW w:w="857" w:type="pct"/>
            <w:vAlign w:val="center"/>
          </w:tcPr>
          <w:p w14:paraId="1366D602">
            <w:pPr>
              <w:pStyle w:val="78"/>
            </w:pPr>
            <w:r>
              <w:t>经隔油池、化粪池预处理后排入园区污水厂低浓度进水系统</w:t>
            </w:r>
          </w:p>
        </w:tc>
      </w:tr>
      <w:tr w14:paraId="05C7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DF9E908">
            <w:pPr>
              <w:pStyle w:val="78"/>
            </w:pPr>
          </w:p>
        </w:tc>
        <w:tc>
          <w:tcPr>
            <w:tcW w:w="752" w:type="pct"/>
            <w:vAlign w:val="center"/>
          </w:tcPr>
          <w:p w14:paraId="676D992B">
            <w:pPr>
              <w:pStyle w:val="78"/>
            </w:pPr>
            <w:r>
              <w:t>初期雨水</w:t>
            </w:r>
          </w:p>
        </w:tc>
        <w:tc>
          <w:tcPr>
            <w:tcW w:w="301" w:type="pct"/>
            <w:vAlign w:val="center"/>
          </w:tcPr>
          <w:p w14:paraId="7299E87A">
            <w:pPr>
              <w:pStyle w:val="78"/>
            </w:pPr>
            <w:r>
              <w:t>正常</w:t>
            </w:r>
          </w:p>
        </w:tc>
        <w:tc>
          <w:tcPr>
            <w:tcW w:w="270" w:type="pct"/>
            <w:vAlign w:val="center"/>
          </w:tcPr>
          <w:p w14:paraId="157872B4">
            <w:pPr>
              <w:pStyle w:val="78"/>
            </w:pPr>
            <w:r>
              <w:t>W</w:t>
            </w:r>
            <w:r>
              <w:rPr>
                <w:rFonts w:hint="eastAsia"/>
              </w:rPr>
              <w:t>3</w:t>
            </w:r>
          </w:p>
        </w:tc>
        <w:tc>
          <w:tcPr>
            <w:tcW w:w="907" w:type="pct"/>
            <w:vAlign w:val="center"/>
          </w:tcPr>
          <w:p w14:paraId="48D529E6">
            <w:pPr>
              <w:pStyle w:val="78"/>
            </w:pPr>
            <w:r>
              <w:t>初期雨水</w:t>
            </w:r>
          </w:p>
        </w:tc>
        <w:tc>
          <w:tcPr>
            <w:tcW w:w="984" w:type="pct"/>
            <w:vAlign w:val="center"/>
          </w:tcPr>
          <w:p w14:paraId="34B53379">
            <w:pPr>
              <w:pStyle w:val="78"/>
            </w:pPr>
            <w:r>
              <w:t>COD、</w:t>
            </w:r>
            <w:r>
              <w:rPr>
                <w:rFonts w:hint="eastAsia"/>
              </w:rPr>
              <w:t>石油类</w:t>
            </w:r>
          </w:p>
        </w:tc>
        <w:tc>
          <w:tcPr>
            <w:tcW w:w="275" w:type="pct"/>
            <w:vAlign w:val="center"/>
          </w:tcPr>
          <w:p w14:paraId="26847769">
            <w:pPr>
              <w:pStyle w:val="78"/>
            </w:pPr>
            <w:r>
              <w:t>雨天</w:t>
            </w:r>
          </w:p>
        </w:tc>
        <w:tc>
          <w:tcPr>
            <w:tcW w:w="344" w:type="pct"/>
            <w:vAlign w:val="center"/>
          </w:tcPr>
          <w:p w14:paraId="42E5B170">
            <w:pPr>
              <w:pStyle w:val="78"/>
            </w:pPr>
            <w:r>
              <w:t>/</w:t>
            </w:r>
          </w:p>
        </w:tc>
        <w:tc>
          <w:tcPr>
            <w:tcW w:w="857" w:type="pct"/>
            <w:vAlign w:val="center"/>
          </w:tcPr>
          <w:p w14:paraId="00D4FBAB">
            <w:pPr>
              <w:pStyle w:val="78"/>
            </w:pPr>
            <w:r>
              <w:t>排入园区污水厂低浓度进水系统</w:t>
            </w:r>
          </w:p>
        </w:tc>
      </w:tr>
      <w:tr w14:paraId="2A03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3234B28">
            <w:pPr>
              <w:pStyle w:val="78"/>
            </w:pPr>
          </w:p>
        </w:tc>
        <w:tc>
          <w:tcPr>
            <w:tcW w:w="752" w:type="pct"/>
            <w:vAlign w:val="center"/>
          </w:tcPr>
          <w:p w14:paraId="0C072D96">
            <w:pPr>
              <w:pStyle w:val="78"/>
            </w:pPr>
            <w:r>
              <w:t>循环水场</w:t>
            </w:r>
          </w:p>
        </w:tc>
        <w:tc>
          <w:tcPr>
            <w:tcW w:w="301" w:type="pct"/>
            <w:vAlign w:val="center"/>
          </w:tcPr>
          <w:p w14:paraId="0A6C84E0">
            <w:pPr>
              <w:pStyle w:val="78"/>
            </w:pPr>
            <w:r>
              <w:t>正常</w:t>
            </w:r>
          </w:p>
        </w:tc>
        <w:tc>
          <w:tcPr>
            <w:tcW w:w="270" w:type="pct"/>
            <w:vAlign w:val="center"/>
          </w:tcPr>
          <w:p w14:paraId="00322D64">
            <w:pPr>
              <w:pStyle w:val="78"/>
            </w:pPr>
            <w:r>
              <w:t>W</w:t>
            </w:r>
            <w:r>
              <w:rPr>
                <w:rFonts w:hint="eastAsia"/>
              </w:rPr>
              <w:t>4</w:t>
            </w:r>
          </w:p>
        </w:tc>
        <w:tc>
          <w:tcPr>
            <w:tcW w:w="907" w:type="pct"/>
            <w:vAlign w:val="center"/>
          </w:tcPr>
          <w:p w14:paraId="200408A8">
            <w:pPr>
              <w:pStyle w:val="78"/>
            </w:pPr>
            <w:r>
              <w:t>循环水场排水</w:t>
            </w:r>
          </w:p>
        </w:tc>
        <w:tc>
          <w:tcPr>
            <w:tcW w:w="984" w:type="pct"/>
            <w:vAlign w:val="center"/>
          </w:tcPr>
          <w:p w14:paraId="55CCD8C4">
            <w:pPr>
              <w:pStyle w:val="78"/>
            </w:pPr>
            <w:r>
              <w:t>COD、</w:t>
            </w:r>
            <w:r>
              <w:rPr>
                <w:rFonts w:hint="eastAsia"/>
              </w:rPr>
              <w:t>氨氮、总氮、总磷</w:t>
            </w:r>
          </w:p>
        </w:tc>
        <w:tc>
          <w:tcPr>
            <w:tcW w:w="275" w:type="pct"/>
            <w:vAlign w:val="center"/>
          </w:tcPr>
          <w:p w14:paraId="2EA4C739">
            <w:pPr>
              <w:pStyle w:val="78"/>
            </w:pPr>
            <w:r>
              <w:t>每天</w:t>
            </w:r>
          </w:p>
        </w:tc>
        <w:tc>
          <w:tcPr>
            <w:tcW w:w="344" w:type="pct"/>
            <w:vAlign w:val="center"/>
          </w:tcPr>
          <w:p w14:paraId="027B9E64">
            <w:pPr>
              <w:pStyle w:val="78"/>
            </w:pPr>
            <w:r>
              <w:t>/</w:t>
            </w:r>
          </w:p>
        </w:tc>
        <w:tc>
          <w:tcPr>
            <w:tcW w:w="857" w:type="pct"/>
            <w:vAlign w:val="center"/>
          </w:tcPr>
          <w:p w14:paraId="5B781D25">
            <w:pPr>
              <w:pStyle w:val="78"/>
            </w:pPr>
            <w:r>
              <w:t>排入园区污水厂低浓度进水系统</w:t>
            </w:r>
          </w:p>
        </w:tc>
      </w:tr>
      <w:tr w14:paraId="6ABB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0DD61E7">
            <w:pPr>
              <w:pStyle w:val="78"/>
            </w:pPr>
          </w:p>
        </w:tc>
        <w:tc>
          <w:tcPr>
            <w:tcW w:w="752" w:type="pct"/>
            <w:vAlign w:val="center"/>
          </w:tcPr>
          <w:p w14:paraId="5801C4CA">
            <w:pPr>
              <w:pStyle w:val="78"/>
            </w:pPr>
            <w:r>
              <w:rPr>
                <w:rFonts w:hint="eastAsia"/>
              </w:rPr>
              <w:t>除盐水站</w:t>
            </w:r>
          </w:p>
        </w:tc>
        <w:tc>
          <w:tcPr>
            <w:tcW w:w="301" w:type="pct"/>
            <w:vAlign w:val="center"/>
          </w:tcPr>
          <w:p w14:paraId="56E76C79">
            <w:pPr>
              <w:pStyle w:val="78"/>
            </w:pPr>
            <w:r>
              <w:rPr>
                <w:rFonts w:hint="eastAsia"/>
              </w:rPr>
              <w:t>正常</w:t>
            </w:r>
          </w:p>
        </w:tc>
        <w:tc>
          <w:tcPr>
            <w:tcW w:w="270" w:type="pct"/>
            <w:vAlign w:val="center"/>
          </w:tcPr>
          <w:p w14:paraId="073937CD">
            <w:pPr>
              <w:pStyle w:val="78"/>
            </w:pPr>
            <w:r>
              <w:rPr>
                <w:rFonts w:hint="eastAsia"/>
              </w:rPr>
              <w:t>W5</w:t>
            </w:r>
          </w:p>
        </w:tc>
        <w:tc>
          <w:tcPr>
            <w:tcW w:w="907" w:type="pct"/>
            <w:vAlign w:val="center"/>
          </w:tcPr>
          <w:p w14:paraId="391E5EC8">
            <w:pPr>
              <w:pStyle w:val="78"/>
            </w:pPr>
            <w:r>
              <w:rPr>
                <w:rFonts w:hint="eastAsia"/>
              </w:rPr>
              <w:t>除盐水站浓水</w:t>
            </w:r>
          </w:p>
        </w:tc>
        <w:tc>
          <w:tcPr>
            <w:tcW w:w="984" w:type="pct"/>
            <w:vAlign w:val="center"/>
          </w:tcPr>
          <w:p w14:paraId="5D26F80B">
            <w:pPr>
              <w:pStyle w:val="78"/>
            </w:pPr>
            <w:r>
              <w:rPr>
                <w:rFonts w:hint="eastAsia"/>
              </w:rPr>
              <w:t>COD、SS、氨氮、总氮、总磷</w:t>
            </w:r>
          </w:p>
        </w:tc>
        <w:tc>
          <w:tcPr>
            <w:tcW w:w="275" w:type="pct"/>
            <w:vAlign w:val="center"/>
          </w:tcPr>
          <w:p w14:paraId="3B06B296">
            <w:pPr>
              <w:pStyle w:val="78"/>
            </w:pPr>
            <w:r>
              <w:t>每天</w:t>
            </w:r>
          </w:p>
        </w:tc>
        <w:tc>
          <w:tcPr>
            <w:tcW w:w="344" w:type="pct"/>
            <w:vAlign w:val="center"/>
          </w:tcPr>
          <w:p w14:paraId="0AFDF040">
            <w:pPr>
              <w:pStyle w:val="78"/>
            </w:pPr>
            <w:r>
              <w:t>/</w:t>
            </w:r>
          </w:p>
        </w:tc>
        <w:tc>
          <w:tcPr>
            <w:tcW w:w="857" w:type="pct"/>
            <w:vAlign w:val="center"/>
          </w:tcPr>
          <w:p w14:paraId="4AF66CDD">
            <w:pPr>
              <w:pStyle w:val="78"/>
            </w:pPr>
            <w:r>
              <w:t>排入园区污水厂低浓度进水系统</w:t>
            </w:r>
          </w:p>
        </w:tc>
      </w:tr>
      <w:tr w14:paraId="6A4D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BD9B524">
            <w:pPr>
              <w:pStyle w:val="78"/>
            </w:pPr>
          </w:p>
        </w:tc>
        <w:tc>
          <w:tcPr>
            <w:tcW w:w="752" w:type="pct"/>
            <w:vAlign w:val="center"/>
          </w:tcPr>
          <w:p w14:paraId="5A06FBB8">
            <w:pPr>
              <w:pStyle w:val="78"/>
            </w:pPr>
            <w:r>
              <w:rPr>
                <w:rFonts w:hint="eastAsia"/>
              </w:rPr>
              <w:t>余热锅炉、尾气回收装置</w:t>
            </w:r>
          </w:p>
        </w:tc>
        <w:tc>
          <w:tcPr>
            <w:tcW w:w="301" w:type="pct"/>
            <w:vAlign w:val="center"/>
          </w:tcPr>
          <w:p w14:paraId="58F3B349">
            <w:pPr>
              <w:pStyle w:val="78"/>
            </w:pPr>
            <w:r>
              <w:t>正常</w:t>
            </w:r>
          </w:p>
        </w:tc>
        <w:tc>
          <w:tcPr>
            <w:tcW w:w="270" w:type="pct"/>
            <w:vAlign w:val="center"/>
          </w:tcPr>
          <w:p w14:paraId="1831D183">
            <w:pPr>
              <w:pStyle w:val="78"/>
            </w:pPr>
            <w:r>
              <w:t>W</w:t>
            </w:r>
            <w:r>
              <w:rPr>
                <w:rFonts w:hint="eastAsia"/>
              </w:rPr>
              <w:t>6</w:t>
            </w:r>
          </w:p>
        </w:tc>
        <w:tc>
          <w:tcPr>
            <w:tcW w:w="907" w:type="pct"/>
            <w:vAlign w:val="center"/>
          </w:tcPr>
          <w:p w14:paraId="4A3F47D6">
            <w:pPr>
              <w:pStyle w:val="78"/>
            </w:pPr>
            <w:r>
              <w:rPr>
                <w:rFonts w:hint="eastAsia"/>
              </w:rPr>
              <w:t>余热锅炉、尾气回收装置排水</w:t>
            </w:r>
          </w:p>
        </w:tc>
        <w:tc>
          <w:tcPr>
            <w:tcW w:w="984" w:type="pct"/>
            <w:vAlign w:val="center"/>
          </w:tcPr>
          <w:p w14:paraId="78B3ADE3">
            <w:pPr>
              <w:pStyle w:val="78"/>
            </w:pPr>
            <w:r>
              <w:rPr>
                <w:rFonts w:hint="eastAsia"/>
              </w:rPr>
              <w:t>COD、SS</w:t>
            </w:r>
          </w:p>
        </w:tc>
        <w:tc>
          <w:tcPr>
            <w:tcW w:w="275" w:type="pct"/>
            <w:vAlign w:val="center"/>
          </w:tcPr>
          <w:p w14:paraId="2022D2CE">
            <w:pPr>
              <w:pStyle w:val="78"/>
            </w:pPr>
            <w:r>
              <w:t>每天</w:t>
            </w:r>
          </w:p>
        </w:tc>
        <w:tc>
          <w:tcPr>
            <w:tcW w:w="344" w:type="pct"/>
            <w:vAlign w:val="center"/>
          </w:tcPr>
          <w:p w14:paraId="72FDEDB1">
            <w:pPr>
              <w:pStyle w:val="78"/>
            </w:pPr>
            <w:r>
              <w:rPr>
                <w:rFonts w:hint="eastAsia"/>
              </w:rPr>
              <w:t>/</w:t>
            </w:r>
          </w:p>
        </w:tc>
        <w:tc>
          <w:tcPr>
            <w:tcW w:w="857" w:type="pct"/>
            <w:vAlign w:val="center"/>
          </w:tcPr>
          <w:p w14:paraId="12949CBC">
            <w:pPr>
              <w:pStyle w:val="78"/>
            </w:pPr>
            <w:r>
              <w:t>排入园区污水厂低浓度进水系统</w:t>
            </w:r>
          </w:p>
        </w:tc>
      </w:tr>
      <w:tr w14:paraId="6BEE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C5F77F2">
            <w:pPr>
              <w:pStyle w:val="78"/>
            </w:pPr>
          </w:p>
        </w:tc>
        <w:tc>
          <w:tcPr>
            <w:tcW w:w="752" w:type="pct"/>
            <w:vAlign w:val="center"/>
          </w:tcPr>
          <w:p w14:paraId="35895D66">
            <w:pPr>
              <w:pStyle w:val="78"/>
            </w:pPr>
            <w:r>
              <w:rPr>
                <w:rFonts w:hint="eastAsia"/>
              </w:rPr>
              <w:t>地面冲清洗</w:t>
            </w:r>
          </w:p>
        </w:tc>
        <w:tc>
          <w:tcPr>
            <w:tcW w:w="301" w:type="pct"/>
            <w:vAlign w:val="center"/>
          </w:tcPr>
          <w:p w14:paraId="71D0EDC4">
            <w:pPr>
              <w:pStyle w:val="78"/>
            </w:pPr>
            <w:r>
              <w:t>正常</w:t>
            </w:r>
          </w:p>
        </w:tc>
        <w:tc>
          <w:tcPr>
            <w:tcW w:w="270" w:type="pct"/>
            <w:vAlign w:val="center"/>
          </w:tcPr>
          <w:p w14:paraId="773E5EA1">
            <w:pPr>
              <w:pStyle w:val="78"/>
            </w:pPr>
            <w:r>
              <w:rPr>
                <w:rFonts w:hint="eastAsia"/>
              </w:rPr>
              <w:t>W7</w:t>
            </w:r>
          </w:p>
        </w:tc>
        <w:tc>
          <w:tcPr>
            <w:tcW w:w="907" w:type="pct"/>
            <w:vAlign w:val="center"/>
          </w:tcPr>
          <w:p w14:paraId="2EC12C04">
            <w:pPr>
              <w:pStyle w:val="78"/>
            </w:pPr>
            <w:r>
              <w:rPr>
                <w:rFonts w:hint="eastAsia"/>
              </w:rPr>
              <w:t>地面冲洗水</w:t>
            </w:r>
          </w:p>
        </w:tc>
        <w:tc>
          <w:tcPr>
            <w:tcW w:w="984" w:type="pct"/>
            <w:vAlign w:val="center"/>
          </w:tcPr>
          <w:p w14:paraId="43C27416">
            <w:pPr>
              <w:pStyle w:val="78"/>
            </w:pPr>
            <w:r>
              <w:rPr>
                <w:rFonts w:hint="eastAsia"/>
              </w:rPr>
              <w:t>COD、SS</w:t>
            </w:r>
          </w:p>
        </w:tc>
        <w:tc>
          <w:tcPr>
            <w:tcW w:w="275" w:type="pct"/>
            <w:vAlign w:val="center"/>
          </w:tcPr>
          <w:p w14:paraId="15EC59A5">
            <w:pPr>
              <w:pStyle w:val="78"/>
            </w:pPr>
            <w:r>
              <w:t>每天</w:t>
            </w:r>
          </w:p>
        </w:tc>
        <w:tc>
          <w:tcPr>
            <w:tcW w:w="344" w:type="pct"/>
            <w:vAlign w:val="center"/>
          </w:tcPr>
          <w:p w14:paraId="2737C6C4">
            <w:pPr>
              <w:pStyle w:val="78"/>
            </w:pPr>
            <w:r>
              <w:rPr>
                <w:rFonts w:hint="eastAsia"/>
              </w:rPr>
              <w:t>/</w:t>
            </w:r>
          </w:p>
        </w:tc>
        <w:tc>
          <w:tcPr>
            <w:tcW w:w="857" w:type="pct"/>
            <w:vAlign w:val="center"/>
          </w:tcPr>
          <w:p w14:paraId="21D10D0B">
            <w:pPr>
              <w:pStyle w:val="78"/>
            </w:pPr>
            <w:r>
              <w:t>排入园区污水厂低浓度进水系统</w:t>
            </w:r>
          </w:p>
        </w:tc>
      </w:tr>
      <w:tr w14:paraId="2E36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BA2CB74">
            <w:pPr>
              <w:pStyle w:val="78"/>
            </w:pPr>
          </w:p>
        </w:tc>
        <w:tc>
          <w:tcPr>
            <w:tcW w:w="752" w:type="pct"/>
            <w:vAlign w:val="center"/>
          </w:tcPr>
          <w:p w14:paraId="1F63E09B">
            <w:pPr>
              <w:pStyle w:val="78"/>
            </w:pPr>
            <w:r>
              <w:rPr>
                <w:rFonts w:hint="eastAsia"/>
              </w:rPr>
              <w:t>化验室</w:t>
            </w:r>
          </w:p>
        </w:tc>
        <w:tc>
          <w:tcPr>
            <w:tcW w:w="301" w:type="pct"/>
            <w:vAlign w:val="center"/>
          </w:tcPr>
          <w:p w14:paraId="55AC6E61">
            <w:pPr>
              <w:pStyle w:val="78"/>
            </w:pPr>
            <w:r>
              <w:rPr>
                <w:rFonts w:hint="eastAsia"/>
              </w:rPr>
              <w:t>正常</w:t>
            </w:r>
          </w:p>
        </w:tc>
        <w:tc>
          <w:tcPr>
            <w:tcW w:w="270" w:type="pct"/>
            <w:vAlign w:val="center"/>
          </w:tcPr>
          <w:p w14:paraId="5313516F">
            <w:pPr>
              <w:pStyle w:val="78"/>
            </w:pPr>
            <w:r>
              <w:rPr>
                <w:rFonts w:hint="eastAsia"/>
              </w:rPr>
              <w:t>W8</w:t>
            </w:r>
          </w:p>
        </w:tc>
        <w:tc>
          <w:tcPr>
            <w:tcW w:w="907" w:type="pct"/>
            <w:vAlign w:val="center"/>
          </w:tcPr>
          <w:p w14:paraId="2727F321">
            <w:pPr>
              <w:pStyle w:val="78"/>
            </w:pPr>
            <w:r>
              <w:rPr>
                <w:rFonts w:hint="eastAsia"/>
              </w:rPr>
              <w:t>化验室仪器清洗废水</w:t>
            </w:r>
          </w:p>
        </w:tc>
        <w:tc>
          <w:tcPr>
            <w:tcW w:w="984" w:type="pct"/>
            <w:vAlign w:val="center"/>
          </w:tcPr>
          <w:p w14:paraId="42A710BB">
            <w:pPr>
              <w:pStyle w:val="78"/>
            </w:pPr>
            <w:r>
              <w:rPr>
                <w:rFonts w:hint="eastAsia"/>
              </w:rPr>
              <w:t>COD、SS</w:t>
            </w:r>
          </w:p>
        </w:tc>
        <w:tc>
          <w:tcPr>
            <w:tcW w:w="275" w:type="pct"/>
            <w:vAlign w:val="center"/>
          </w:tcPr>
          <w:p w14:paraId="1E39A450">
            <w:pPr>
              <w:pStyle w:val="78"/>
            </w:pPr>
            <w:r>
              <w:t>每天</w:t>
            </w:r>
          </w:p>
        </w:tc>
        <w:tc>
          <w:tcPr>
            <w:tcW w:w="344" w:type="pct"/>
            <w:vAlign w:val="center"/>
          </w:tcPr>
          <w:p w14:paraId="24614464">
            <w:pPr>
              <w:pStyle w:val="78"/>
            </w:pPr>
            <w:r>
              <w:rPr>
                <w:rFonts w:hint="eastAsia"/>
              </w:rPr>
              <w:t>/</w:t>
            </w:r>
          </w:p>
        </w:tc>
        <w:tc>
          <w:tcPr>
            <w:tcW w:w="857" w:type="pct"/>
            <w:vAlign w:val="center"/>
          </w:tcPr>
          <w:p w14:paraId="42897410">
            <w:pPr>
              <w:pStyle w:val="78"/>
            </w:pPr>
            <w:r>
              <w:t>排入园区污水厂低浓度进水系统</w:t>
            </w:r>
          </w:p>
        </w:tc>
      </w:tr>
      <w:tr w14:paraId="359D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78C4C1E3">
            <w:pPr>
              <w:pStyle w:val="78"/>
            </w:pPr>
            <w:r>
              <w:t>固体废物</w:t>
            </w:r>
          </w:p>
        </w:tc>
        <w:tc>
          <w:tcPr>
            <w:tcW w:w="752" w:type="pct"/>
            <w:vMerge w:val="restart"/>
            <w:vAlign w:val="center"/>
          </w:tcPr>
          <w:p w14:paraId="2F4F1AA0">
            <w:pPr>
              <w:pStyle w:val="78"/>
            </w:pPr>
            <w:r>
              <w:t>原料化单元</w:t>
            </w:r>
          </w:p>
        </w:tc>
        <w:tc>
          <w:tcPr>
            <w:tcW w:w="301" w:type="pct"/>
            <w:vMerge w:val="restart"/>
            <w:vAlign w:val="center"/>
          </w:tcPr>
          <w:p w14:paraId="08BD3B07">
            <w:pPr>
              <w:pStyle w:val="78"/>
            </w:pPr>
            <w:r>
              <w:t>正常</w:t>
            </w:r>
          </w:p>
        </w:tc>
        <w:tc>
          <w:tcPr>
            <w:tcW w:w="270" w:type="pct"/>
            <w:vAlign w:val="center"/>
          </w:tcPr>
          <w:p w14:paraId="5E8E3948">
            <w:pPr>
              <w:pStyle w:val="78"/>
            </w:pPr>
            <w:r>
              <w:t>S1</w:t>
            </w:r>
          </w:p>
        </w:tc>
        <w:tc>
          <w:tcPr>
            <w:tcW w:w="907" w:type="pct"/>
            <w:vAlign w:val="center"/>
          </w:tcPr>
          <w:p w14:paraId="113872C6">
            <w:pPr>
              <w:pStyle w:val="78"/>
            </w:pPr>
            <w:r>
              <w:t>除金属器和风选</w:t>
            </w:r>
          </w:p>
        </w:tc>
        <w:tc>
          <w:tcPr>
            <w:tcW w:w="984" w:type="pct"/>
            <w:vAlign w:val="center"/>
          </w:tcPr>
          <w:p w14:paraId="3D97D3D2">
            <w:pPr>
              <w:pStyle w:val="78"/>
            </w:pPr>
            <w:r>
              <w:t>废金属</w:t>
            </w:r>
          </w:p>
        </w:tc>
        <w:tc>
          <w:tcPr>
            <w:tcW w:w="275" w:type="pct"/>
            <w:vAlign w:val="center"/>
          </w:tcPr>
          <w:p w14:paraId="04A5FA7B">
            <w:pPr>
              <w:pStyle w:val="78"/>
            </w:pPr>
            <w:r>
              <w:t>每天</w:t>
            </w:r>
          </w:p>
        </w:tc>
        <w:tc>
          <w:tcPr>
            <w:tcW w:w="344" w:type="pct"/>
            <w:vAlign w:val="center"/>
          </w:tcPr>
          <w:p w14:paraId="6E86F654">
            <w:pPr>
              <w:pStyle w:val="78"/>
            </w:pPr>
            <w:r>
              <w:t>/</w:t>
            </w:r>
          </w:p>
        </w:tc>
        <w:tc>
          <w:tcPr>
            <w:tcW w:w="857" w:type="pct"/>
            <w:vAlign w:val="center"/>
          </w:tcPr>
          <w:p w14:paraId="4AA4F6D1">
            <w:pPr>
              <w:pStyle w:val="78"/>
            </w:pPr>
            <w:r>
              <w:t>交由资源回收单位外运</w:t>
            </w:r>
          </w:p>
        </w:tc>
      </w:tr>
      <w:tr w14:paraId="5137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702FE26">
            <w:pPr>
              <w:pStyle w:val="78"/>
            </w:pPr>
          </w:p>
        </w:tc>
        <w:tc>
          <w:tcPr>
            <w:tcW w:w="752" w:type="pct"/>
            <w:vMerge w:val="continue"/>
            <w:vAlign w:val="center"/>
          </w:tcPr>
          <w:p w14:paraId="48DCF2C3">
            <w:pPr>
              <w:pStyle w:val="78"/>
            </w:pPr>
          </w:p>
        </w:tc>
        <w:tc>
          <w:tcPr>
            <w:tcW w:w="301" w:type="pct"/>
            <w:vMerge w:val="continue"/>
            <w:vAlign w:val="center"/>
          </w:tcPr>
          <w:p w14:paraId="5F59FF86">
            <w:pPr>
              <w:pStyle w:val="78"/>
            </w:pPr>
          </w:p>
        </w:tc>
        <w:tc>
          <w:tcPr>
            <w:tcW w:w="270" w:type="pct"/>
            <w:vAlign w:val="center"/>
          </w:tcPr>
          <w:p w14:paraId="1AACABF9">
            <w:pPr>
              <w:pStyle w:val="78"/>
            </w:pPr>
            <w:r>
              <w:t>S2</w:t>
            </w:r>
          </w:p>
        </w:tc>
        <w:tc>
          <w:tcPr>
            <w:tcW w:w="907" w:type="pct"/>
            <w:vAlign w:val="center"/>
          </w:tcPr>
          <w:p w14:paraId="6D4E1F55">
            <w:pPr>
              <w:pStyle w:val="78"/>
            </w:pPr>
            <w:r>
              <w:t>废气处理设置</w:t>
            </w:r>
          </w:p>
        </w:tc>
        <w:tc>
          <w:tcPr>
            <w:tcW w:w="984" w:type="pct"/>
            <w:vAlign w:val="center"/>
          </w:tcPr>
          <w:p w14:paraId="691502B4">
            <w:pPr>
              <w:pStyle w:val="78"/>
            </w:pPr>
            <w:r>
              <w:t>废活性炭</w:t>
            </w:r>
          </w:p>
        </w:tc>
        <w:tc>
          <w:tcPr>
            <w:tcW w:w="275" w:type="pct"/>
            <w:vAlign w:val="center"/>
          </w:tcPr>
          <w:p w14:paraId="661592EC">
            <w:pPr>
              <w:pStyle w:val="78"/>
            </w:pPr>
            <w:r>
              <w:rPr>
                <w:rFonts w:hint="eastAsia"/>
                <w:szCs w:val="21"/>
              </w:rPr>
              <w:t>6</w:t>
            </w:r>
            <w:r>
              <w:rPr>
                <w:szCs w:val="21"/>
              </w:rPr>
              <w:t>次/年</w:t>
            </w:r>
          </w:p>
        </w:tc>
        <w:tc>
          <w:tcPr>
            <w:tcW w:w="344" w:type="pct"/>
            <w:vAlign w:val="center"/>
          </w:tcPr>
          <w:p w14:paraId="64B25846">
            <w:pPr>
              <w:pStyle w:val="78"/>
            </w:pPr>
            <w:r>
              <w:t>/</w:t>
            </w:r>
          </w:p>
        </w:tc>
        <w:tc>
          <w:tcPr>
            <w:tcW w:w="857" w:type="pct"/>
            <w:vAlign w:val="center"/>
          </w:tcPr>
          <w:p w14:paraId="28F16EE4">
            <w:pPr>
              <w:pStyle w:val="78"/>
            </w:pPr>
            <w:r>
              <w:t>委托有资质单位外运</w:t>
            </w:r>
          </w:p>
        </w:tc>
      </w:tr>
      <w:tr w14:paraId="6F80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85F48E8">
            <w:pPr>
              <w:pStyle w:val="78"/>
            </w:pPr>
          </w:p>
        </w:tc>
        <w:tc>
          <w:tcPr>
            <w:tcW w:w="752" w:type="pct"/>
            <w:vMerge w:val="continue"/>
            <w:vAlign w:val="center"/>
          </w:tcPr>
          <w:p w14:paraId="2A7CE584">
            <w:pPr>
              <w:pStyle w:val="78"/>
            </w:pPr>
          </w:p>
        </w:tc>
        <w:tc>
          <w:tcPr>
            <w:tcW w:w="301" w:type="pct"/>
            <w:vMerge w:val="continue"/>
            <w:vAlign w:val="center"/>
          </w:tcPr>
          <w:p w14:paraId="147DCEC0">
            <w:pPr>
              <w:pStyle w:val="78"/>
            </w:pPr>
          </w:p>
        </w:tc>
        <w:tc>
          <w:tcPr>
            <w:tcW w:w="270" w:type="pct"/>
            <w:vAlign w:val="center"/>
          </w:tcPr>
          <w:p w14:paraId="39714E67">
            <w:pPr>
              <w:pStyle w:val="78"/>
            </w:pPr>
            <w:r>
              <w:rPr>
                <w:rFonts w:hint="eastAsia"/>
                <w:bCs/>
                <w:color w:val="000000" w:themeColor="text1"/>
                <w14:textFill>
                  <w14:solidFill>
                    <w14:schemeClr w14:val="tx1"/>
                  </w14:solidFill>
                </w14:textFill>
              </w:rPr>
              <w:t>S14</w:t>
            </w:r>
          </w:p>
        </w:tc>
        <w:tc>
          <w:tcPr>
            <w:tcW w:w="907" w:type="pct"/>
            <w:vAlign w:val="center"/>
          </w:tcPr>
          <w:p w14:paraId="4AD9972A">
            <w:pPr>
              <w:pStyle w:val="78"/>
            </w:pPr>
            <w:r>
              <w:rPr>
                <w:rFonts w:hint="eastAsia"/>
                <w:bCs/>
                <w:color w:val="000000" w:themeColor="text1"/>
                <w14:textFill>
                  <w14:solidFill>
                    <w14:schemeClr w14:val="tx1"/>
                  </w14:solidFill>
                </w14:textFill>
              </w:rPr>
              <w:t>旋风分离后布袋除尘器废布袋</w:t>
            </w:r>
          </w:p>
        </w:tc>
        <w:tc>
          <w:tcPr>
            <w:tcW w:w="984" w:type="pct"/>
            <w:vAlign w:val="center"/>
          </w:tcPr>
          <w:p w14:paraId="1889069E">
            <w:pPr>
              <w:pStyle w:val="78"/>
            </w:pPr>
            <w:r>
              <w:rPr>
                <w:rFonts w:hint="eastAsia"/>
                <w:bCs/>
                <w:color w:val="000000" w:themeColor="text1"/>
                <w14:textFill>
                  <w14:solidFill>
                    <w14:schemeClr w14:val="tx1"/>
                  </w14:solidFill>
                </w14:textFill>
              </w:rPr>
              <w:t>废布袋</w:t>
            </w:r>
          </w:p>
        </w:tc>
        <w:tc>
          <w:tcPr>
            <w:tcW w:w="275" w:type="pct"/>
            <w:vAlign w:val="center"/>
          </w:tcPr>
          <w:p w14:paraId="5BCFA580">
            <w:pPr>
              <w:pStyle w:val="78"/>
            </w:pPr>
            <w:r>
              <w:rPr>
                <w:rFonts w:hint="eastAsia"/>
                <w:bCs/>
                <w:color w:val="000000" w:themeColor="text1"/>
                <w:szCs w:val="21"/>
                <w14:textFill>
                  <w14:solidFill>
                    <w14:schemeClr w14:val="tx1"/>
                  </w14:solidFill>
                </w14:textFill>
              </w:rPr>
              <w:t>3年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480D11FE">
            <w:pPr>
              <w:pStyle w:val="78"/>
            </w:pPr>
            <w:r>
              <w:rPr>
                <w:rFonts w:hint="eastAsia"/>
                <w:bCs/>
                <w:color w:val="000000" w:themeColor="text1"/>
                <w14:textFill>
                  <w14:solidFill>
                    <w14:schemeClr w14:val="tx1"/>
                  </w14:solidFill>
                </w14:textFill>
              </w:rPr>
              <w:t>/</w:t>
            </w:r>
          </w:p>
        </w:tc>
        <w:tc>
          <w:tcPr>
            <w:tcW w:w="857" w:type="pct"/>
            <w:vAlign w:val="center"/>
          </w:tcPr>
          <w:p w14:paraId="387805BB">
            <w:pPr>
              <w:pStyle w:val="78"/>
            </w:pPr>
            <w:r>
              <w:rPr>
                <w:color w:val="000000" w:themeColor="text1"/>
                <w14:textFill>
                  <w14:solidFill>
                    <w14:schemeClr w14:val="tx1"/>
                  </w14:solidFill>
                </w14:textFill>
              </w:rPr>
              <w:t>交由资源回收单位外运</w:t>
            </w:r>
          </w:p>
        </w:tc>
      </w:tr>
      <w:tr w14:paraId="20D6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5022503">
            <w:pPr>
              <w:pStyle w:val="78"/>
            </w:pPr>
          </w:p>
        </w:tc>
        <w:tc>
          <w:tcPr>
            <w:tcW w:w="752" w:type="pct"/>
            <w:vMerge w:val="restart"/>
            <w:vAlign w:val="center"/>
          </w:tcPr>
          <w:p w14:paraId="2E52A833">
            <w:pPr>
              <w:pStyle w:val="78"/>
            </w:pPr>
            <w:r>
              <w:t>裂解单元</w:t>
            </w:r>
          </w:p>
        </w:tc>
        <w:tc>
          <w:tcPr>
            <w:tcW w:w="301" w:type="pct"/>
            <w:vAlign w:val="center"/>
          </w:tcPr>
          <w:p w14:paraId="340B8AA3">
            <w:pPr>
              <w:pStyle w:val="78"/>
            </w:pPr>
            <w:r>
              <w:t>正常</w:t>
            </w:r>
          </w:p>
        </w:tc>
        <w:tc>
          <w:tcPr>
            <w:tcW w:w="270" w:type="pct"/>
            <w:vAlign w:val="center"/>
          </w:tcPr>
          <w:p w14:paraId="39D26E73">
            <w:pPr>
              <w:pStyle w:val="78"/>
            </w:pPr>
            <w:r>
              <w:t>S3</w:t>
            </w:r>
          </w:p>
        </w:tc>
        <w:tc>
          <w:tcPr>
            <w:tcW w:w="907" w:type="pct"/>
            <w:vAlign w:val="center"/>
          </w:tcPr>
          <w:p w14:paraId="58E40672">
            <w:pPr>
              <w:pStyle w:val="78"/>
            </w:pPr>
            <w:r>
              <w:t>裂解、旋流撬装</w:t>
            </w:r>
          </w:p>
        </w:tc>
        <w:tc>
          <w:tcPr>
            <w:tcW w:w="984" w:type="pct"/>
            <w:vAlign w:val="center"/>
          </w:tcPr>
          <w:p w14:paraId="3ED826FF">
            <w:pPr>
              <w:pStyle w:val="78"/>
            </w:pPr>
            <w:r>
              <w:rPr>
                <w:szCs w:val="21"/>
              </w:rPr>
              <w:t>废催化剂</w:t>
            </w:r>
            <w:r>
              <w:rPr>
                <w:rFonts w:hint="eastAsia"/>
                <w:szCs w:val="21"/>
              </w:rPr>
              <w:t>、炉渣</w:t>
            </w:r>
          </w:p>
        </w:tc>
        <w:tc>
          <w:tcPr>
            <w:tcW w:w="275" w:type="pct"/>
            <w:vAlign w:val="center"/>
          </w:tcPr>
          <w:p w14:paraId="055CC77A">
            <w:pPr>
              <w:pStyle w:val="78"/>
            </w:pPr>
            <w:r>
              <w:t>每天</w:t>
            </w:r>
          </w:p>
        </w:tc>
        <w:tc>
          <w:tcPr>
            <w:tcW w:w="344" w:type="pct"/>
            <w:vAlign w:val="center"/>
          </w:tcPr>
          <w:p w14:paraId="535D47B2">
            <w:pPr>
              <w:pStyle w:val="78"/>
            </w:pPr>
            <w:r>
              <w:t>/</w:t>
            </w:r>
          </w:p>
        </w:tc>
        <w:tc>
          <w:tcPr>
            <w:tcW w:w="857" w:type="pct"/>
            <w:vAlign w:val="center"/>
          </w:tcPr>
          <w:p w14:paraId="3C94503B">
            <w:pPr>
              <w:pStyle w:val="78"/>
            </w:pPr>
            <w:r>
              <w:rPr>
                <w:rFonts w:hint="eastAsia"/>
                <w:szCs w:val="21"/>
              </w:rPr>
              <w:t>鉴定前，按照危废委托有资质单位外运；投产鉴定后，按对应的固废类别进行处理。</w:t>
            </w:r>
          </w:p>
        </w:tc>
      </w:tr>
      <w:tr w14:paraId="64DA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806C004">
            <w:pPr>
              <w:pStyle w:val="78"/>
            </w:pPr>
          </w:p>
        </w:tc>
        <w:tc>
          <w:tcPr>
            <w:tcW w:w="752" w:type="pct"/>
            <w:vMerge w:val="continue"/>
            <w:vAlign w:val="center"/>
          </w:tcPr>
          <w:p w14:paraId="660147AC">
            <w:pPr>
              <w:pStyle w:val="78"/>
            </w:pPr>
          </w:p>
        </w:tc>
        <w:tc>
          <w:tcPr>
            <w:tcW w:w="301" w:type="pct"/>
            <w:vAlign w:val="center"/>
          </w:tcPr>
          <w:p w14:paraId="5A2772BD">
            <w:pPr>
              <w:pStyle w:val="78"/>
            </w:pPr>
            <w:r>
              <w:t>正常</w:t>
            </w:r>
          </w:p>
        </w:tc>
        <w:tc>
          <w:tcPr>
            <w:tcW w:w="270" w:type="pct"/>
            <w:vAlign w:val="center"/>
          </w:tcPr>
          <w:p w14:paraId="3669B406">
            <w:pPr>
              <w:pStyle w:val="78"/>
            </w:pPr>
            <w:r>
              <w:t>S4</w:t>
            </w:r>
          </w:p>
        </w:tc>
        <w:tc>
          <w:tcPr>
            <w:tcW w:w="907" w:type="pct"/>
            <w:vAlign w:val="center"/>
          </w:tcPr>
          <w:p w14:paraId="102C0B38">
            <w:pPr>
              <w:pStyle w:val="78"/>
            </w:pPr>
            <w:r>
              <w:t>催化剂再生烟气布袋除尘器</w:t>
            </w:r>
          </w:p>
        </w:tc>
        <w:tc>
          <w:tcPr>
            <w:tcW w:w="984" w:type="pct"/>
            <w:vAlign w:val="center"/>
          </w:tcPr>
          <w:p w14:paraId="04B7304D">
            <w:pPr>
              <w:pStyle w:val="78"/>
            </w:pPr>
            <w:r>
              <w:t>废粉尘</w:t>
            </w:r>
          </w:p>
        </w:tc>
        <w:tc>
          <w:tcPr>
            <w:tcW w:w="275" w:type="pct"/>
            <w:vAlign w:val="center"/>
          </w:tcPr>
          <w:p w14:paraId="02C49BFF">
            <w:pPr>
              <w:pStyle w:val="78"/>
            </w:pPr>
            <w:r>
              <w:t>每天</w:t>
            </w:r>
          </w:p>
        </w:tc>
        <w:tc>
          <w:tcPr>
            <w:tcW w:w="344" w:type="pct"/>
            <w:vAlign w:val="center"/>
          </w:tcPr>
          <w:p w14:paraId="4BA12495">
            <w:pPr>
              <w:pStyle w:val="78"/>
            </w:pPr>
            <w:r>
              <w:t>/</w:t>
            </w:r>
          </w:p>
        </w:tc>
        <w:tc>
          <w:tcPr>
            <w:tcW w:w="857" w:type="pct"/>
            <w:vAlign w:val="center"/>
          </w:tcPr>
          <w:p w14:paraId="000542A6">
            <w:pPr>
              <w:pStyle w:val="78"/>
            </w:pPr>
            <w:r>
              <w:t>委托有资质单位外运</w:t>
            </w:r>
          </w:p>
        </w:tc>
      </w:tr>
      <w:tr w14:paraId="6859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F9DA1E9">
            <w:pPr>
              <w:pStyle w:val="78"/>
            </w:pPr>
          </w:p>
        </w:tc>
        <w:tc>
          <w:tcPr>
            <w:tcW w:w="752" w:type="pct"/>
            <w:vMerge w:val="continue"/>
            <w:vAlign w:val="center"/>
          </w:tcPr>
          <w:p w14:paraId="4D592190">
            <w:pPr>
              <w:pStyle w:val="78"/>
            </w:pPr>
          </w:p>
        </w:tc>
        <w:tc>
          <w:tcPr>
            <w:tcW w:w="301" w:type="pct"/>
            <w:vAlign w:val="center"/>
          </w:tcPr>
          <w:p w14:paraId="6F697ACF">
            <w:pPr>
              <w:pStyle w:val="78"/>
            </w:pPr>
            <w:r>
              <w:t>正常</w:t>
            </w:r>
          </w:p>
        </w:tc>
        <w:tc>
          <w:tcPr>
            <w:tcW w:w="270" w:type="pct"/>
            <w:vAlign w:val="center"/>
          </w:tcPr>
          <w:p w14:paraId="3C994DD0">
            <w:pPr>
              <w:pStyle w:val="78"/>
            </w:pPr>
            <w:r>
              <w:t>S5</w:t>
            </w:r>
          </w:p>
        </w:tc>
        <w:tc>
          <w:tcPr>
            <w:tcW w:w="907" w:type="pct"/>
            <w:vAlign w:val="center"/>
          </w:tcPr>
          <w:p w14:paraId="604AECB8">
            <w:pPr>
              <w:pStyle w:val="78"/>
            </w:pPr>
            <w:r>
              <w:rPr>
                <w:rFonts w:hint="eastAsia"/>
              </w:rPr>
              <w:t>催化剂再生烟气布袋除尘器</w:t>
            </w:r>
          </w:p>
        </w:tc>
        <w:tc>
          <w:tcPr>
            <w:tcW w:w="984" w:type="pct"/>
            <w:vAlign w:val="center"/>
          </w:tcPr>
          <w:p w14:paraId="3568259D">
            <w:pPr>
              <w:pStyle w:val="78"/>
            </w:pPr>
            <w:r>
              <w:rPr>
                <w:rFonts w:hint="eastAsia"/>
              </w:rPr>
              <w:t>废布袋</w:t>
            </w:r>
          </w:p>
        </w:tc>
        <w:tc>
          <w:tcPr>
            <w:tcW w:w="275" w:type="pct"/>
            <w:vAlign w:val="center"/>
          </w:tcPr>
          <w:p w14:paraId="7777B88C">
            <w:pPr>
              <w:pStyle w:val="78"/>
            </w:pPr>
            <w:r>
              <w:rPr>
                <w:szCs w:val="21"/>
              </w:rPr>
              <w:t>4</w:t>
            </w:r>
            <w:r>
              <w:rPr>
                <w:rFonts w:hint="eastAsia"/>
                <w:szCs w:val="21"/>
              </w:rPr>
              <w:t>年</w:t>
            </w:r>
            <w:r>
              <w:rPr>
                <w:szCs w:val="21"/>
              </w:rPr>
              <w:t>/</w:t>
            </w:r>
            <w:r>
              <w:rPr>
                <w:rFonts w:hint="eastAsia"/>
                <w:szCs w:val="21"/>
              </w:rPr>
              <w:t>次</w:t>
            </w:r>
          </w:p>
        </w:tc>
        <w:tc>
          <w:tcPr>
            <w:tcW w:w="344" w:type="pct"/>
            <w:vAlign w:val="center"/>
          </w:tcPr>
          <w:p w14:paraId="46EFBBC2">
            <w:pPr>
              <w:pStyle w:val="78"/>
            </w:pPr>
            <w:r>
              <w:t>/</w:t>
            </w:r>
          </w:p>
        </w:tc>
        <w:tc>
          <w:tcPr>
            <w:tcW w:w="857" w:type="pct"/>
            <w:vAlign w:val="center"/>
          </w:tcPr>
          <w:p w14:paraId="7602E6B4">
            <w:pPr>
              <w:pStyle w:val="78"/>
            </w:pPr>
            <w:r>
              <w:t>交由资源回收单位外运</w:t>
            </w:r>
          </w:p>
        </w:tc>
      </w:tr>
      <w:tr w14:paraId="460E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A3B6C00">
            <w:pPr>
              <w:pStyle w:val="78"/>
            </w:pPr>
          </w:p>
        </w:tc>
        <w:tc>
          <w:tcPr>
            <w:tcW w:w="752" w:type="pct"/>
            <w:vAlign w:val="center"/>
          </w:tcPr>
          <w:p w14:paraId="64AB2ABE">
            <w:pPr>
              <w:pStyle w:val="78"/>
            </w:pPr>
            <w:r>
              <w:t>装置</w:t>
            </w:r>
            <w:r>
              <w:rPr>
                <w:rFonts w:hint="eastAsia"/>
              </w:rPr>
              <w:t>、球罐</w:t>
            </w:r>
            <w:r>
              <w:t>开停工</w:t>
            </w:r>
          </w:p>
        </w:tc>
        <w:tc>
          <w:tcPr>
            <w:tcW w:w="301" w:type="pct"/>
            <w:vAlign w:val="center"/>
          </w:tcPr>
          <w:p w14:paraId="1593A6B3">
            <w:pPr>
              <w:pStyle w:val="78"/>
            </w:pPr>
            <w:r>
              <w:t>非正常</w:t>
            </w:r>
          </w:p>
        </w:tc>
        <w:tc>
          <w:tcPr>
            <w:tcW w:w="270" w:type="pct"/>
            <w:vAlign w:val="center"/>
          </w:tcPr>
          <w:p w14:paraId="5C6ED52D">
            <w:pPr>
              <w:pStyle w:val="78"/>
            </w:pPr>
            <w:r>
              <w:t>S</w:t>
            </w:r>
            <w:r>
              <w:rPr>
                <w:rFonts w:hint="eastAsia"/>
              </w:rPr>
              <w:t>6</w:t>
            </w:r>
          </w:p>
        </w:tc>
        <w:tc>
          <w:tcPr>
            <w:tcW w:w="907" w:type="pct"/>
            <w:vAlign w:val="center"/>
          </w:tcPr>
          <w:p w14:paraId="22F50960">
            <w:pPr>
              <w:pStyle w:val="78"/>
            </w:pPr>
            <w:r>
              <w:t>开停工设备清洗</w:t>
            </w:r>
          </w:p>
        </w:tc>
        <w:tc>
          <w:tcPr>
            <w:tcW w:w="984" w:type="pct"/>
            <w:vAlign w:val="center"/>
          </w:tcPr>
          <w:p w14:paraId="2D755C2D">
            <w:pPr>
              <w:pStyle w:val="78"/>
            </w:pPr>
            <w:r>
              <w:t>设备清洗</w:t>
            </w:r>
            <w:r>
              <w:rPr>
                <w:rFonts w:hint="eastAsia"/>
              </w:rPr>
              <w:t>废水</w:t>
            </w:r>
          </w:p>
        </w:tc>
        <w:tc>
          <w:tcPr>
            <w:tcW w:w="275" w:type="pct"/>
            <w:vAlign w:val="center"/>
          </w:tcPr>
          <w:p w14:paraId="0A5DFBF3">
            <w:pPr>
              <w:pStyle w:val="78"/>
            </w:pPr>
            <w:r>
              <w:rPr>
                <w:rFonts w:hint="eastAsia"/>
              </w:rPr>
              <w:t>1</w:t>
            </w:r>
            <w:r>
              <w:t>年/次</w:t>
            </w:r>
          </w:p>
        </w:tc>
        <w:tc>
          <w:tcPr>
            <w:tcW w:w="344" w:type="pct"/>
            <w:vAlign w:val="center"/>
          </w:tcPr>
          <w:p w14:paraId="52974556">
            <w:pPr>
              <w:pStyle w:val="78"/>
            </w:pPr>
            <w:r>
              <w:t>/</w:t>
            </w:r>
          </w:p>
        </w:tc>
        <w:tc>
          <w:tcPr>
            <w:tcW w:w="857" w:type="pct"/>
            <w:vAlign w:val="center"/>
          </w:tcPr>
          <w:p w14:paraId="104BC697">
            <w:pPr>
              <w:pStyle w:val="78"/>
            </w:pPr>
            <w:r>
              <w:t>委托有资质单位外运</w:t>
            </w:r>
          </w:p>
        </w:tc>
      </w:tr>
      <w:tr w14:paraId="1AFB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FA87F4C">
            <w:pPr>
              <w:pStyle w:val="78"/>
            </w:pPr>
          </w:p>
        </w:tc>
        <w:tc>
          <w:tcPr>
            <w:tcW w:w="752" w:type="pct"/>
            <w:vMerge w:val="restart"/>
            <w:vAlign w:val="center"/>
          </w:tcPr>
          <w:p w14:paraId="6E2855BB">
            <w:pPr>
              <w:pStyle w:val="78"/>
            </w:pPr>
            <w:r>
              <w:t>生产区</w:t>
            </w:r>
          </w:p>
        </w:tc>
        <w:tc>
          <w:tcPr>
            <w:tcW w:w="301" w:type="pct"/>
            <w:vAlign w:val="center"/>
          </w:tcPr>
          <w:p w14:paraId="1C6DDFF2">
            <w:pPr>
              <w:pStyle w:val="78"/>
            </w:pPr>
            <w:r>
              <w:t>正常</w:t>
            </w:r>
          </w:p>
        </w:tc>
        <w:tc>
          <w:tcPr>
            <w:tcW w:w="270" w:type="pct"/>
            <w:vAlign w:val="center"/>
          </w:tcPr>
          <w:p w14:paraId="3E3507E1">
            <w:pPr>
              <w:pStyle w:val="78"/>
            </w:pPr>
            <w:r>
              <w:t>S</w:t>
            </w:r>
            <w:r>
              <w:rPr>
                <w:rFonts w:hint="eastAsia"/>
              </w:rPr>
              <w:t>7</w:t>
            </w:r>
          </w:p>
        </w:tc>
        <w:tc>
          <w:tcPr>
            <w:tcW w:w="907" w:type="pct"/>
            <w:vAlign w:val="center"/>
          </w:tcPr>
          <w:p w14:paraId="137C08B9">
            <w:pPr>
              <w:pStyle w:val="78"/>
            </w:pPr>
            <w:r>
              <w:t>设备检修</w:t>
            </w:r>
          </w:p>
        </w:tc>
        <w:tc>
          <w:tcPr>
            <w:tcW w:w="984" w:type="pct"/>
            <w:vAlign w:val="center"/>
          </w:tcPr>
          <w:p w14:paraId="18676DB6">
            <w:pPr>
              <w:pStyle w:val="78"/>
            </w:pPr>
            <w:r>
              <w:rPr>
                <w:rFonts w:hint="eastAsia"/>
                <w:szCs w:val="21"/>
              </w:rPr>
              <w:t>废机油</w:t>
            </w:r>
          </w:p>
        </w:tc>
        <w:tc>
          <w:tcPr>
            <w:tcW w:w="275" w:type="pct"/>
            <w:vAlign w:val="center"/>
          </w:tcPr>
          <w:p w14:paraId="52E8A40D">
            <w:pPr>
              <w:pStyle w:val="78"/>
            </w:pPr>
            <w:r>
              <w:t>6个月/次</w:t>
            </w:r>
          </w:p>
        </w:tc>
        <w:tc>
          <w:tcPr>
            <w:tcW w:w="344" w:type="pct"/>
            <w:vAlign w:val="center"/>
          </w:tcPr>
          <w:p w14:paraId="41EA64C2">
            <w:pPr>
              <w:pStyle w:val="78"/>
            </w:pPr>
            <w:r>
              <w:t>/</w:t>
            </w:r>
          </w:p>
        </w:tc>
        <w:tc>
          <w:tcPr>
            <w:tcW w:w="857" w:type="pct"/>
            <w:vAlign w:val="center"/>
          </w:tcPr>
          <w:p w14:paraId="58283EBE">
            <w:pPr>
              <w:pStyle w:val="78"/>
            </w:pPr>
            <w:r>
              <w:t>委托有资质单位外运</w:t>
            </w:r>
          </w:p>
        </w:tc>
      </w:tr>
      <w:tr w14:paraId="72BF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A9329C4">
            <w:pPr>
              <w:pStyle w:val="78"/>
            </w:pPr>
          </w:p>
        </w:tc>
        <w:tc>
          <w:tcPr>
            <w:tcW w:w="752" w:type="pct"/>
            <w:vMerge w:val="continue"/>
            <w:vAlign w:val="center"/>
          </w:tcPr>
          <w:p w14:paraId="0AB630ED">
            <w:pPr>
              <w:pStyle w:val="78"/>
            </w:pPr>
          </w:p>
        </w:tc>
        <w:tc>
          <w:tcPr>
            <w:tcW w:w="301" w:type="pct"/>
            <w:vAlign w:val="center"/>
          </w:tcPr>
          <w:p w14:paraId="0A7FBD15">
            <w:pPr>
              <w:pStyle w:val="78"/>
            </w:pPr>
            <w:r>
              <w:t>正常</w:t>
            </w:r>
          </w:p>
        </w:tc>
        <w:tc>
          <w:tcPr>
            <w:tcW w:w="270" w:type="pct"/>
            <w:vAlign w:val="center"/>
          </w:tcPr>
          <w:p w14:paraId="61857EF5">
            <w:pPr>
              <w:pStyle w:val="78"/>
            </w:pPr>
            <w:r>
              <w:t>S</w:t>
            </w:r>
            <w:r>
              <w:rPr>
                <w:rFonts w:hint="eastAsia"/>
              </w:rPr>
              <w:t>8</w:t>
            </w:r>
          </w:p>
        </w:tc>
        <w:tc>
          <w:tcPr>
            <w:tcW w:w="907" w:type="pct"/>
            <w:vAlign w:val="center"/>
          </w:tcPr>
          <w:p w14:paraId="59645CE9">
            <w:pPr>
              <w:pStyle w:val="78"/>
            </w:pPr>
            <w:r>
              <w:t>设备检修</w:t>
            </w:r>
          </w:p>
        </w:tc>
        <w:tc>
          <w:tcPr>
            <w:tcW w:w="984" w:type="pct"/>
            <w:vAlign w:val="center"/>
          </w:tcPr>
          <w:p w14:paraId="7A4D43A9">
            <w:pPr>
              <w:pStyle w:val="78"/>
            </w:pPr>
            <w:r>
              <w:rPr>
                <w:szCs w:val="21"/>
              </w:rPr>
              <w:t>废含油抹布手套</w:t>
            </w:r>
          </w:p>
        </w:tc>
        <w:tc>
          <w:tcPr>
            <w:tcW w:w="275" w:type="pct"/>
            <w:vAlign w:val="center"/>
          </w:tcPr>
          <w:p w14:paraId="0129B59E">
            <w:pPr>
              <w:pStyle w:val="78"/>
            </w:pPr>
            <w:r>
              <w:t>6个月/次</w:t>
            </w:r>
          </w:p>
        </w:tc>
        <w:tc>
          <w:tcPr>
            <w:tcW w:w="344" w:type="pct"/>
            <w:vAlign w:val="center"/>
          </w:tcPr>
          <w:p w14:paraId="38290E65">
            <w:pPr>
              <w:pStyle w:val="78"/>
            </w:pPr>
            <w:r>
              <w:t>/</w:t>
            </w:r>
          </w:p>
        </w:tc>
        <w:tc>
          <w:tcPr>
            <w:tcW w:w="857" w:type="pct"/>
            <w:vAlign w:val="center"/>
          </w:tcPr>
          <w:p w14:paraId="1A1A01AD">
            <w:pPr>
              <w:pStyle w:val="78"/>
            </w:pPr>
            <w:r>
              <w:t>委托有资质单位外运</w:t>
            </w:r>
          </w:p>
        </w:tc>
      </w:tr>
      <w:tr w14:paraId="4BCE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5483C79">
            <w:pPr>
              <w:pStyle w:val="78"/>
            </w:pPr>
          </w:p>
        </w:tc>
        <w:tc>
          <w:tcPr>
            <w:tcW w:w="752" w:type="pct"/>
            <w:vMerge w:val="restart"/>
            <w:vAlign w:val="center"/>
          </w:tcPr>
          <w:p w14:paraId="5F44A3FB">
            <w:pPr>
              <w:pStyle w:val="78"/>
            </w:pPr>
            <w:r>
              <w:t>实验室</w:t>
            </w:r>
          </w:p>
        </w:tc>
        <w:tc>
          <w:tcPr>
            <w:tcW w:w="301" w:type="pct"/>
            <w:vAlign w:val="center"/>
          </w:tcPr>
          <w:p w14:paraId="6753AC99">
            <w:pPr>
              <w:pStyle w:val="78"/>
            </w:pPr>
            <w:r>
              <w:t>正常</w:t>
            </w:r>
          </w:p>
        </w:tc>
        <w:tc>
          <w:tcPr>
            <w:tcW w:w="270" w:type="pct"/>
            <w:vAlign w:val="center"/>
          </w:tcPr>
          <w:p w14:paraId="10115050">
            <w:pPr>
              <w:pStyle w:val="78"/>
            </w:pPr>
            <w:r>
              <w:t>S</w:t>
            </w:r>
            <w:r>
              <w:rPr>
                <w:rFonts w:hint="eastAsia"/>
              </w:rPr>
              <w:t>9</w:t>
            </w:r>
          </w:p>
        </w:tc>
        <w:tc>
          <w:tcPr>
            <w:tcW w:w="907" w:type="pct"/>
            <w:vAlign w:val="center"/>
          </w:tcPr>
          <w:p w14:paraId="0342C1AB">
            <w:pPr>
              <w:pStyle w:val="78"/>
            </w:pPr>
            <w:r>
              <w:t>检测</w:t>
            </w:r>
          </w:p>
        </w:tc>
        <w:tc>
          <w:tcPr>
            <w:tcW w:w="984" w:type="pct"/>
            <w:vAlign w:val="center"/>
          </w:tcPr>
          <w:p w14:paraId="330C5DDE">
            <w:pPr>
              <w:pStyle w:val="78"/>
            </w:pPr>
            <w:r>
              <w:t>废化学试剂包装</w:t>
            </w:r>
          </w:p>
        </w:tc>
        <w:tc>
          <w:tcPr>
            <w:tcW w:w="275" w:type="pct"/>
            <w:vAlign w:val="center"/>
          </w:tcPr>
          <w:p w14:paraId="7C79CF96">
            <w:pPr>
              <w:pStyle w:val="78"/>
            </w:pPr>
            <w:r>
              <w:t>每周</w:t>
            </w:r>
          </w:p>
        </w:tc>
        <w:tc>
          <w:tcPr>
            <w:tcW w:w="344" w:type="pct"/>
            <w:vAlign w:val="center"/>
          </w:tcPr>
          <w:p w14:paraId="681D9856">
            <w:pPr>
              <w:pStyle w:val="78"/>
            </w:pPr>
            <w:r>
              <w:t>/</w:t>
            </w:r>
          </w:p>
        </w:tc>
        <w:tc>
          <w:tcPr>
            <w:tcW w:w="857" w:type="pct"/>
            <w:vAlign w:val="center"/>
          </w:tcPr>
          <w:p w14:paraId="526A1C58">
            <w:pPr>
              <w:pStyle w:val="78"/>
            </w:pPr>
            <w:r>
              <w:t>委托有资质单位外运</w:t>
            </w:r>
          </w:p>
        </w:tc>
      </w:tr>
      <w:tr w14:paraId="7DDE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0C23A12">
            <w:pPr>
              <w:pStyle w:val="78"/>
            </w:pPr>
          </w:p>
        </w:tc>
        <w:tc>
          <w:tcPr>
            <w:tcW w:w="752" w:type="pct"/>
            <w:vMerge w:val="continue"/>
            <w:vAlign w:val="center"/>
          </w:tcPr>
          <w:p w14:paraId="763A9742">
            <w:pPr>
              <w:pStyle w:val="78"/>
            </w:pPr>
          </w:p>
        </w:tc>
        <w:tc>
          <w:tcPr>
            <w:tcW w:w="301" w:type="pct"/>
            <w:vAlign w:val="center"/>
          </w:tcPr>
          <w:p w14:paraId="40C9AD32">
            <w:pPr>
              <w:pStyle w:val="78"/>
            </w:pPr>
            <w:r>
              <w:t>正常</w:t>
            </w:r>
          </w:p>
        </w:tc>
        <w:tc>
          <w:tcPr>
            <w:tcW w:w="270" w:type="pct"/>
            <w:vAlign w:val="center"/>
          </w:tcPr>
          <w:p w14:paraId="14063880">
            <w:pPr>
              <w:pStyle w:val="78"/>
            </w:pPr>
            <w:r>
              <w:rPr>
                <w:rFonts w:hint="eastAsia"/>
              </w:rPr>
              <w:t>S10</w:t>
            </w:r>
          </w:p>
        </w:tc>
        <w:tc>
          <w:tcPr>
            <w:tcW w:w="907" w:type="pct"/>
            <w:vAlign w:val="center"/>
          </w:tcPr>
          <w:p w14:paraId="4DB2381A">
            <w:pPr>
              <w:pStyle w:val="78"/>
            </w:pPr>
            <w:r>
              <w:t>检测</w:t>
            </w:r>
          </w:p>
        </w:tc>
        <w:tc>
          <w:tcPr>
            <w:tcW w:w="984" w:type="pct"/>
            <w:vAlign w:val="center"/>
          </w:tcPr>
          <w:p w14:paraId="491F20BA">
            <w:pPr>
              <w:pStyle w:val="78"/>
            </w:pPr>
            <w:r>
              <w:rPr>
                <w:szCs w:val="21"/>
              </w:rPr>
              <w:t>实验废液</w:t>
            </w:r>
          </w:p>
        </w:tc>
        <w:tc>
          <w:tcPr>
            <w:tcW w:w="275" w:type="pct"/>
            <w:vAlign w:val="center"/>
          </w:tcPr>
          <w:p w14:paraId="4A374CE5">
            <w:pPr>
              <w:pStyle w:val="78"/>
            </w:pPr>
            <w:r>
              <w:t>每周</w:t>
            </w:r>
          </w:p>
        </w:tc>
        <w:tc>
          <w:tcPr>
            <w:tcW w:w="344" w:type="pct"/>
            <w:vAlign w:val="center"/>
          </w:tcPr>
          <w:p w14:paraId="468DD86A">
            <w:pPr>
              <w:pStyle w:val="78"/>
            </w:pPr>
            <w:r>
              <w:t>/</w:t>
            </w:r>
          </w:p>
        </w:tc>
        <w:tc>
          <w:tcPr>
            <w:tcW w:w="857" w:type="pct"/>
            <w:vAlign w:val="center"/>
          </w:tcPr>
          <w:p w14:paraId="4AB43193">
            <w:pPr>
              <w:pStyle w:val="78"/>
            </w:pPr>
            <w:r>
              <w:t>委托有资质单位外运</w:t>
            </w:r>
          </w:p>
        </w:tc>
      </w:tr>
      <w:tr w14:paraId="4E2B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3310DCC">
            <w:pPr>
              <w:pStyle w:val="78"/>
            </w:pPr>
          </w:p>
        </w:tc>
        <w:tc>
          <w:tcPr>
            <w:tcW w:w="752" w:type="pct"/>
            <w:vAlign w:val="center"/>
          </w:tcPr>
          <w:p w14:paraId="6BEB31D5">
            <w:pPr>
              <w:pStyle w:val="78"/>
            </w:pPr>
            <w:r>
              <w:t>员工办公生活</w:t>
            </w:r>
          </w:p>
        </w:tc>
        <w:tc>
          <w:tcPr>
            <w:tcW w:w="301" w:type="pct"/>
            <w:vAlign w:val="center"/>
          </w:tcPr>
          <w:p w14:paraId="38E3B9B5">
            <w:pPr>
              <w:pStyle w:val="78"/>
            </w:pPr>
            <w:r>
              <w:t>正常</w:t>
            </w:r>
          </w:p>
        </w:tc>
        <w:tc>
          <w:tcPr>
            <w:tcW w:w="270" w:type="pct"/>
            <w:vAlign w:val="center"/>
          </w:tcPr>
          <w:p w14:paraId="13581C04">
            <w:pPr>
              <w:pStyle w:val="78"/>
            </w:pPr>
            <w:r>
              <w:rPr>
                <w:rFonts w:hint="eastAsia"/>
              </w:rPr>
              <w:t>S11</w:t>
            </w:r>
          </w:p>
        </w:tc>
        <w:tc>
          <w:tcPr>
            <w:tcW w:w="907" w:type="pct"/>
            <w:vAlign w:val="center"/>
          </w:tcPr>
          <w:p w14:paraId="36376EF7">
            <w:pPr>
              <w:pStyle w:val="78"/>
            </w:pPr>
            <w:r>
              <w:t>员工办公生活</w:t>
            </w:r>
          </w:p>
        </w:tc>
        <w:tc>
          <w:tcPr>
            <w:tcW w:w="984" w:type="pct"/>
            <w:vAlign w:val="center"/>
          </w:tcPr>
          <w:p w14:paraId="07A8C556">
            <w:pPr>
              <w:pStyle w:val="78"/>
              <w:rPr>
                <w:szCs w:val="21"/>
              </w:rPr>
            </w:pPr>
            <w:r>
              <w:t>生活垃圾</w:t>
            </w:r>
          </w:p>
        </w:tc>
        <w:tc>
          <w:tcPr>
            <w:tcW w:w="275" w:type="pct"/>
            <w:vAlign w:val="center"/>
          </w:tcPr>
          <w:p w14:paraId="70A73248">
            <w:pPr>
              <w:pStyle w:val="78"/>
            </w:pPr>
            <w:r>
              <w:t>每天</w:t>
            </w:r>
          </w:p>
        </w:tc>
        <w:tc>
          <w:tcPr>
            <w:tcW w:w="344" w:type="pct"/>
            <w:vAlign w:val="center"/>
          </w:tcPr>
          <w:p w14:paraId="5940DD48">
            <w:pPr>
              <w:pStyle w:val="78"/>
            </w:pPr>
            <w:r>
              <w:t>/</w:t>
            </w:r>
          </w:p>
        </w:tc>
        <w:tc>
          <w:tcPr>
            <w:tcW w:w="857" w:type="pct"/>
            <w:vAlign w:val="center"/>
          </w:tcPr>
          <w:p w14:paraId="2875E701">
            <w:pPr>
              <w:pStyle w:val="78"/>
            </w:pPr>
            <w:r>
              <w:t>交由园区环卫部门外运</w:t>
            </w:r>
          </w:p>
        </w:tc>
      </w:tr>
      <w:tr w14:paraId="53CC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01A3CCD7">
            <w:pPr>
              <w:pStyle w:val="78"/>
            </w:pPr>
          </w:p>
        </w:tc>
        <w:tc>
          <w:tcPr>
            <w:tcW w:w="752" w:type="pct"/>
            <w:vAlign w:val="center"/>
          </w:tcPr>
          <w:p w14:paraId="03F6045D">
            <w:pPr>
              <w:pStyle w:val="78"/>
            </w:pPr>
            <w:r>
              <w:rPr>
                <w:rFonts w:hint="eastAsia"/>
              </w:rPr>
              <w:t>除盐水站</w:t>
            </w:r>
          </w:p>
        </w:tc>
        <w:tc>
          <w:tcPr>
            <w:tcW w:w="301" w:type="pct"/>
            <w:vAlign w:val="center"/>
          </w:tcPr>
          <w:p w14:paraId="1012165E">
            <w:pPr>
              <w:pStyle w:val="78"/>
            </w:pPr>
            <w:r>
              <w:rPr>
                <w:rFonts w:hint="eastAsia"/>
              </w:rPr>
              <w:t>正常</w:t>
            </w:r>
          </w:p>
        </w:tc>
        <w:tc>
          <w:tcPr>
            <w:tcW w:w="270" w:type="pct"/>
            <w:vAlign w:val="center"/>
          </w:tcPr>
          <w:p w14:paraId="20F0C410">
            <w:pPr>
              <w:pStyle w:val="78"/>
            </w:pPr>
            <w:r>
              <w:t>S</w:t>
            </w:r>
            <w:r>
              <w:rPr>
                <w:rFonts w:hint="eastAsia"/>
              </w:rPr>
              <w:t>13</w:t>
            </w:r>
          </w:p>
        </w:tc>
        <w:tc>
          <w:tcPr>
            <w:tcW w:w="907" w:type="pct"/>
            <w:vAlign w:val="center"/>
          </w:tcPr>
          <w:p w14:paraId="4F9E5EF4">
            <w:pPr>
              <w:pStyle w:val="78"/>
            </w:pPr>
            <w:r>
              <w:rPr>
                <w:rFonts w:hint="eastAsia"/>
              </w:rPr>
              <w:t>除盐水制备</w:t>
            </w:r>
          </w:p>
        </w:tc>
        <w:tc>
          <w:tcPr>
            <w:tcW w:w="984" w:type="pct"/>
            <w:vAlign w:val="center"/>
          </w:tcPr>
          <w:p w14:paraId="09AD8B17">
            <w:pPr>
              <w:pStyle w:val="78"/>
            </w:pPr>
            <w:r>
              <w:rPr>
                <w:rFonts w:hint="eastAsia"/>
              </w:rPr>
              <w:t>废过滤膜</w:t>
            </w:r>
          </w:p>
        </w:tc>
        <w:tc>
          <w:tcPr>
            <w:tcW w:w="275" w:type="pct"/>
            <w:vAlign w:val="center"/>
          </w:tcPr>
          <w:p w14:paraId="61BD99AA">
            <w:pPr>
              <w:pStyle w:val="78"/>
            </w:pPr>
            <w:r>
              <w:rPr>
                <w:rFonts w:hint="eastAsia"/>
              </w:rPr>
              <w:t>1</w:t>
            </w:r>
            <w:r>
              <w:t>年/次</w:t>
            </w:r>
          </w:p>
        </w:tc>
        <w:tc>
          <w:tcPr>
            <w:tcW w:w="344" w:type="pct"/>
            <w:vAlign w:val="center"/>
          </w:tcPr>
          <w:p w14:paraId="41BD0452">
            <w:pPr>
              <w:pStyle w:val="78"/>
            </w:pPr>
            <w:r>
              <w:t>/</w:t>
            </w:r>
          </w:p>
        </w:tc>
        <w:tc>
          <w:tcPr>
            <w:tcW w:w="857" w:type="pct"/>
            <w:vAlign w:val="center"/>
          </w:tcPr>
          <w:p w14:paraId="0B5B9768">
            <w:pPr>
              <w:pStyle w:val="78"/>
            </w:pPr>
            <w:r>
              <w:t>交由资源回收单位外运</w:t>
            </w:r>
          </w:p>
        </w:tc>
      </w:tr>
      <w:tr w14:paraId="33D7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AFC399C">
            <w:pPr>
              <w:pStyle w:val="78"/>
            </w:pPr>
          </w:p>
        </w:tc>
        <w:tc>
          <w:tcPr>
            <w:tcW w:w="752" w:type="pct"/>
            <w:vAlign w:val="center"/>
          </w:tcPr>
          <w:p w14:paraId="193B0924">
            <w:pPr>
              <w:pStyle w:val="78"/>
            </w:pPr>
            <w:r>
              <w:rPr>
                <w:rFonts w:hint="eastAsia"/>
                <w:bCs/>
                <w:color w:val="000000" w:themeColor="text1"/>
                <w14:textFill>
                  <w14:solidFill>
                    <w14:schemeClr w14:val="tx1"/>
                  </w14:solidFill>
                </w14:textFill>
              </w:rPr>
              <w:t>装卸设施油气回收</w:t>
            </w:r>
          </w:p>
        </w:tc>
        <w:tc>
          <w:tcPr>
            <w:tcW w:w="301" w:type="pct"/>
            <w:vAlign w:val="center"/>
          </w:tcPr>
          <w:p w14:paraId="08DA5A09">
            <w:pPr>
              <w:pStyle w:val="78"/>
            </w:pPr>
            <w:r>
              <w:rPr>
                <w:rFonts w:hint="eastAsia"/>
                <w:bCs/>
                <w:color w:val="000000" w:themeColor="text1"/>
                <w14:textFill>
                  <w14:solidFill>
                    <w14:schemeClr w14:val="tx1"/>
                  </w14:solidFill>
                </w14:textFill>
              </w:rPr>
              <w:t>正常</w:t>
            </w:r>
          </w:p>
        </w:tc>
        <w:tc>
          <w:tcPr>
            <w:tcW w:w="270" w:type="pct"/>
            <w:vAlign w:val="center"/>
          </w:tcPr>
          <w:p w14:paraId="3BBCC856">
            <w:pPr>
              <w:pStyle w:val="78"/>
            </w:pPr>
            <w:r>
              <w:rPr>
                <w:rFonts w:hint="eastAsia"/>
                <w:bCs/>
                <w:color w:val="000000" w:themeColor="text1"/>
                <w14:textFill>
                  <w14:solidFill>
                    <w14:schemeClr w14:val="tx1"/>
                  </w14:solidFill>
                </w14:textFill>
              </w:rPr>
              <w:t>S15</w:t>
            </w:r>
          </w:p>
        </w:tc>
        <w:tc>
          <w:tcPr>
            <w:tcW w:w="907" w:type="pct"/>
            <w:vAlign w:val="center"/>
          </w:tcPr>
          <w:p w14:paraId="545E6681">
            <w:pPr>
              <w:pStyle w:val="78"/>
            </w:pPr>
            <w:r>
              <w:rPr>
                <w:rFonts w:hint="eastAsia"/>
                <w:bCs/>
                <w:color w:val="000000" w:themeColor="text1"/>
                <w14:textFill>
                  <w14:solidFill>
                    <w14:schemeClr w14:val="tx1"/>
                  </w14:solidFill>
                </w14:textFill>
              </w:rPr>
              <w:t>PAS变压吸附</w:t>
            </w:r>
          </w:p>
        </w:tc>
        <w:tc>
          <w:tcPr>
            <w:tcW w:w="984" w:type="pct"/>
            <w:vAlign w:val="center"/>
          </w:tcPr>
          <w:p w14:paraId="448F45D8">
            <w:pPr>
              <w:pStyle w:val="78"/>
            </w:pPr>
            <w:r>
              <w:rPr>
                <w:rFonts w:hint="eastAsia"/>
                <w:bCs/>
                <w:color w:val="000000" w:themeColor="text1"/>
                <w14:textFill>
                  <w14:solidFill>
                    <w14:schemeClr w14:val="tx1"/>
                  </w14:solidFill>
                </w14:textFill>
              </w:rPr>
              <w:t>废吸附剂</w:t>
            </w:r>
          </w:p>
        </w:tc>
        <w:tc>
          <w:tcPr>
            <w:tcW w:w="275" w:type="pct"/>
            <w:vAlign w:val="center"/>
          </w:tcPr>
          <w:p w14:paraId="47774749">
            <w:pPr>
              <w:pStyle w:val="78"/>
            </w:pPr>
            <w:r>
              <w:rPr>
                <w:rFonts w:hint="eastAsia"/>
                <w:bCs/>
                <w:color w:val="000000" w:themeColor="text1"/>
                <w:szCs w:val="21"/>
                <w14:textFill>
                  <w14:solidFill>
                    <w14:schemeClr w14:val="tx1"/>
                  </w14:solidFill>
                </w14:textFill>
              </w:rPr>
              <w:t>5年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45F690DD">
            <w:pPr>
              <w:pStyle w:val="78"/>
            </w:pPr>
            <w:r>
              <w:rPr>
                <w:rFonts w:hint="eastAsia"/>
                <w:bCs/>
                <w:color w:val="000000" w:themeColor="text1"/>
                <w14:textFill>
                  <w14:solidFill>
                    <w14:schemeClr w14:val="tx1"/>
                  </w14:solidFill>
                </w14:textFill>
              </w:rPr>
              <w:t>/</w:t>
            </w:r>
          </w:p>
        </w:tc>
        <w:tc>
          <w:tcPr>
            <w:tcW w:w="857" w:type="pct"/>
            <w:vAlign w:val="center"/>
          </w:tcPr>
          <w:p w14:paraId="1F2043DB">
            <w:pPr>
              <w:pStyle w:val="78"/>
            </w:pPr>
            <w:r>
              <w:rPr>
                <w:bCs/>
                <w:color w:val="000000" w:themeColor="text1"/>
                <w14:textFill>
                  <w14:solidFill>
                    <w14:schemeClr w14:val="tx1"/>
                  </w14:solidFill>
                </w14:textFill>
              </w:rPr>
              <w:t>委托有资质单位外运</w:t>
            </w:r>
          </w:p>
        </w:tc>
      </w:tr>
      <w:tr w14:paraId="63F7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D9F3A3A">
            <w:pPr>
              <w:pStyle w:val="78"/>
            </w:pPr>
          </w:p>
        </w:tc>
        <w:tc>
          <w:tcPr>
            <w:tcW w:w="752" w:type="pct"/>
            <w:vAlign w:val="center"/>
          </w:tcPr>
          <w:p w14:paraId="6089C8AA">
            <w:pPr>
              <w:pStyle w:val="78"/>
            </w:pPr>
            <w:r>
              <w:rPr>
                <w:rFonts w:hint="eastAsia"/>
                <w:bCs/>
                <w:color w:val="000000" w:themeColor="text1"/>
                <w14:textFill>
                  <w14:solidFill>
                    <w14:schemeClr w14:val="tx1"/>
                  </w14:solidFill>
                </w14:textFill>
              </w:rPr>
              <w:t>低浓度废水提升泵站</w:t>
            </w:r>
          </w:p>
        </w:tc>
        <w:tc>
          <w:tcPr>
            <w:tcW w:w="301" w:type="pct"/>
            <w:vAlign w:val="center"/>
          </w:tcPr>
          <w:p w14:paraId="20E41CDE">
            <w:pPr>
              <w:pStyle w:val="78"/>
            </w:pPr>
            <w:r>
              <w:rPr>
                <w:rFonts w:hint="eastAsia"/>
                <w:bCs/>
                <w:color w:val="000000" w:themeColor="text1"/>
                <w14:textFill>
                  <w14:solidFill>
                    <w14:schemeClr w14:val="tx1"/>
                  </w14:solidFill>
                </w14:textFill>
              </w:rPr>
              <w:t>正常</w:t>
            </w:r>
          </w:p>
        </w:tc>
        <w:tc>
          <w:tcPr>
            <w:tcW w:w="270" w:type="pct"/>
            <w:vAlign w:val="center"/>
          </w:tcPr>
          <w:p w14:paraId="6A3434D5">
            <w:pPr>
              <w:pStyle w:val="78"/>
            </w:pPr>
            <w:r>
              <w:rPr>
                <w:rFonts w:hint="eastAsia"/>
                <w:bCs/>
                <w:color w:val="000000" w:themeColor="text1"/>
                <w14:textFill>
                  <w14:solidFill>
                    <w14:schemeClr w14:val="tx1"/>
                  </w14:solidFill>
                </w14:textFill>
              </w:rPr>
              <w:t>S16</w:t>
            </w:r>
          </w:p>
        </w:tc>
        <w:tc>
          <w:tcPr>
            <w:tcW w:w="907" w:type="pct"/>
            <w:vAlign w:val="center"/>
          </w:tcPr>
          <w:p w14:paraId="6FDBB474">
            <w:pPr>
              <w:pStyle w:val="78"/>
            </w:pPr>
            <w:r>
              <w:rPr>
                <w:rFonts w:hint="eastAsia"/>
                <w:bCs/>
                <w:color w:val="000000" w:themeColor="text1"/>
                <w14:textFill>
                  <w14:solidFill>
                    <w14:schemeClr w14:val="tx1"/>
                  </w14:solidFill>
                </w14:textFill>
              </w:rPr>
              <w:t>废气处理</w:t>
            </w:r>
          </w:p>
        </w:tc>
        <w:tc>
          <w:tcPr>
            <w:tcW w:w="984" w:type="pct"/>
            <w:vAlign w:val="center"/>
          </w:tcPr>
          <w:p w14:paraId="5AA6C79E">
            <w:pPr>
              <w:pStyle w:val="78"/>
            </w:pPr>
            <w:r>
              <w:rPr>
                <w:bCs/>
                <w:color w:val="000000" w:themeColor="text1"/>
                <w14:textFill>
                  <w14:solidFill>
                    <w14:schemeClr w14:val="tx1"/>
                  </w14:solidFill>
                </w14:textFill>
              </w:rPr>
              <w:t>废活性炭</w:t>
            </w:r>
          </w:p>
        </w:tc>
        <w:tc>
          <w:tcPr>
            <w:tcW w:w="275" w:type="pct"/>
            <w:vAlign w:val="center"/>
          </w:tcPr>
          <w:p w14:paraId="4B44CD71">
            <w:pPr>
              <w:pStyle w:val="78"/>
            </w:pPr>
            <w:r>
              <w:rPr>
                <w:rFonts w:hint="eastAsia"/>
                <w:bCs/>
                <w:color w:val="000000" w:themeColor="text1"/>
                <w:szCs w:val="21"/>
                <w14:textFill>
                  <w14:solidFill>
                    <w14:schemeClr w14:val="tx1"/>
                  </w14:solidFill>
                </w14:textFill>
              </w:rPr>
              <w:t>0.5年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298A481C">
            <w:pPr>
              <w:pStyle w:val="78"/>
            </w:pPr>
            <w:r>
              <w:rPr>
                <w:rFonts w:hint="eastAsia"/>
                <w:bCs/>
                <w:color w:val="000000" w:themeColor="text1"/>
                <w14:textFill>
                  <w14:solidFill>
                    <w14:schemeClr w14:val="tx1"/>
                  </w14:solidFill>
                </w14:textFill>
              </w:rPr>
              <w:t>/</w:t>
            </w:r>
          </w:p>
        </w:tc>
        <w:tc>
          <w:tcPr>
            <w:tcW w:w="857" w:type="pct"/>
            <w:vAlign w:val="center"/>
          </w:tcPr>
          <w:p w14:paraId="38FD2EC4">
            <w:pPr>
              <w:pStyle w:val="78"/>
            </w:pPr>
            <w:r>
              <w:rPr>
                <w:bCs/>
                <w:color w:val="000000" w:themeColor="text1"/>
                <w14:textFill>
                  <w14:solidFill>
                    <w14:schemeClr w14:val="tx1"/>
                  </w14:solidFill>
                </w14:textFill>
              </w:rPr>
              <w:t>委托有资质单位外运</w:t>
            </w:r>
          </w:p>
        </w:tc>
      </w:tr>
      <w:tr w14:paraId="2150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A04A5E2">
            <w:pPr>
              <w:pStyle w:val="78"/>
            </w:pPr>
          </w:p>
        </w:tc>
        <w:tc>
          <w:tcPr>
            <w:tcW w:w="752" w:type="pct"/>
            <w:vAlign w:val="center"/>
          </w:tcPr>
          <w:p w14:paraId="5F5CA977">
            <w:pPr>
              <w:pStyle w:val="78"/>
            </w:pPr>
            <w:r>
              <w:rPr>
                <w:rFonts w:hint="eastAsia"/>
                <w:bCs/>
                <w:color w:val="000000" w:themeColor="text1"/>
                <w14:textFill>
                  <w14:solidFill>
                    <w14:schemeClr w14:val="tx1"/>
                  </w14:solidFill>
                </w14:textFill>
              </w:rPr>
              <w:t>危废间</w:t>
            </w:r>
          </w:p>
        </w:tc>
        <w:tc>
          <w:tcPr>
            <w:tcW w:w="301" w:type="pct"/>
            <w:vAlign w:val="center"/>
          </w:tcPr>
          <w:p w14:paraId="00DE1652">
            <w:pPr>
              <w:pStyle w:val="78"/>
            </w:pPr>
            <w:r>
              <w:rPr>
                <w:rFonts w:hint="eastAsia"/>
                <w:bCs/>
                <w:color w:val="000000" w:themeColor="text1"/>
                <w14:textFill>
                  <w14:solidFill>
                    <w14:schemeClr w14:val="tx1"/>
                  </w14:solidFill>
                </w14:textFill>
              </w:rPr>
              <w:t>正常</w:t>
            </w:r>
          </w:p>
        </w:tc>
        <w:tc>
          <w:tcPr>
            <w:tcW w:w="270" w:type="pct"/>
            <w:vAlign w:val="center"/>
          </w:tcPr>
          <w:p w14:paraId="630B0454">
            <w:pPr>
              <w:pStyle w:val="78"/>
            </w:pPr>
            <w:r>
              <w:rPr>
                <w:rFonts w:hint="eastAsia"/>
                <w:bCs/>
                <w:color w:val="000000" w:themeColor="text1"/>
                <w14:textFill>
                  <w14:solidFill>
                    <w14:schemeClr w14:val="tx1"/>
                  </w14:solidFill>
                </w14:textFill>
              </w:rPr>
              <w:t>S17</w:t>
            </w:r>
          </w:p>
        </w:tc>
        <w:tc>
          <w:tcPr>
            <w:tcW w:w="907" w:type="pct"/>
            <w:vAlign w:val="center"/>
          </w:tcPr>
          <w:p w14:paraId="38B201BA">
            <w:pPr>
              <w:pStyle w:val="78"/>
            </w:pPr>
            <w:r>
              <w:rPr>
                <w:rFonts w:hint="eastAsia"/>
                <w:bCs/>
                <w:color w:val="000000" w:themeColor="text1"/>
                <w14:textFill>
                  <w14:solidFill>
                    <w14:schemeClr w14:val="tx1"/>
                  </w14:solidFill>
                </w14:textFill>
              </w:rPr>
              <w:t>废气处理</w:t>
            </w:r>
          </w:p>
        </w:tc>
        <w:tc>
          <w:tcPr>
            <w:tcW w:w="984" w:type="pct"/>
            <w:vAlign w:val="center"/>
          </w:tcPr>
          <w:p w14:paraId="1FF92180">
            <w:pPr>
              <w:pStyle w:val="78"/>
            </w:pPr>
            <w:r>
              <w:rPr>
                <w:bCs/>
                <w:color w:val="000000" w:themeColor="text1"/>
                <w14:textFill>
                  <w14:solidFill>
                    <w14:schemeClr w14:val="tx1"/>
                  </w14:solidFill>
                </w14:textFill>
              </w:rPr>
              <w:t>废活性炭</w:t>
            </w:r>
          </w:p>
        </w:tc>
        <w:tc>
          <w:tcPr>
            <w:tcW w:w="275" w:type="pct"/>
            <w:vAlign w:val="center"/>
          </w:tcPr>
          <w:p w14:paraId="3386F8AD">
            <w:pPr>
              <w:pStyle w:val="78"/>
            </w:pPr>
            <w:r>
              <w:rPr>
                <w:rFonts w:hint="eastAsia"/>
                <w:bCs/>
                <w:color w:val="000000" w:themeColor="text1"/>
                <w:szCs w:val="21"/>
                <w14:textFill>
                  <w14:solidFill>
                    <w14:schemeClr w14:val="tx1"/>
                  </w14:solidFill>
                </w14:textFill>
              </w:rPr>
              <w:t>1年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5BFEE222">
            <w:pPr>
              <w:pStyle w:val="78"/>
            </w:pPr>
            <w:r>
              <w:rPr>
                <w:rFonts w:hint="eastAsia"/>
                <w:bCs/>
                <w:color w:val="000000" w:themeColor="text1"/>
                <w14:textFill>
                  <w14:solidFill>
                    <w14:schemeClr w14:val="tx1"/>
                  </w14:solidFill>
                </w14:textFill>
              </w:rPr>
              <w:t>/</w:t>
            </w:r>
          </w:p>
        </w:tc>
        <w:tc>
          <w:tcPr>
            <w:tcW w:w="857" w:type="pct"/>
            <w:vAlign w:val="center"/>
          </w:tcPr>
          <w:p w14:paraId="5C3611A9">
            <w:pPr>
              <w:pStyle w:val="78"/>
            </w:pPr>
            <w:r>
              <w:rPr>
                <w:bCs/>
                <w:color w:val="000000" w:themeColor="text1"/>
                <w14:textFill>
                  <w14:solidFill>
                    <w14:schemeClr w14:val="tx1"/>
                  </w14:solidFill>
                </w14:textFill>
              </w:rPr>
              <w:t>委托有资质单位外运</w:t>
            </w:r>
          </w:p>
        </w:tc>
      </w:tr>
      <w:tr w14:paraId="70AF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22E77E5E">
            <w:pPr>
              <w:pStyle w:val="78"/>
            </w:pPr>
            <w:r>
              <w:t>噪声</w:t>
            </w:r>
          </w:p>
        </w:tc>
        <w:tc>
          <w:tcPr>
            <w:tcW w:w="752" w:type="pct"/>
            <w:vMerge w:val="restart"/>
            <w:vAlign w:val="center"/>
          </w:tcPr>
          <w:p w14:paraId="25E79F5C">
            <w:pPr>
              <w:pStyle w:val="78"/>
            </w:pPr>
            <w:r>
              <w:t>各单元</w:t>
            </w:r>
          </w:p>
        </w:tc>
        <w:tc>
          <w:tcPr>
            <w:tcW w:w="301" w:type="pct"/>
            <w:vAlign w:val="center"/>
          </w:tcPr>
          <w:p w14:paraId="41D963A3">
            <w:pPr>
              <w:pStyle w:val="78"/>
            </w:pPr>
            <w:r>
              <w:t>正常</w:t>
            </w:r>
          </w:p>
        </w:tc>
        <w:tc>
          <w:tcPr>
            <w:tcW w:w="270" w:type="pct"/>
            <w:vAlign w:val="center"/>
          </w:tcPr>
          <w:p w14:paraId="4BD04E8A">
            <w:pPr>
              <w:pStyle w:val="78"/>
            </w:pPr>
            <w:r>
              <w:t>N1</w:t>
            </w:r>
          </w:p>
        </w:tc>
        <w:tc>
          <w:tcPr>
            <w:tcW w:w="907" w:type="pct"/>
            <w:vAlign w:val="center"/>
          </w:tcPr>
          <w:p w14:paraId="1161D44F">
            <w:pPr>
              <w:pStyle w:val="78"/>
            </w:pPr>
            <w:r>
              <w:t>工艺设备</w:t>
            </w:r>
          </w:p>
        </w:tc>
        <w:tc>
          <w:tcPr>
            <w:tcW w:w="984" w:type="pct"/>
            <w:vAlign w:val="center"/>
          </w:tcPr>
          <w:p w14:paraId="711A9BCF">
            <w:pPr>
              <w:pStyle w:val="78"/>
            </w:pPr>
            <w:r>
              <w:rPr>
                <w:szCs w:val="21"/>
              </w:rPr>
              <w:t>等效连续A声级</w:t>
            </w:r>
          </w:p>
        </w:tc>
        <w:tc>
          <w:tcPr>
            <w:tcW w:w="275" w:type="pct"/>
            <w:vAlign w:val="center"/>
          </w:tcPr>
          <w:p w14:paraId="24D84E7C">
            <w:pPr>
              <w:pStyle w:val="78"/>
            </w:pPr>
            <w:r>
              <w:t>连续</w:t>
            </w:r>
          </w:p>
        </w:tc>
        <w:tc>
          <w:tcPr>
            <w:tcW w:w="344" w:type="pct"/>
          </w:tcPr>
          <w:p w14:paraId="1947AF4F">
            <w:pPr>
              <w:pStyle w:val="78"/>
            </w:pPr>
            <w:r>
              <w:t>/</w:t>
            </w:r>
          </w:p>
        </w:tc>
        <w:tc>
          <w:tcPr>
            <w:tcW w:w="857" w:type="pct"/>
            <w:vAlign w:val="center"/>
          </w:tcPr>
          <w:p w14:paraId="6E1D2F61">
            <w:pPr>
              <w:pStyle w:val="78"/>
            </w:pPr>
            <w:r>
              <w:t>减振、隔声</w:t>
            </w:r>
          </w:p>
        </w:tc>
      </w:tr>
      <w:tr w14:paraId="5E27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BA431B7">
            <w:pPr>
              <w:pStyle w:val="78"/>
            </w:pPr>
          </w:p>
        </w:tc>
        <w:tc>
          <w:tcPr>
            <w:tcW w:w="752" w:type="pct"/>
            <w:vMerge w:val="continue"/>
            <w:vAlign w:val="center"/>
          </w:tcPr>
          <w:p w14:paraId="0513F6B3">
            <w:pPr>
              <w:pStyle w:val="78"/>
            </w:pPr>
          </w:p>
        </w:tc>
        <w:tc>
          <w:tcPr>
            <w:tcW w:w="301" w:type="pct"/>
            <w:vAlign w:val="center"/>
          </w:tcPr>
          <w:p w14:paraId="69EBF3DC">
            <w:pPr>
              <w:pStyle w:val="78"/>
            </w:pPr>
            <w:r>
              <w:t>正常</w:t>
            </w:r>
          </w:p>
        </w:tc>
        <w:tc>
          <w:tcPr>
            <w:tcW w:w="270" w:type="pct"/>
            <w:vAlign w:val="center"/>
          </w:tcPr>
          <w:p w14:paraId="1BF74007">
            <w:pPr>
              <w:pStyle w:val="78"/>
            </w:pPr>
            <w:r>
              <w:t>N2</w:t>
            </w:r>
          </w:p>
        </w:tc>
        <w:tc>
          <w:tcPr>
            <w:tcW w:w="907" w:type="pct"/>
            <w:vAlign w:val="center"/>
          </w:tcPr>
          <w:p w14:paraId="775FFEBE">
            <w:pPr>
              <w:pStyle w:val="78"/>
            </w:pPr>
            <w:r>
              <w:rPr>
                <w:szCs w:val="21"/>
              </w:rPr>
              <w:t>各类风机</w:t>
            </w:r>
          </w:p>
        </w:tc>
        <w:tc>
          <w:tcPr>
            <w:tcW w:w="984" w:type="pct"/>
            <w:vAlign w:val="center"/>
          </w:tcPr>
          <w:p w14:paraId="38BCB3B0">
            <w:pPr>
              <w:pStyle w:val="78"/>
            </w:pPr>
            <w:r>
              <w:rPr>
                <w:szCs w:val="21"/>
              </w:rPr>
              <w:t>等效连续A声级</w:t>
            </w:r>
          </w:p>
        </w:tc>
        <w:tc>
          <w:tcPr>
            <w:tcW w:w="275" w:type="pct"/>
            <w:vAlign w:val="center"/>
          </w:tcPr>
          <w:p w14:paraId="3A4639BC">
            <w:pPr>
              <w:pStyle w:val="78"/>
            </w:pPr>
            <w:r>
              <w:t>连续</w:t>
            </w:r>
          </w:p>
        </w:tc>
        <w:tc>
          <w:tcPr>
            <w:tcW w:w="344" w:type="pct"/>
          </w:tcPr>
          <w:p w14:paraId="3321B01F">
            <w:pPr>
              <w:pStyle w:val="78"/>
            </w:pPr>
            <w:r>
              <w:t>/</w:t>
            </w:r>
          </w:p>
        </w:tc>
        <w:tc>
          <w:tcPr>
            <w:tcW w:w="857" w:type="pct"/>
            <w:vAlign w:val="center"/>
          </w:tcPr>
          <w:p w14:paraId="2E6E7266">
            <w:pPr>
              <w:pStyle w:val="78"/>
            </w:pPr>
            <w:r>
              <w:t>消声、隔声</w:t>
            </w:r>
          </w:p>
        </w:tc>
      </w:tr>
      <w:tr w14:paraId="1E73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D102D7B">
            <w:pPr>
              <w:pStyle w:val="78"/>
            </w:pPr>
          </w:p>
        </w:tc>
        <w:tc>
          <w:tcPr>
            <w:tcW w:w="752" w:type="pct"/>
            <w:vMerge w:val="continue"/>
            <w:vAlign w:val="center"/>
          </w:tcPr>
          <w:p w14:paraId="60AD8007">
            <w:pPr>
              <w:pStyle w:val="78"/>
            </w:pPr>
          </w:p>
        </w:tc>
        <w:tc>
          <w:tcPr>
            <w:tcW w:w="301" w:type="pct"/>
            <w:vAlign w:val="center"/>
          </w:tcPr>
          <w:p w14:paraId="7B157D28">
            <w:pPr>
              <w:pStyle w:val="78"/>
            </w:pPr>
            <w:r>
              <w:t>正常</w:t>
            </w:r>
          </w:p>
        </w:tc>
        <w:tc>
          <w:tcPr>
            <w:tcW w:w="270" w:type="pct"/>
            <w:vAlign w:val="center"/>
          </w:tcPr>
          <w:p w14:paraId="026F67F6">
            <w:pPr>
              <w:pStyle w:val="78"/>
            </w:pPr>
            <w:r>
              <w:t>N3</w:t>
            </w:r>
          </w:p>
        </w:tc>
        <w:tc>
          <w:tcPr>
            <w:tcW w:w="907" w:type="pct"/>
            <w:vAlign w:val="center"/>
          </w:tcPr>
          <w:p w14:paraId="06F408BC">
            <w:pPr>
              <w:pStyle w:val="78"/>
            </w:pPr>
            <w:r>
              <w:rPr>
                <w:szCs w:val="21"/>
              </w:rPr>
              <w:t>各类泵</w:t>
            </w:r>
          </w:p>
        </w:tc>
        <w:tc>
          <w:tcPr>
            <w:tcW w:w="984" w:type="pct"/>
          </w:tcPr>
          <w:p w14:paraId="5AFFC8E6">
            <w:pPr>
              <w:pStyle w:val="78"/>
            </w:pPr>
            <w:r>
              <w:rPr>
                <w:szCs w:val="21"/>
              </w:rPr>
              <w:t>等效连续A声级</w:t>
            </w:r>
          </w:p>
        </w:tc>
        <w:tc>
          <w:tcPr>
            <w:tcW w:w="275" w:type="pct"/>
            <w:vAlign w:val="center"/>
          </w:tcPr>
          <w:p w14:paraId="21CAFDA8">
            <w:pPr>
              <w:pStyle w:val="78"/>
            </w:pPr>
            <w:r>
              <w:t>连续</w:t>
            </w:r>
          </w:p>
        </w:tc>
        <w:tc>
          <w:tcPr>
            <w:tcW w:w="344" w:type="pct"/>
          </w:tcPr>
          <w:p w14:paraId="0371E5FC">
            <w:pPr>
              <w:pStyle w:val="78"/>
            </w:pPr>
            <w:r>
              <w:t>/</w:t>
            </w:r>
          </w:p>
        </w:tc>
        <w:tc>
          <w:tcPr>
            <w:tcW w:w="857" w:type="pct"/>
            <w:vAlign w:val="center"/>
          </w:tcPr>
          <w:p w14:paraId="4390A0C1">
            <w:pPr>
              <w:pStyle w:val="78"/>
            </w:pPr>
            <w:r>
              <w:t>减振、隔声</w:t>
            </w:r>
          </w:p>
        </w:tc>
      </w:tr>
      <w:tr w14:paraId="7D93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040C830">
            <w:pPr>
              <w:pStyle w:val="78"/>
            </w:pPr>
          </w:p>
        </w:tc>
        <w:tc>
          <w:tcPr>
            <w:tcW w:w="752" w:type="pct"/>
            <w:vMerge w:val="continue"/>
            <w:vAlign w:val="center"/>
          </w:tcPr>
          <w:p w14:paraId="304CD00D">
            <w:pPr>
              <w:pStyle w:val="78"/>
            </w:pPr>
          </w:p>
        </w:tc>
        <w:tc>
          <w:tcPr>
            <w:tcW w:w="301" w:type="pct"/>
            <w:vAlign w:val="center"/>
          </w:tcPr>
          <w:p w14:paraId="0DD64ACF">
            <w:pPr>
              <w:pStyle w:val="78"/>
            </w:pPr>
            <w:r>
              <w:t>正常</w:t>
            </w:r>
          </w:p>
        </w:tc>
        <w:tc>
          <w:tcPr>
            <w:tcW w:w="270" w:type="pct"/>
            <w:vAlign w:val="center"/>
          </w:tcPr>
          <w:p w14:paraId="710090A2">
            <w:pPr>
              <w:pStyle w:val="78"/>
            </w:pPr>
            <w:r>
              <w:t>N4</w:t>
            </w:r>
          </w:p>
        </w:tc>
        <w:tc>
          <w:tcPr>
            <w:tcW w:w="907" w:type="pct"/>
            <w:vAlign w:val="center"/>
          </w:tcPr>
          <w:p w14:paraId="3DB981DA">
            <w:pPr>
              <w:pStyle w:val="78"/>
            </w:pPr>
            <w:r>
              <w:rPr>
                <w:szCs w:val="21"/>
              </w:rPr>
              <w:t>冷却</w:t>
            </w:r>
            <w:r>
              <w:rPr>
                <w:rFonts w:hint="eastAsia"/>
                <w:szCs w:val="21"/>
              </w:rPr>
              <w:t>设备</w:t>
            </w:r>
          </w:p>
        </w:tc>
        <w:tc>
          <w:tcPr>
            <w:tcW w:w="984" w:type="pct"/>
          </w:tcPr>
          <w:p w14:paraId="10B74A5C">
            <w:pPr>
              <w:pStyle w:val="78"/>
            </w:pPr>
            <w:r>
              <w:rPr>
                <w:szCs w:val="21"/>
              </w:rPr>
              <w:t>等效连续A声级</w:t>
            </w:r>
          </w:p>
        </w:tc>
        <w:tc>
          <w:tcPr>
            <w:tcW w:w="275" w:type="pct"/>
            <w:vAlign w:val="center"/>
          </w:tcPr>
          <w:p w14:paraId="62AC6DCE">
            <w:pPr>
              <w:pStyle w:val="78"/>
            </w:pPr>
            <w:r>
              <w:t>连续</w:t>
            </w:r>
          </w:p>
        </w:tc>
        <w:tc>
          <w:tcPr>
            <w:tcW w:w="344" w:type="pct"/>
          </w:tcPr>
          <w:p w14:paraId="0BFD757F">
            <w:pPr>
              <w:pStyle w:val="78"/>
            </w:pPr>
            <w:r>
              <w:t>/</w:t>
            </w:r>
          </w:p>
        </w:tc>
        <w:tc>
          <w:tcPr>
            <w:tcW w:w="857" w:type="pct"/>
            <w:vAlign w:val="center"/>
          </w:tcPr>
          <w:p w14:paraId="15912DB4">
            <w:pPr>
              <w:pStyle w:val="78"/>
            </w:pPr>
            <w:r>
              <w:t>减振、隔声</w:t>
            </w:r>
          </w:p>
        </w:tc>
      </w:tr>
      <w:tr w14:paraId="7AFF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003BCE8">
            <w:pPr>
              <w:pStyle w:val="78"/>
            </w:pPr>
          </w:p>
        </w:tc>
        <w:tc>
          <w:tcPr>
            <w:tcW w:w="752" w:type="pct"/>
            <w:vMerge w:val="continue"/>
            <w:vAlign w:val="center"/>
          </w:tcPr>
          <w:p w14:paraId="7A72BA76">
            <w:pPr>
              <w:pStyle w:val="78"/>
            </w:pPr>
          </w:p>
        </w:tc>
        <w:tc>
          <w:tcPr>
            <w:tcW w:w="301" w:type="pct"/>
            <w:vAlign w:val="center"/>
          </w:tcPr>
          <w:p w14:paraId="1E684B30">
            <w:pPr>
              <w:pStyle w:val="78"/>
            </w:pPr>
            <w:r>
              <w:t>正常</w:t>
            </w:r>
          </w:p>
        </w:tc>
        <w:tc>
          <w:tcPr>
            <w:tcW w:w="270" w:type="pct"/>
            <w:vAlign w:val="center"/>
          </w:tcPr>
          <w:p w14:paraId="22192FE7">
            <w:pPr>
              <w:pStyle w:val="78"/>
            </w:pPr>
            <w:r>
              <w:t>N5</w:t>
            </w:r>
          </w:p>
        </w:tc>
        <w:tc>
          <w:tcPr>
            <w:tcW w:w="907" w:type="pct"/>
            <w:vAlign w:val="center"/>
          </w:tcPr>
          <w:p w14:paraId="3B4F84FD">
            <w:pPr>
              <w:pStyle w:val="78"/>
            </w:pPr>
            <w:r>
              <w:rPr>
                <w:szCs w:val="21"/>
              </w:rPr>
              <w:t>空压机</w:t>
            </w:r>
          </w:p>
        </w:tc>
        <w:tc>
          <w:tcPr>
            <w:tcW w:w="984" w:type="pct"/>
          </w:tcPr>
          <w:p w14:paraId="74ADB01B">
            <w:pPr>
              <w:pStyle w:val="78"/>
            </w:pPr>
            <w:r>
              <w:rPr>
                <w:szCs w:val="21"/>
              </w:rPr>
              <w:t>等效连续A声级</w:t>
            </w:r>
          </w:p>
        </w:tc>
        <w:tc>
          <w:tcPr>
            <w:tcW w:w="275" w:type="pct"/>
            <w:vAlign w:val="center"/>
          </w:tcPr>
          <w:p w14:paraId="4649DF9D">
            <w:pPr>
              <w:pStyle w:val="78"/>
            </w:pPr>
            <w:r>
              <w:t>连续</w:t>
            </w:r>
          </w:p>
        </w:tc>
        <w:tc>
          <w:tcPr>
            <w:tcW w:w="344" w:type="pct"/>
          </w:tcPr>
          <w:p w14:paraId="1B1461C7">
            <w:pPr>
              <w:pStyle w:val="78"/>
            </w:pPr>
            <w:r>
              <w:t>/</w:t>
            </w:r>
          </w:p>
        </w:tc>
        <w:tc>
          <w:tcPr>
            <w:tcW w:w="857" w:type="pct"/>
            <w:vAlign w:val="center"/>
          </w:tcPr>
          <w:p w14:paraId="77F7DDAA">
            <w:pPr>
              <w:pStyle w:val="78"/>
            </w:pPr>
            <w:r>
              <w:t>消声、隔声</w:t>
            </w:r>
          </w:p>
        </w:tc>
      </w:tr>
      <w:tr w14:paraId="3EB8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0E1695F">
            <w:pPr>
              <w:pStyle w:val="78"/>
            </w:pPr>
          </w:p>
        </w:tc>
        <w:tc>
          <w:tcPr>
            <w:tcW w:w="752" w:type="pct"/>
            <w:vMerge w:val="continue"/>
            <w:vAlign w:val="center"/>
          </w:tcPr>
          <w:p w14:paraId="22944A30">
            <w:pPr>
              <w:pStyle w:val="78"/>
            </w:pPr>
          </w:p>
        </w:tc>
        <w:tc>
          <w:tcPr>
            <w:tcW w:w="301" w:type="pct"/>
            <w:vAlign w:val="center"/>
          </w:tcPr>
          <w:p w14:paraId="2DEEE3C3">
            <w:pPr>
              <w:pStyle w:val="78"/>
            </w:pPr>
            <w:r>
              <w:t>正常</w:t>
            </w:r>
          </w:p>
        </w:tc>
        <w:tc>
          <w:tcPr>
            <w:tcW w:w="270" w:type="pct"/>
            <w:vAlign w:val="center"/>
          </w:tcPr>
          <w:p w14:paraId="40A47EE4">
            <w:pPr>
              <w:pStyle w:val="78"/>
            </w:pPr>
            <w:r>
              <w:t>N6</w:t>
            </w:r>
          </w:p>
        </w:tc>
        <w:tc>
          <w:tcPr>
            <w:tcW w:w="907" w:type="pct"/>
            <w:vAlign w:val="center"/>
          </w:tcPr>
          <w:p w14:paraId="01A4BC83">
            <w:pPr>
              <w:pStyle w:val="78"/>
            </w:pPr>
            <w:r>
              <w:rPr>
                <w:szCs w:val="21"/>
              </w:rPr>
              <w:t>锅炉排气</w:t>
            </w:r>
          </w:p>
        </w:tc>
        <w:tc>
          <w:tcPr>
            <w:tcW w:w="984" w:type="pct"/>
          </w:tcPr>
          <w:p w14:paraId="27E08C3D">
            <w:pPr>
              <w:pStyle w:val="78"/>
            </w:pPr>
            <w:r>
              <w:rPr>
                <w:szCs w:val="21"/>
              </w:rPr>
              <w:t>等效连续A声级</w:t>
            </w:r>
          </w:p>
        </w:tc>
        <w:tc>
          <w:tcPr>
            <w:tcW w:w="275" w:type="pct"/>
            <w:vAlign w:val="center"/>
          </w:tcPr>
          <w:p w14:paraId="6C70BECD">
            <w:pPr>
              <w:pStyle w:val="78"/>
            </w:pPr>
            <w:r>
              <w:t>间歇</w:t>
            </w:r>
          </w:p>
        </w:tc>
        <w:tc>
          <w:tcPr>
            <w:tcW w:w="344" w:type="pct"/>
          </w:tcPr>
          <w:p w14:paraId="3C549E1F">
            <w:pPr>
              <w:pStyle w:val="78"/>
            </w:pPr>
            <w:r>
              <w:t>/</w:t>
            </w:r>
          </w:p>
        </w:tc>
        <w:tc>
          <w:tcPr>
            <w:tcW w:w="857" w:type="pct"/>
            <w:vAlign w:val="center"/>
          </w:tcPr>
          <w:p w14:paraId="1542CCD4">
            <w:pPr>
              <w:pStyle w:val="78"/>
            </w:pPr>
            <w:r>
              <w:t>消声</w:t>
            </w:r>
          </w:p>
        </w:tc>
      </w:tr>
    </w:tbl>
    <w:p w14:paraId="4D88AF9E">
      <w:pPr>
        <w:pStyle w:val="3"/>
        <w:ind w:firstLine="480"/>
      </w:pPr>
    </w:p>
    <w:p w14:paraId="05A34115">
      <w:pPr>
        <w:pStyle w:val="3"/>
        <w:ind w:firstLine="480"/>
      </w:pPr>
    </w:p>
    <w:p w14:paraId="32068AFA">
      <w:pPr>
        <w:pStyle w:val="3"/>
        <w:ind w:firstLine="480"/>
        <w:sectPr>
          <w:pgSz w:w="16838" w:h="11906" w:orient="landscape"/>
          <w:pgMar w:top="1800" w:right="1440" w:bottom="1800" w:left="1440" w:header="992" w:footer="992" w:gutter="0"/>
          <w:cols w:space="425" w:num="1"/>
          <w:docGrid w:linePitch="312" w:charSpace="0"/>
        </w:sectPr>
      </w:pPr>
    </w:p>
    <w:p w14:paraId="62B2F1D9">
      <w:pPr>
        <w:pStyle w:val="4"/>
      </w:pPr>
      <w:bookmarkStart w:id="37" w:name="_Toc200527729"/>
      <w:bookmarkStart w:id="38" w:name="_Toc210915268"/>
      <w:r>
        <w:t>涉及的有毒有害物质</w:t>
      </w:r>
      <w:bookmarkEnd w:id="37"/>
      <w:bookmarkEnd w:id="38"/>
    </w:p>
    <w:p w14:paraId="75D3D776">
      <w:pPr>
        <w:pStyle w:val="3"/>
        <w:ind w:firstLine="480"/>
      </w:pPr>
      <w:r>
        <w:t>根据《土壤污染隐患排查技术指南（试行）》（2021年第1号），有毒有害物质包括：</w:t>
      </w:r>
      <w:r>
        <w:rPr>
          <w:rFonts w:hint="eastAsia" w:ascii="宋体" w:hAnsi="宋体" w:cs="宋体"/>
        </w:rPr>
        <w:t>①</w:t>
      </w:r>
      <w:r>
        <w:t>列入《中华人民共和国水污染防治法》规定的有毒有害水污染物名录的污染物；</w:t>
      </w:r>
      <w:r>
        <w:rPr>
          <w:rFonts w:hint="eastAsia" w:ascii="宋体" w:hAnsi="宋体" w:cs="宋体"/>
        </w:rPr>
        <w:t>②</w:t>
      </w:r>
      <w:r>
        <w:t>列入《中华人民共和国大气污染防治法》规定的有毒有害大气污染物名录的污染物；</w:t>
      </w:r>
      <w:r>
        <w:rPr>
          <w:rFonts w:hint="eastAsia" w:ascii="宋体" w:hAnsi="宋体" w:cs="宋体"/>
        </w:rPr>
        <w:t>③</w:t>
      </w:r>
      <w:r>
        <w:t>《中华人民共和国固体废物污染环境防治法》规定的危险废物；</w:t>
      </w:r>
      <w:r>
        <w:rPr>
          <w:rFonts w:hint="eastAsia" w:ascii="宋体" w:hAnsi="宋体" w:cs="宋体"/>
        </w:rPr>
        <w:t>④</w:t>
      </w:r>
      <w:r>
        <w:t>国家和地方建设用地土壤污染风险管控标准管控的污染物；</w:t>
      </w:r>
      <w:r>
        <w:rPr>
          <w:rFonts w:hint="eastAsia" w:ascii="宋体" w:hAnsi="宋体" w:cs="宋体"/>
        </w:rPr>
        <w:t>⑤</w:t>
      </w:r>
      <w:r>
        <w:t>列入优先控制化学品名录内的物质；</w:t>
      </w:r>
      <w:r>
        <w:rPr>
          <w:rFonts w:hint="eastAsia" w:ascii="宋体" w:hAnsi="宋体" w:cs="宋体"/>
        </w:rPr>
        <w:t>⑥</w:t>
      </w:r>
      <w:r>
        <w:t>其他根据国家法律法规有关规定应当纳入有毒有害物质管理的物质。根据排查本公司的所使用的原料、中间产物及产污，识别出来的有毒有害物质如下表所示：</w:t>
      </w:r>
    </w:p>
    <w:p w14:paraId="5AFDBA55">
      <w:pPr>
        <w:pStyle w:val="14"/>
        <w:rPr>
          <w:rFonts w:cs="Times New Roman"/>
          <w:color w:val="auto"/>
        </w:rPr>
      </w:pPr>
      <w:bookmarkStart w:id="39" w:name="OLE_LINK2"/>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涉及有毒有害的原辅材料、产物一览表</w:t>
      </w:r>
    </w:p>
    <w:tbl>
      <w:tblPr>
        <w:tblStyle w:val="42"/>
        <w:tblW w:w="8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01"/>
        <w:gridCol w:w="2884"/>
        <w:gridCol w:w="1037"/>
        <w:gridCol w:w="947"/>
        <w:gridCol w:w="1134"/>
      </w:tblGrid>
      <w:tr w14:paraId="770F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2E24172">
            <w:pPr>
              <w:pStyle w:val="78"/>
              <w:rPr>
                <w:rFonts w:cs="Times New Roman"/>
              </w:rPr>
            </w:pPr>
            <w:r>
              <w:rPr>
                <w:rFonts w:cs="Times New Roman"/>
              </w:rPr>
              <w:t>序号</w:t>
            </w:r>
          </w:p>
        </w:tc>
        <w:tc>
          <w:tcPr>
            <w:tcW w:w="1701" w:type="dxa"/>
            <w:vAlign w:val="center"/>
          </w:tcPr>
          <w:p w14:paraId="4CF581D6">
            <w:pPr>
              <w:pStyle w:val="78"/>
              <w:rPr>
                <w:rFonts w:cs="Times New Roman"/>
              </w:rPr>
            </w:pPr>
            <w:r>
              <w:rPr>
                <w:rFonts w:cs="Times New Roman"/>
              </w:rPr>
              <w:t>原辅材料名称</w:t>
            </w:r>
          </w:p>
        </w:tc>
        <w:tc>
          <w:tcPr>
            <w:tcW w:w="2884" w:type="dxa"/>
            <w:vAlign w:val="center"/>
          </w:tcPr>
          <w:p w14:paraId="0182DD44">
            <w:pPr>
              <w:pStyle w:val="78"/>
              <w:rPr>
                <w:rFonts w:cs="Times New Roman"/>
              </w:rPr>
            </w:pPr>
            <w:r>
              <w:rPr>
                <w:rFonts w:cs="Times New Roman"/>
              </w:rPr>
              <w:t>主要成分</w:t>
            </w:r>
          </w:p>
        </w:tc>
        <w:tc>
          <w:tcPr>
            <w:tcW w:w="1037" w:type="dxa"/>
            <w:vAlign w:val="center"/>
          </w:tcPr>
          <w:p w14:paraId="146F2A1C">
            <w:pPr>
              <w:pStyle w:val="78"/>
              <w:rPr>
                <w:rFonts w:cs="Times New Roman"/>
              </w:rPr>
            </w:pPr>
            <w:r>
              <w:rPr>
                <w:rFonts w:cs="Times New Roman"/>
              </w:rPr>
              <w:t>最大储存量</w:t>
            </w:r>
            <w:r>
              <w:rPr>
                <w:rFonts w:hint="eastAsia" w:cs="Times New Roman"/>
              </w:rPr>
              <w:t>/t</w:t>
            </w:r>
          </w:p>
        </w:tc>
        <w:tc>
          <w:tcPr>
            <w:tcW w:w="947" w:type="dxa"/>
            <w:vAlign w:val="center"/>
          </w:tcPr>
          <w:p w14:paraId="07AF34B1">
            <w:pPr>
              <w:pStyle w:val="78"/>
              <w:rPr>
                <w:rFonts w:cs="Times New Roman"/>
              </w:rPr>
            </w:pPr>
            <w:r>
              <w:rPr>
                <w:rFonts w:cs="Times New Roman"/>
              </w:rPr>
              <w:t>包装储存方式</w:t>
            </w:r>
          </w:p>
        </w:tc>
        <w:tc>
          <w:tcPr>
            <w:tcW w:w="1134" w:type="dxa"/>
            <w:vAlign w:val="center"/>
          </w:tcPr>
          <w:p w14:paraId="678511F9">
            <w:pPr>
              <w:pStyle w:val="78"/>
              <w:rPr>
                <w:rFonts w:cs="Times New Roman"/>
              </w:rPr>
            </w:pPr>
            <w:r>
              <w:rPr>
                <w:rFonts w:cs="Times New Roman"/>
              </w:rPr>
              <w:t>储存位置</w:t>
            </w:r>
          </w:p>
        </w:tc>
      </w:tr>
      <w:tr w14:paraId="1412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67BB361">
            <w:pPr>
              <w:pStyle w:val="78"/>
              <w:rPr>
                <w:rFonts w:cs="Times New Roman"/>
              </w:rPr>
            </w:pPr>
            <w:r>
              <w:rPr>
                <w:rFonts w:cs="Times New Roman"/>
              </w:rPr>
              <w:t>1</w:t>
            </w:r>
          </w:p>
        </w:tc>
        <w:tc>
          <w:tcPr>
            <w:tcW w:w="1701" w:type="dxa"/>
            <w:vAlign w:val="center"/>
          </w:tcPr>
          <w:p w14:paraId="729D607C">
            <w:pPr>
              <w:pStyle w:val="78"/>
              <w:rPr>
                <w:rFonts w:cs="Times New Roman"/>
              </w:rPr>
            </w:pPr>
            <w:r>
              <w:rPr>
                <w:rFonts w:cs="Times New Roman"/>
              </w:rPr>
              <w:t>阻聚剂</w:t>
            </w:r>
          </w:p>
        </w:tc>
        <w:tc>
          <w:tcPr>
            <w:tcW w:w="2884" w:type="dxa"/>
            <w:vAlign w:val="center"/>
          </w:tcPr>
          <w:p w14:paraId="1A8B637E">
            <w:pPr>
              <w:pStyle w:val="78"/>
              <w:rPr>
                <w:rFonts w:cs="Times New Roman"/>
              </w:rPr>
            </w:pPr>
            <w:r>
              <w:rPr>
                <w:rFonts w:cs="Times New Roman"/>
              </w:rPr>
              <w:t>对叔丁基邻苯二酚</w:t>
            </w:r>
          </w:p>
        </w:tc>
        <w:tc>
          <w:tcPr>
            <w:tcW w:w="1037" w:type="dxa"/>
            <w:vAlign w:val="center"/>
          </w:tcPr>
          <w:p w14:paraId="7074A8B8">
            <w:pPr>
              <w:pStyle w:val="78"/>
              <w:rPr>
                <w:rFonts w:cs="Times New Roman"/>
              </w:rPr>
            </w:pPr>
            <w:r>
              <w:rPr>
                <w:rFonts w:hint="eastAsia" w:cs="Times New Roman"/>
              </w:rPr>
              <w:t>/</w:t>
            </w:r>
          </w:p>
        </w:tc>
        <w:tc>
          <w:tcPr>
            <w:tcW w:w="947" w:type="dxa"/>
            <w:vAlign w:val="center"/>
          </w:tcPr>
          <w:p w14:paraId="467993C7">
            <w:pPr>
              <w:pStyle w:val="78"/>
              <w:rPr>
                <w:rFonts w:cs="Times New Roman"/>
              </w:rPr>
            </w:pPr>
            <w:r>
              <w:rPr>
                <w:rFonts w:cs="Times New Roman"/>
              </w:rPr>
              <w:t>桶装</w:t>
            </w:r>
          </w:p>
        </w:tc>
        <w:tc>
          <w:tcPr>
            <w:tcW w:w="1134" w:type="dxa"/>
            <w:vMerge w:val="restart"/>
            <w:vAlign w:val="center"/>
          </w:tcPr>
          <w:p w14:paraId="412719BA">
            <w:pPr>
              <w:pStyle w:val="78"/>
              <w:rPr>
                <w:rFonts w:cs="Times New Roman"/>
              </w:rPr>
            </w:pPr>
            <w:r>
              <w:rPr>
                <w:rFonts w:cs="Times New Roman"/>
              </w:rPr>
              <w:t>原料仓库</w:t>
            </w:r>
          </w:p>
        </w:tc>
      </w:tr>
      <w:tr w14:paraId="265F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9ABC685">
            <w:pPr>
              <w:pStyle w:val="78"/>
              <w:rPr>
                <w:rFonts w:cs="Times New Roman"/>
              </w:rPr>
            </w:pPr>
            <w:r>
              <w:rPr>
                <w:rFonts w:cs="Times New Roman"/>
              </w:rPr>
              <w:t>2</w:t>
            </w:r>
          </w:p>
        </w:tc>
        <w:tc>
          <w:tcPr>
            <w:tcW w:w="1701" w:type="dxa"/>
            <w:vAlign w:val="center"/>
          </w:tcPr>
          <w:p w14:paraId="5DEBB10F">
            <w:pPr>
              <w:pStyle w:val="78"/>
              <w:rPr>
                <w:rFonts w:cs="Times New Roman"/>
              </w:rPr>
            </w:pPr>
            <w:r>
              <w:rPr>
                <w:rFonts w:cs="Times New Roman"/>
              </w:rPr>
              <w:t>分子筛催化剂</w:t>
            </w:r>
          </w:p>
        </w:tc>
        <w:tc>
          <w:tcPr>
            <w:tcW w:w="2884" w:type="dxa"/>
            <w:vAlign w:val="center"/>
          </w:tcPr>
          <w:p w14:paraId="35F47700">
            <w:pPr>
              <w:pStyle w:val="78"/>
              <w:rPr>
                <w:rFonts w:cs="Times New Roman"/>
              </w:rPr>
            </w:pPr>
            <w:r>
              <w:rPr>
                <w:rFonts w:cs="Times New Roman"/>
              </w:rPr>
              <w:t>SO</w:t>
            </w:r>
            <w:r>
              <w:rPr>
                <w:rFonts w:cs="Times New Roman"/>
                <w:vertAlign w:val="subscript"/>
              </w:rPr>
              <w:t>3</w:t>
            </w:r>
            <w:r>
              <w:rPr>
                <w:rFonts w:cs="Times New Roman"/>
              </w:rPr>
              <w:t>、V</w:t>
            </w:r>
            <w:r>
              <w:rPr>
                <w:rFonts w:cs="Times New Roman"/>
                <w:vertAlign w:val="subscript"/>
              </w:rPr>
              <w:t>2</w:t>
            </w:r>
            <w:r>
              <w:rPr>
                <w:rFonts w:cs="Times New Roman"/>
              </w:rPr>
              <w:t>O</w:t>
            </w:r>
            <w:r>
              <w:rPr>
                <w:rFonts w:cs="Times New Roman"/>
                <w:vertAlign w:val="subscript"/>
              </w:rPr>
              <w:t>5</w:t>
            </w:r>
            <w:r>
              <w:rPr>
                <w:rFonts w:cs="Times New Roman"/>
              </w:rPr>
              <w:t>、NiO、Cr</w:t>
            </w:r>
            <w:r>
              <w:rPr>
                <w:rFonts w:cs="Times New Roman"/>
                <w:vertAlign w:val="subscript"/>
              </w:rPr>
              <w:t>2</w:t>
            </w:r>
            <w:r>
              <w:rPr>
                <w:rFonts w:cs="Times New Roman"/>
              </w:rPr>
              <w:t>O</w:t>
            </w:r>
            <w:r>
              <w:rPr>
                <w:rFonts w:cs="Times New Roman"/>
                <w:vertAlign w:val="subscript"/>
              </w:rPr>
              <w:t>3</w:t>
            </w:r>
            <w:r>
              <w:rPr>
                <w:rFonts w:cs="Times New Roman"/>
              </w:rPr>
              <w:t>、As</w:t>
            </w:r>
            <w:r>
              <w:rPr>
                <w:rFonts w:cs="Times New Roman"/>
                <w:vertAlign w:val="subscript"/>
              </w:rPr>
              <w:t>2</w:t>
            </w:r>
            <w:r>
              <w:rPr>
                <w:rFonts w:cs="Times New Roman"/>
              </w:rPr>
              <w:t>O</w:t>
            </w:r>
            <w:r>
              <w:rPr>
                <w:rFonts w:cs="Times New Roman"/>
                <w:vertAlign w:val="subscript"/>
              </w:rPr>
              <w:t>3</w:t>
            </w:r>
            <w:r>
              <w:rPr>
                <w:rFonts w:cs="Times New Roman"/>
              </w:rPr>
              <w:t>、CuO等</w:t>
            </w:r>
          </w:p>
        </w:tc>
        <w:tc>
          <w:tcPr>
            <w:tcW w:w="1037" w:type="dxa"/>
            <w:vAlign w:val="center"/>
          </w:tcPr>
          <w:p w14:paraId="7E85F9B6">
            <w:pPr>
              <w:pStyle w:val="78"/>
              <w:rPr>
                <w:rFonts w:cs="Times New Roman"/>
              </w:rPr>
            </w:pPr>
            <w:r>
              <w:rPr>
                <w:rFonts w:cs="Times New Roman"/>
              </w:rPr>
              <w:t>100</w:t>
            </w:r>
          </w:p>
        </w:tc>
        <w:tc>
          <w:tcPr>
            <w:tcW w:w="947" w:type="dxa"/>
            <w:vAlign w:val="center"/>
          </w:tcPr>
          <w:p w14:paraId="74C9BC97">
            <w:pPr>
              <w:pStyle w:val="78"/>
              <w:rPr>
                <w:rFonts w:cs="Times New Roman"/>
              </w:rPr>
            </w:pPr>
            <w:r>
              <w:rPr>
                <w:rFonts w:cs="Times New Roman"/>
              </w:rPr>
              <w:t>袋装</w:t>
            </w:r>
          </w:p>
        </w:tc>
        <w:tc>
          <w:tcPr>
            <w:tcW w:w="1134" w:type="dxa"/>
            <w:vMerge w:val="continue"/>
            <w:vAlign w:val="center"/>
          </w:tcPr>
          <w:p w14:paraId="7A54E842">
            <w:pPr>
              <w:pStyle w:val="78"/>
              <w:rPr>
                <w:rFonts w:cs="Times New Roman"/>
              </w:rPr>
            </w:pPr>
          </w:p>
        </w:tc>
      </w:tr>
      <w:tr w14:paraId="3B84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3DEABE1">
            <w:pPr>
              <w:pStyle w:val="78"/>
              <w:rPr>
                <w:rFonts w:cs="Times New Roman"/>
              </w:rPr>
            </w:pPr>
            <w:r>
              <w:rPr>
                <w:rFonts w:hint="eastAsia" w:cs="Times New Roman"/>
              </w:rPr>
              <w:t>3</w:t>
            </w:r>
          </w:p>
        </w:tc>
        <w:tc>
          <w:tcPr>
            <w:tcW w:w="1701" w:type="dxa"/>
            <w:vAlign w:val="center"/>
          </w:tcPr>
          <w:p w14:paraId="1074799F">
            <w:pPr>
              <w:pStyle w:val="78"/>
              <w:rPr>
                <w:rFonts w:cs="Times New Roman"/>
              </w:rPr>
            </w:pPr>
            <w:r>
              <w:rPr>
                <w:rFonts w:hint="eastAsia"/>
              </w:rPr>
              <w:t>次氯酸钠溶液（</w:t>
            </w:r>
            <w:r>
              <w:t>10%</w:t>
            </w:r>
            <w:r>
              <w:rPr>
                <w:rFonts w:hint="eastAsia"/>
              </w:rPr>
              <w:t>）</w:t>
            </w:r>
          </w:p>
        </w:tc>
        <w:tc>
          <w:tcPr>
            <w:tcW w:w="2884" w:type="dxa"/>
            <w:vAlign w:val="center"/>
          </w:tcPr>
          <w:p w14:paraId="5F6A7E4C">
            <w:pPr>
              <w:pStyle w:val="78"/>
              <w:rPr>
                <w:rFonts w:cs="Times New Roman"/>
              </w:rPr>
            </w:pPr>
            <w:r>
              <w:rPr>
                <w:rFonts w:hint="eastAsia"/>
              </w:rPr>
              <w:t>次氯酸钠</w:t>
            </w:r>
          </w:p>
        </w:tc>
        <w:tc>
          <w:tcPr>
            <w:tcW w:w="1037" w:type="dxa"/>
            <w:vAlign w:val="center"/>
          </w:tcPr>
          <w:p w14:paraId="137C0E47">
            <w:pPr>
              <w:pStyle w:val="78"/>
              <w:rPr>
                <w:rFonts w:cs="Times New Roman"/>
              </w:rPr>
            </w:pPr>
            <w:r>
              <w:rPr>
                <w:rFonts w:hint="eastAsia" w:cs="Times New Roman"/>
              </w:rPr>
              <w:t>3</w:t>
            </w:r>
          </w:p>
        </w:tc>
        <w:tc>
          <w:tcPr>
            <w:tcW w:w="947" w:type="dxa"/>
            <w:vAlign w:val="center"/>
          </w:tcPr>
          <w:p w14:paraId="193C81BA">
            <w:pPr>
              <w:pStyle w:val="78"/>
              <w:rPr>
                <w:rFonts w:cs="Times New Roman"/>
              </w:rPr>
            </w:pPr>
            <w:r>
              <w:rPr>
                <w:rFonts w:cs="Times New Roman"/>
              </w:rPr>
              <w:t>桶装</w:t>
            </w:r>
          </w:p>
        </w:tc>
        <w:tc>
          <w:tcPr>
            <w:tcW w:w="1134" w:type="dxa"/>
            <w:vMerge w:val="restart"/>
            <w:vAlign w:val="center"/>
          </w:tcPr>
          <w:p w14:paraId="41497E6F">
            <w:pPr>
              <w:pStyle w:val="78"/>
              <w:rPr>
                <w:rFonts w:cs="Times New Roman"/>
              </w:rPr>
            </w:pPr>
            <w:r>
              <w:rPr>
                <w:rFonts w:hint="eastAsia" w:cs="Times New Roman"/>
              </w:rPr>
              <w:t>除盐水站加药间</w:t>
            </w:r>
          </w:p>
        </w:tc>
      </w:tr>
      <w:tr w14:paraId="7D2D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50A3BA3">
            <w:pPr>
              <w:pStyle w:val="78"/>
              <w:rPr>
                <w:rFonts w:cs="Times New Roman"/>
              </w:rPr>
            </w:pPr>
            <w:r>
              <w:rPr>
                <w:rFonts w:hint="eastAsia" w:cs="Times New Roman"/>
              </w:rPr>
              <w:t>4</w:t>
            </w:r>
          </w:p>
        </w:tc>
        <w:tc>
          <w:tcPr>
            <w:tcW w:w="1701" w:type="dxa"/>
            <w:vAlign w:val="center"/>
          </w:tcPr>
          <w:p w14:paraId="649EAB7D">
            <w:pPr>
              <w:pStyle w:val="78"/>
              <w:rPr>
                <w:rFonts w:cs="Times New Roman"/>
              </w:rPr>
            </w:pPr>
            <w:r>
              <w:rPr>
                <w:rFonts w:hint="eastAsia"/>
              </w:rPr>
              <w:t>盐酸（</w:t>
            </w:r>
            <w:r>
              <w:t>31%</w:t>
            </w:r>
            <w:r>
              <w:rPr>
                <w:rFonts w:hint="eastAsia"/>
              </w:rPr>
              <w:t>）</w:t>
            </w:r>
          </w:p>
        </w:tc>
        <w:tc>
          <w:tcPr>
            <w:tcW w:w="2884" w:type="dxa"/>
            <w:vAlign w:val="center"/>
          </w:tcPr>
          <w:p w14:paraId="3625BAFE">
            <w:pPr>
              <w:pStyle w:val="78"/>
              <w:rPr>
                <w:rFonts w:cs="Times New Roman"/>
              </w:rPr>
            </w:pPr>
            <w:r>
              <w:rPr>
                <w:rFonts w:hint="eastAsia"/>
              </w:rPr>
              <w:t>盐酸</w:t>
            </w:r>
          </w:p>
        </w:tc>
        <w:tc>
          <w:tcPr>
            <w:tcW w:w="1037" w:type="dxa"/>
            <w:vAlign w:val="center"/>
          </w:tcPr>
          <w:p w14:paraId="60838148">
            <w:pPr>
              <w:pStyle w:val="78"/>
              <w:rPr>
                <w:rFonts w:cs="Times New Roman"/>
              </w:rPr>
            </w:pPr>
            <w:r>
              <w:rPr>
                <w:rFonts w:hint="eastAsia" w:cs="Times New Roman"/>
              </w:rPr>
              <w:t>2</w:t>
            </w:r>
          </w:p>
        </w:tc>
        <w:tc>
          <w:tcPr>
            <w:tcW w:w="947" w:type="dxa"/>
            <w:vAlign w:val="center"/>
          </w:tcPr>
          <w:p w14:paraId="30038D49">
            <w:pPr>
              <w:pStyle w:val="78"/>
              <w:rPr>
                <w:rFonts w:cs="Times New Roman"/>
              </w:rPr>
            </w:pPr>
            <w:r>
              <w:rPr>
                <w:rFonts w:cs="Times New Roman"/>
              </w:rPr>
              <w:t>桶装</w:t>
            </w:r>
          </w:p>
        </w:tc>
        <w:tc>
          <w:tcPr>
            <w:tcW w:w="1134" w:type="dxa"/>
            <w:vMerge w:val="continue"/>
            <w:vAlign w:val="center"/>
          </w:tcPr>
          <w:p w14:paraId="134FF31A">
            <w:pPr>
              <w:pStyle w:val="78"/>
              <w:rPr>
                <w:rFonts w:cs="Times New Roman"/>
              </w:rPr>
            </w:pPr>
          </w:p>
        </w:tc>
      </w:tr>
      <w:tr w14:paraId="54EE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F5E1A90">
            <w:pPr>
              <w:pStyle w:val="78"/>
              <w:rPr>
                <w:rFonts w:cs="Times New Roman"/>
              </w:rPr>
            </w:pPr>
            <w:r>
              <w:rPr>
                <w:rFonts w:hint="eastAsia" w:cs="Times New Roman"/>
              </w:rPr>
              <w:t>5</w:t>
            </w:r>
          </w:p>
        </w:tc>
        <w:tc>
          <w:tcPr>
            <w:tcW w:w="1701" w:type="dxa"/>
            <w:vAlign w:val="center"/>
          </w:tcPr>
          <w:p w14:paraId="282DC734">
            <w:pPr>
              <w:pStyle w:val="78"/>
              <w:rPr>
                <w:rFonts w:cs="Times New Roman"/>
              </w:rPr>
            </w:pPr>
            <w:r>
              <w:rPr>
                <w:rFonts w:hint="eastAsia"/>
              </w:rPr>
              <w:t>氨水（</w:t>
            </w:r>
            <w:r>
              <w:t>20%</w:t>
            </w:r>
            <w:r>
              <w:rPr>
                <w:rFonts w:hint="eastAsia"/>
              </w:rPr>
              <w:t>）</w:t>
            </w:r>
          </w:p>
        </w:tc>
        <w:tc>
          <w:tcPr>
            <w:tcW w:w="2884" w:type="dxa"/>
            <w:vAlign w:val="center"/>
          </w:tcPr>
          <w:p w14:paraId="7F3FD4E7">
            <w:pPr>
              <w:pStyle w:val="78"/>
              <w:rPr>
                <w:rFonts w:cs="Times New Roman"/>
              </w:rPr>
            </w:pPr>
            <w:r>
              <w:rPr>
                <w:rFonts w:hint="eastAsia"/>
              </w:rPr>
              <w:t>氨水</w:t>
            </w:r>
          </w:p>
        </w:tc>
        <w:tc>
          <w:tcPr>
            <w:tcW w:w="1037" w:type="dxa"/>
            <w:vAlign w:val="center"/>
          </w:tcPr>
          <w:p w14:paraId="4ED798E7">
            <w:pPr>
              <w:pStyle w:val="78"/>
              <w:rPr>
                <w:rFonts w:cs="Times New Roman"/>
              </w:rPr>
            </w:pPr>
            <w:r>
              <w:rPr>
                <w:rFonts w:hint="eastAsia" w:cs="Times New Roman"/>
              </w:rPr>
              <w:t>2</w:t>
            </w:r>
          </w:p>
        </w:tc>
        <w:tc>
          <w:tcPr>
            <w:tcW w:w="947" w:type="dxa"/>
            <w:vAlign w:val="center"/>
          </w:tcPr>
          <w:p w14:paraId="4011C0D7">
            <w:pPr>
              <w:pStyle w:val="78"/>
              <w:rPr>
                <w:rFonts w:cs="Times New Roman"/>
              </w:rPr>
            </w:pPr>
            <w:r>
              <w:rPr>
                <w:rFonts w:cs="Times New Roman"/>
              </w:rPr>
              <w:t>桶装</w:t>
            </w:r>
          </w:p>
        </w:tc>
        <w:tc>
          <w:tcPr>
            <w:tcW w:w="1134" w:type="dxa"/>
            <w:vMerge w:val="continue"/>
            <w:vAlign w:val="center"/>
          </w:tcPr>
          <w:p w14:paraId="041FD9AB">
            <w:pPr>
              <w:pStyle w:val="78"/>
              <w:rPr>
                <w:rFonts w:cs="Times New Roman"/>
              </w:rPr>
            </w:pPr>
          </w:p>
        </w:tc>
      </w:tr>
      <w:tr w14:paraId="6F9A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D202799">
            <w:pPr>
              <w:pStyle w:val="78"/>
              <w:rPr>
                <w:rFonts w:cs="Times New Roman"/>
              </w:rPr>
            </w:pPr>
            <w:r>
              <w:rPr>
                <w:rFonts w:cs="Times New Roman"/>
              </w:rPr>
              <w:t>6</w:t>
            </w:r>
          </w:p>
        </w:tc>
        <w:tc>
          <w:tcPr>
            <w:tcW w:w="1701" w:type="dxa"/>
            <w:vAlign w:val="center"/>
          </w:tcPr>
          <w:p w14:paraId="459BD1AD">
            <w:pPr>
              <w:pStyle w:val="78"/>
              <w:rPr>
                <w:rFonts w:cs="Times New Roman"/>
              </w:rPr>
            </w:pPr>
            <w:r>
              <w:rPr>
                <w:rFonts w:cs="Times New Roman"/>
              </w:rPr>
              <w:t>塑料裂解轻油</w:t>
            </w:r>
          </w:p>
        </w:tc>
        <w:tc>
          <w:tcPr>
            <w:tcW w:w="2884" w:type="dxa"/>
            <w:vAlign w:val="center"/>
          </w:tcPr>
          <w:p w14:paraId="05C7C36D">
            <w:pPr>
              <w:pStyle w:val="78"/>
              <w:rPr>
                <w:rFonts w:cs="Times New Roman"/>
              </w:rPr>
            </w:pPr>
            <w:r>
              <w:rPr>
                <w:rFonts w:cs="Times New Roman"/>
              </w:rPr>
              <w:t>C5烯烃、C5烷烃、甲苯、二甲苯等</w:t>
            </w:r>
          </w:p>
        </w:tc>
        <w:tc>
          <w:tcPr>
            <w:tcW w:w="1037" w:type="dxa"/>
            <w:vAlign w:val="center"/>
          </w:tcPr>
          <w:p w14:paraId="5BA0DD73">
            <w:pPr>
              <w:pStyle w:val="78"/>
              <w:rPr>
                <w:rFonts w:cs="Times New Roman"/>
              </w:rPr>
            </w:pPr>
            <w:r>
              <w:rPr>
                <w:rFonts w:cs="Times New Roman"/>
              </w:rPr>
              <w:t>1350</w:t>
            </w:r>
          </w:p>
        </w:tc>
        <w:tc>
          <w:tcPr>
            <w:tcW w:w="947" w:type="dxa"/>
            <w:vAlign w:val="center"/>
          </w:tcPr>
          <w:p w14:paraId="455C6F1A">
            <w:pPr>
              <w:pStyle w:val="78"/>
              <w:rPr>
                <w:rFonts w:cs="Times New Roman"/>
              </w:rPr>
            </w:pPr>
            <w:r>
              <w:rPr>
                <w:rFonts w:cs="Times New Roman"/>
              </w:rPr>
              <w:t>球罐</w:t>
            </w:r>
          </w:p>
        </w:tc>
        <w:tc>
          <w:tcPr>
            <w:tcW w:w="1134" w:type="dxa"/>
            <w:vAlign w:val="center"/>
          </w:tcPr>
          <w:p w14:paraId="061F089F">
            <w:pPr>
              <w:pStyle w:val="78"/>
              <w:rPr>
                <w:rFonts w:cs="Times New Roman"/>
              </w:rPr>
            </w:pPr>
            <w:r>
              <w:rPr>
                <w:rFonts w:cs="Times New Roman"/>
              </w:rPr>
              <w:t>塑料裂解轻油罐区</w:t>
            </w:r>
          </w:p>
        </w:tc>
      </w:tr>
      <w:tr w14:paraId="6A94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4B5714C">
            <w:pPr>
              <w:pStyle w:val="78"/>
              <w:rPr>
                <w:rFonts w:cs="Times New Roman"/>
              </w:rPr>
            </w:pPr>
            <w:r>
              <w:rPr>
                <w:rFonts w:cs="Times New Roman"/>
              </w:rPr>
              <w:t>7</w:t>
            </w:r>
          </w:p>
        </w:tc>
        <w:tc>
          <w:tcPr>
            <w:tcW w:w="1701" w:type="dxa"/>
            <w:vAlign w:val="center"/>
          </w:tcPr>
          <w:p w14:paraId="0FC834DF">
            <w:pPr>
              <w:pStyle w:val="78"/>
              <w:rPr>
                <w:rFonts w:cs="Times New Roman"/>
              </w:rPr>
            </w:pPr>
            <w:r>
              <w:rPr>
                <w:rFonts w:cs="Times New Roman"/>
              </w:rPr>
              <w:t>液化塑料裂解气</w:t>
            </w:r>
          </w:p>
        </w:tc>
        <w:tc>
          <w:tcPr>
            <w:tcW w:w="2884" w:type="dxa"/>
            <w:vAlign w:val="center"/>
          </w:tcPr>
          <w:p w14:paraId="0EA114B3">
            <w:pPr>
              <w:pStyle w:val="78"/>
              <w:rPr>
                <w:rFonts w:cs="Times New Roman"/>
              </w:rPr>
            </w:pPr>
            <w:r>
              <w:rPr>
                <w:rFonts w:cs="Times New Roman"/>
              </w:rPr>
              <w:t>丙烯、丁烯、丙烷、丁烷等</w:t>
            </w:r>
          </w:p>
        </w:tc>
        <w:tc>
          <w:tcPr>
            <w:tcW w:w="1037" w:type="dxa"/>
            <w:vAlign w:val="center"/>
          </w:tcPr>
          <w:p w14:paraId="54A3C7A8">
            <w:pPr>
              <w:pStyle w:val="78"/>
              <w:rPr>
                <w:rFonts w:cs="Times New Roman"/>
              </w:rPr>
            </w:pPr>
            <w:r>
              <w:rPr>
                <w:rFonts w:cs="Times New Roman"/>
              </w:rPr>
              <w:t>1800</w:t>
            </w:r>
          </w:p>
        </w:tc>
        <w:tc>
          <w:tcPr>
            <w:tcW w:w="947" w:type="dxa"/>
            <w:vAlign w:val="center"/>
          </w:tcPr>
          <w:p w14:paraId="2A2F4D73">
            <w:pPr>
              <w:pStyle w:val="78"/>
              <w:rPr>
                <w:rFonts w:cs="Times New Roman"/>
              </w:rPr>
            </w:pPr>
            <w:r>
              <w:rPr>
                <w:rFonts w:cs="Times New Roman"/>
              </w:rPr>
              <w:t>储罐</w:t>
            </w:r>
          </w:p>
        </w:tc>
        <w:tc>
          <w:tcPr>
            <w:tcW w:w="1134" w:type="dxa"/>
            <w:vAlign w:val="center"/>
          </w:tcPr>
          <w:p w14:paraId="73BB1150">
            <w:pPr>
              <w:pStyle w:val="78"/>
              <w:rPr>
                <w:rFonts w:cs="Times New Roman"/>
              </w:rPr>
            </w:pPr>
            <w:r>
              <w:rPr>
                <w:rFonts w:cs="Times New Roman"/>
              </w:rPr>
              <w:t>液化塑料裂解气罐区</w:t>
            </w:r>
          </w:p>
        </w:tc>
      </w:tr>
      <w:tr w14:paraId="252C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D469124">
            <w:pPr>
              <w:pStyle w:val="78"/>
              <w:rPr>
                <w:rFonts w:cs="Times New Roman"/>
              </w:rPr>
            </w:pPr>
            <w:r>
              <w:rPr>
                <w:rFonts w:cs="Times New Roman"/>
              </w:rPr>
              <w:t>8</w:t>
            </w:r>
          </w:p>
        </w:tc>
        <w:tc>
          <w:tcPr>
            <w:tcW w:w="1701" w:type="dxa"/>
            <w:vAlign w:val="center"/>
          </w:tcPr>
          <w:p w14:paraId="273AFBBB">
            <w:pPr>
              <w:pStyle w:val="78"/>
              <w:rPr>
                <w:rFonts w:cs="Times New Roman"/>
              </w:rPr>
            </w:pPr>
            <w:r>
              <w:rPr>
                <w:rFonts w:cs="Times New Roman"/>
              </w:rPr>
              <w:t>塑料裂解气</w:t>
            </w:r>
          </w:p>
        </w:tc>
        <w:tc>
          <w:tcPr>
            <w:tcW w:w="2884" w:type="dxa"/>
            <w:vAlign w:val="center"/>
          </w:tcPr>
          <w:p w14:paraId="1CD7ECC2">
            <w:pPr>
              <w:pStyle w:val="78"/>
              <w:rPr>
                <w:rFonts w:cs="Times New Roman"/>
              </w:rPr>
            </w:pPr>
            <w:r>
              <w:rPr>
                <w:rFonts w:cs="Times New Roman"/>
              </w:rPr>
              <w:t>乙烯、甲烷等</w:t>
            </w:r>
          </w:p>
        </w:tc>
        <w:tc>
          <w:tcPr>
            <w:tcW w:w="1037" w:type="dxa"/>
            <w:vAlign w:val="center"/>
          </w:tcPr>
          <w:p w14:paraId="22A28E51">
            <w:pPr>
              <w:pStyle w:val="78"/>
              <w:rPr>
                <w:rFonts w:cs="Times New Roman"/>
              </w:rPr>
            </w:pPr>
            <w:r>
              <w:rPr>
                <w:rFonts w:cs="Times New Roman"/>
              </w:rPr>
              <w:t>10.07</w:t>
            </w:r>
          </w:p>
        </w:tc>
        <w:tc>
          <w:tcPr>
            <w:tcW w:w="947" w:type="dxa"/>
            <w:vMerge w:val="restart"/>
            <w:vAlign w:val="center"/>
          </w:tcPr>
          <w:p w14:paraId="513A89F9">
            <w:pPr>
              <w:pStyle w:val="78"/>
              <w:rPr>
                <w:rFonts w:cs="Times New Roman"/>
              </w:rPr>
            </w:pPr>
            <w:r>
              <w:rPr>
                <w:rFonts w:cs="Times New Roman"/>
              </w:rPr>
              <w:t>在线量</w:t>
            </w:r>
          </w:p>
        </w:tc>
        <w:tc>
          <w:tcPr>
            <w:tcW w:w="1134" w:type="dxa"/>
            <w:vMerge w:val="restart"/>
            <w:vAlign w:val="center"/>
          </w:tcPr>
          <w:p w14:paraId="4DCBF969">
            <w:pPr>
              <w:pStyle w:val="78"/>
              <w:rPr>
                <w:rFonts w:cs="Times New Roman"/>
              </w:rPr>
            </w:pPr>
            <w:r>
              <w:rPr>
                <w:rFonts w:cs="Times New Roman"/>
              </w:rPr>
              <w:t>裂解单元</w:t>
            </w:r>
          </w:p>
        </w:tc>
      </w:tr>
      <w:tr w14:paraId="2B9D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77462C9">
            <w:pPr>
              <w:pStyle w:val="78"/>
              <w:rPr>
                <w:rFonts w:cs="Times New Roman"/>
              </w:rPr>
            </w:pPr>
            <w:r>
              <w:rPr>
                <w:rFonts w:cs="Times New Roman"/>
              </w:rPr>
              <w:t>9</w:t>
            </w:r>
          </w:p>
        </w:tc>
        <w:tc>
          <w:tcPr>
            <w:tcW w:w="1701" w:type="dxa"/>
            <w:vAlign w:val="center"/>
          </w:tcPr>
          <w:p w14:paraId="36FE9375">
            <w:pPr>
              <w:pStyle w:val="78"/>
              <w:rPr>
                <w:rFonts w:cs="Times New Roman"/>
              </w:rPr>
            </w:pPr>
            <w:r>
              <w:rPr>
                <w:rFonts w:cs="Times New Roman"/>
              </w:rPr>
              <w:t>塑料裂解轻油</w:t>
            </w:r>
          </w:p>
        </w:tc>
        <w:tc>
          <w:tcPr>
            <w:tcW w:w="2884" w:type="dxa"/>
            <w:vAlign w:val="center"/>
          </w:tcPr>
          <w:p w14:paraId="5F6BD28F">
            <w:pPr>
              <w:pStyle w:val="78"/>
              <w:rPr>
                <w:rFonts w:cs="Times New Roman"/>
              </w:rPr>
            </w:pPr>
            <w:r>
              <w:rPr>
                <w:rFonts w:cs="Times New Roman"/>
              </w:rPr>
              <w:t>C5烯烃、C5烷烃、甲苯、二甲苯等</w:t>
            </w:r>
          </w:p>
        </w:tc>
        <w:tc>
          <w:tcPr>
            <w:tcW w:w="1037" w:type="dxa"/>
            <w:vAlign w:val="center"/>
          </w:tcPr>
          <w:p w14:paraId="467996BC">
            <w:pPr>
              <w:pStyle w:val="78"/>
              <w:rPr>
                <w:rFonts w:cs="Times New Roman"/>
              </w:rPr>
            </w:pPr>
            <w:r>
              <w:rPr>
                <w:rFonts w:cs="Times New Roman"/>
              </w:rPr>
              <w:t>43.61</w:t>
            </w:r>
          </w:p>
        </w:tc>
        <w:tc>
          <w:tcPr>
            <w:tcW w:w="947" w:type="dxa"/>
            <w:vMerge w:val="continue"/>
            <w:vAlign w:val="center"/>
          </w:tcPr>
          <w:p w14:paraId="41987B85">
            <w:pPr>
              <w:pStyle w:val="78"/>
              <w:rPr>
                <w:rFonts w:cs="Times New Roman"/>
              </w:rPr>
            </w:pPr>
          </w:p>
        </w:tc>
        <w:tc>
          <w:tcPr>
            <w:tcW w:w="1134" w:type="dxa"/>
            <w:vMerge w:val="continue"/>
            <w:vAlign w:val="center"/>
          </w:tcPr>
          <w:p w14:paraId="11C77343">
            <w:pPr>
              <w:pStyle w:val="78"/>
              <w:rPr>
                <w:rFonts w:cs="Times New Roman"/>
              </w:rPr>
            </w:pPr>
          </w:p>
        </w:tc>
      </w:tr>
      <w:tr w14:paraId="3E5C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6F420F7">
            <w:pPr>
              <w:pStyle w:val="78"/>
              <w:rPr>
                <w:rFonts w:cs="Times New Roman"/>
              </w:rPr>
            </w:pPr>
            <w:r>
              <w:rPr>
                <w:rFonts w:cs="Times New Roman"/>
              </w:rPr>
              <w:t>10</w:t>
            </w:r>
          </w:p>
        </w:tc>
        <w:tc>
          <w:tcPr>
            <w:tcW w:w="1701" w:type="dxa"/>
            <w:vAlign w:val="center"/>
          </w:tcPr>
          <w:p w14:paraId="6EA184D6">
            <w:pPr>
              <w:pStyle w:val="78"/>
              <w:rPr>
                <w:rFonts w:cs="Times New Roman"/>
              </w:rPr>
            </w:pPr>
            <w:r>
              <w:rPr>
                <w:rFonts w:cs="Times New Roman"/>
              </w:rPr>
              <w:t>液化塑料裂解气</w:t>
            </w:r>
          </w:p>
        </w:tc>
        <w:tc>
          <w:tcPr>
            <w:tcW w:w="2884" w:type="dxa"/>
            <w:vAlign w:val="center"/>
          </w:tcPr>
          <w:p w14:paraId="4571EF2B">
            <w:pPr>
              <w:pStyle w:val="78"/>
              <w:rPr>
                <w:rFonts w:cs="Times New Roman"/>
              </w:rPr>
            </w:pPr>
            <w:r>
              <w:rPr>
                <w:rFonts w:cs="Times New Roman"/>
              </w:rPr>
              <w:t>丙烯、丁烯、丙烷、丁烷等</w:t>
            </w:r>
          </w:p>
        </w:tc>
        <w:tc>
          <w:tcPr>
            <w:tcW w:w="1037" w:type="dxa"/>
            <w:vAlign w:val="center"/>
          </w:tcPr>
          <w:p w14:paraId="3EF10DFA">
            <w:pPr>
              <w:pStyle w:val="78"/>
              <w:rPr>
                <w:rFonts w:cs="Times New Roman"/>
              </w:rPr>
            </w:pPr>
            <w:r>
              <w:rPr>
                <w:rFonts w:cs="Times New Roman"/>
              </w:rPr>
              <w:t>10.07</w:t>
            </w:r>
          </w:p>
        </w:tc>
        <w:tc>
          <w:tcPr>
            <w:tcW w:w="947" w:type="dxa"/>
            <w:vMerge w:val="continue"/>
            <w:vAlign w:val="center"/>
          </w:tcPr>
          <w:p w14:paraId="40B202FE">
            <w:pPr>
              <w:pStyle w:val="78"/>
              <w:rPr>
                <w:rFonts w:cs="Times New Roman"/>
              </w:rPr>
            </w:pPr>
          </w:p>
        </w:tc>
        <w:tc>
          <w:tcPr>
            <w:tcW w:w="1134" w:type="dxa"/>
            <w:vMerge w:val="continue"/>
            <w:vAlign w:val="center"/>
          </w:tcPr>
          <w:p w14:paraId="08299595">
            <w:pPr>
              <w:pStyle w:val="78"/>
              <w:rPr>
                <w:rFonts w:cs="Times New Roman"/>
              </w:rPr>
            </w:pPr>
          </w:p>
        </w:tc>
      </w:tr>
      <w:tr w14:paraId="5AA3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DF691DA">
            <w:pPr>
              <w:pStyle w:val="78"/>
              <w:rPr>
                <w:rFonts w:cs="Times New Roman"/>
              </w:rPr>
            </w:pPr>
            <w:r>
              <w:rPr>
                <w:rFonts w:cs="Times New Roman"/>
              </w:rPr>
              <w:t>11</w:t>
            </w:r>
          </w:p>
        </w:tc>
        <w:tc>
          <w:tcPr>
            <w:tcW w:w="1701" w:type="dxa"/>
            <w:vAlign w:val="center"/>
          </w:tcPr>
          <w:p w14:paraId="274650D5">
            <w:pPr>
              <w:pStyle w:val="78"/>
              <w:rPr>
                <w:rFonts w:cs="Times New Roman"/>
              </w:rPr>
            </w:pPr>
            <w:r>
              <w:rPr>
                <w:rFonts w:cs="Times New Roman"/>
              </w:rPr>
              <w:t>0#柴油</w:t>
            </w:r>
          </w:p>
        </w:tc>
        <w:tc>
          <w:tcPr>
            <w:tcW w:w="2884" w:type="dxa"/>
            <w:vAlign w:val="center"/>
          </w:tcPr>
          <w:p w14:paraId="4F97BFF0">
            <w:pPr>
              <w:pStyle w:val="78"/>
              <w:rPr>
                <w:rFonts w:cs="Times New Roman"/>
              </w:rPr>
            </w:pPr>
            <w:r>
              <w:rPr>
                <w:rFonts w:cs="Times New Roman"/>
              </w:rPr>
              <w:t>/</w:t>
            </w:r>
          </w:p>
        </w:tc>
        <w:tc>
          <w:tcPr>
            <w:tcW w:w="1037" w:type="dxa"/>
            <w:vAlign w:val="center"/>
          </w:tcPr>
          <w:p w14:paraId="0BAB3BBF">
            <w:pPr>
              <w:pStyle w:val="78"/>
              <w:rPr>
                <w:rFonts w:cs="Times New Roman"/>
              </w:rPr>
            </w:pPr>
            <w:r>
              <w:rPr>
                <w:rFonts w:cs="Times New Roman"/>
              </w:rPr>
              <w:t>0.615</w:t>
            </w:r>
          </w:p>
        </w:tc>
        <w:tc>
          <w:tcPr>
            <w:tcW w:w="947" w:type="dxa"/>
            <w:vMerge w:val="continue"/>
            <w:vAlign w:val="center"/>
          </w:tcPr>
          <w:p w14:paraId="431FD4E5">
            <w:pPr>
              <w:pStyle w:val="78"/>
              <w:rPr>
                <w:rFonts w:cs="Times New Roman"/>
              </w:rPr>
            </w:pPr>
          </w:p>
        </w:tc>
        <w:tc>
          <w:tcPr>
            <w:tcW w:w="1134" w:type="dxa"/>
            <w:vMerge w:val="continue"/>
            <w:vAlign w:val="center"/>
          </w:tcPr>
          <w:p w14:paraId="37372C1C">
            <w:pPr>
              <w:pStyle w:val="78"/>
              <w:rPr>
                <w:rFonts w:cs="Times New Roman"/>
              </w:rPr>
            </w:pPr>
          </w:p>
        </w:tc>
      </w:tr>
      <w:tr w14:paraId="5314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01F406B">
            <w:pPr>
              <w:pStyle w:val="78"/>
              <w:rPr>
                <w:rFonts w:cs="Times New Roman"/>
              </w:rPr>
            </w:pPr>
            <w:r>
              <w:rPr>
                <w:rFonts w:cs="Times New Roman"/>
              </w:rPr>
              <w:t>12</w:t>
            </w:r>
          </w:p>
        </w:tc>
        <w:tc>
          <w:tcPr>
            <w:tcW w:w="1701" w:type="dxa"/>
            <w:vAlign w:val="center"/>
          </w:tcPr>
          <w:p w14:paraId="29F72EDA">
            <w:pPr>
              <w:pStyle w:val="78"/>
              <w:rPr>
                <w:rFonts w:cs="Times New Roman"/>
              </w:rPr>
            </w:pPr>
            <w:r>
              <w:rPr>
                <w:rFonts w:cs="Times New Roman"/>
              </w:rPr>
              <w:t>天然气</w:t>
            </w:r>
          </w:p>
        </w:tc>
        <w:tc>
          <w:tcPr>
            <w:tcW w:w="2884" w:type="dxa"/>
            <w:vAlign w:val="center"/>
          </w:tcPr>
          <w:p w14:paraId="0ACD1CD8">
            <w:pPr>
              <w:pStyle w:val="78"/>
              <w:rPr>
                <w:rFonts w:cs="Times New Roman"/>
              </w:rPr>
            </w:pPr>
            <w:r>
              <w:rPr>
                <w:rFonts w:cs="Times New Roman"/>
              </w:rPr>
              <w:t>/</w:t>
            </w:r>
          </w:p>
        </w:tc>
        <w:tc>
          <w:tcPr>
            <w:tcW w:w="1037" w:type="dxa"/>
            <w:vAlign w:val="center"/>
          </w:tcPr>
          <w:p w14:paraId="79D82E0E">
            <w:pPr>
              <w:pStyle w:val="78"/>
              <w:rPr>
                <w:rFonts w:cs="Times New Roman"/>
              </w:rPr>
            </w:pPr>
            <w:r>
              <w:rPr>
                <w:rFonts w:cs="Times New Roman"/>
              </w:rPr>
              <w:t>3.97</w:t>
            </w:r>
          </w:p>
        </w:tc>
        <w:tc>
          <w:tcPr>
            <w:tcW w:w="947" w:type="dxa"/>
            <w:vMerge w:val="continue"/>
            <w:vAlign w:val="center"/>
          </w:tcPr>
          <w:p w14:paraId="756BDA00">
            <w:pPr>
              <w:pStyle w:val="78"/>
              <w:rPr>
                <w:rFonts w:cs="Times New Roman"/>
              </w:rPr>
            </w:pPr>
          </w:p>
        </w:tc>
        <w:tc>
          <w:tcPr>
            <w:tcW w:w="1134" w:type="dxa"/>
            <w:vMerge w:val="continue"/>
            <w:vAlign w:val="center"/>
          </w:tcPr>
          <w:p w14:paraId="45972936">
            <w:pPr>
              <w:pStyle w:val="78"/>
              <w:rPr>
                <w:rFonts w:cs="Times New Roman"/>
              </w:rPr>
            </w:pPr>
          </w:p>
        </w:tc>
      </w:tr>
    </w:tbl>
    <w:p w14:paraId="616898B1">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2.5</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 xml:space="preserve">  涉及有毒有害的危险废物一览表</w:t>
      </w:r>
    </w:p>
    <w:tbl>
      <w:tblPr>
        <w:tblStyle w:val="41"/>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665"/>
        <w:gridCol w:w="1825"/>
        <w:gridCol w:w="1069"/>
        <w:gridCol w:w="1438"/>
        <w:gridCol w:w="899"/>
        <w:gridCol w:w="1134"/>
      </w:tblGrid>
      <w:tr w14:paraId="1EA3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Merge w:val="restart"/>
            <w:vAlign w:val="center"/>
          </w:tcPr>
          <w:p w14:paraId="04B6A82E">
            <w:pPr>
              <w:pStyle w:val="78"/>
              <w:rPr>
                <w:rFonts w:cs="Times New Roman"/>
              </w:rPr>
            </w:pPr>
            <w:r>
              <w:rPr>
                <w:rFonts w:cs="Times New Roman"/>
              </w:rPr>
              <w:t>序号</w:t>
            </w:r>
          </w:p>
        </w:tc>
        <w:tc>
          <w:tcPr>
            <w:tcW w:w="1665" w:type="dxa"/>
            <w:vMerge w:val="restart"/>
            <w:vAlign w:val="center"/>
          </w:tcPr>
          <w:p w14:paraId="6E5E9312">
            <w:pPr>
              <w:pStyle w:val="78"/>
              <w:rPr>
                <w:rFonts w:cs="Times New Roman"/>
              </w:rPr>
            </w:pPr>
            <w:r>
              <w:rPr>
                <w:rFonts w:cs="Times New Roman"/>
              </w:rPr>
              <w:t>固废名称</w:t>
            </w:r>
          </w:p>
        </w:tc>
        <w:tc>
          <w:tcPr>
            <w:tcW w:w="1825" w:type="dxa"/>
            <w:vMerge w:val="restart"/>
            <w:vAlign w:val="center"/>
          </w:tcPr>
          <w:p w14:paraId="3D3D19BE">
            <w:pPr>
              <w:pStyle w:val="78"/>
              <w:rPr>
                <w:rFonts w:cs="Times New Roman"/>
              </w:rPr>
            </w:pPr>
            <w:r>
              <w:rPr>
                <w:rFonts w:cs="Times New Roman"/>
              </w:rPr>
              <w:t>产污环节</w:t>
            </w:r>
          </w:p>
        </w:tc>
        <w:tc>
          <w:tcPr>
            <w:tcW w:w="2507" w:type="dxa"/>
            <w:gridSpan w:val="2"/>
            <w:noWrap/>
            <w:vAlign w:val="center"/>
          </w:tcPr>
          <w:p w14:paraId="6C115FC5">
            <w:pPr>
              <w:pStyle w:val="78"/>
              <w:rPr>
                <w:rFonts w:cs="Times New Roman"/>
              </w:rPr>
            </w:pPr>
            <w:r>
              <w:rPr>
                <w:rFonts w:cs="Times New Roman"/>
              </w:rPr>
              <w:t>固废编码</w:t>
            </w:r>
          </w:p>
        </w:tc>
        <w:tc>
          <w:tcPr>
            <w:tcW w:w="899" w:type="dxa"/>
            <w:vMerge w:val="restart"/>
            <w:vAlign w:val="center"/>
          </w:tcPr>
          <w:p w14:paraId="7193E8EC">
            <w:pPr>
              <w:pStyle w:val="78"/>
              <w:rPr>
                <w:rFonts w:cs="Times New Roman"/>
              </w:rPr>
            </w:pPr>
            <w:r>
              <w:rPr>
                <w:rFonts w:cs="Times New Roman"/>
              </w:rPr>
              <w:t>最大储存量</w:t>
            </w:r>
            <w:r>
              <w:rPr>
                <w:rFonts w:hint="eastAsia" w:cs="Times New Roman"/>
              </w:rPr>
              <w:t>/t</w:t>
            </w:r>
          </w:p>
        </w:tc>
        <w:tc>
          <w:tcPr>
            <w:tcW w:w="1134" w:type="dxa"/>
            <w:vMerge w:val="restart"/>
            <w:vAlign w:val="center"/>
          </w:tcPr>
          <w:p w14:paraId="525B965A">
            <w:pPr>
              <w:pStyle w:val="78"/>
              <w:rPr>
                <w:rFonts w:cs="Times New Roman"/>
              </w:rPr>
            </w:pPr>
            <w:r>
              <w:rPr>
                <w:rFonts w:cs="Times New Roman"/>
              </w:rPr>
              <w:t>暂存位置</w:t>
            </w:r>
          </w:p>
        </w:tc>
      </w:tr>
      <w:tr w14:paraId="4A7E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Merge w:val="continue"/>
            <w:vAlign w:val="center"/>
          </w:tcPr>
          <w:p w14:paraId="0E28DCED">
            <w:pPr>
              <w:pStyle w:val="78"/>
              <w:rPr>
                <w:rFonts w:cs="Times New Roman"/>
              </w:rPr>
            </w:pPr>
          </w:p>
        </w:tc>
        <w:tc>
          <w:tcPr>
            <w:tcW w:w="1665" w:type="dxa"/>
            <w:vMerge w:val="continue"/>
            <w:vAlign w:val="center"/>
          </w:tcPr>
          <w:p w14:paraId="50B03901">
            <w:pPr>
              <w:pStyle w:val="78"/>
              <w:rPr>
                <w:rFonts w:cs="Times New Roman"/>
              </w:rPr>
            </w:pPr>
          </w:p>
        </w:tc>
        <w:tc>
          <w:tcPr>
            <w:tcW w:w="1825" w:type="dxa"/>
            <w:vMerge w:val="continue"/>
            <w:vAlign w:val="center"/>
          </w:tcPr>
          <w:p w14:paraId="1387AB17">
            <w:pPr>
              <w:pStyle w:val="78"/>
              <w:rPr>
                <w:rFonts w:cs="Times New Roman"/>
              </w:rPr>
            </w:pPr>
          </w:p>
        </w:tc>
        <w:tc>
          <w:tcPr>
            <w:tcW w:w="1069" w:type="dxa"/>
            <w:vAlign w:val="center"/>
          </w:tcPr>
          <w:p w14:paraId="56BB4F05">
            <w:pPr>
              <w:pStyle w:val="78"/>
              <w:rPr>
                <w:rFonts w:cs="Times New Roman"/>
              </w:rPr>
            </w:pPr>
            <w:r>
              <w:rPr>
                <w:rFonts w:cs="Times New Roman"/>
              </w:rPr>
              <w:t>废物类别</w:t>
            </w:r>
          </w:p>
        </w:tc>
        <w:tc>
          <w:tcPr>
            <w:tcW w:w="1438" w:type="dxa"/>
            <w:vAlign w:val="center"/>
          </w:tcPr>
          <w:p w14:paraId="6AD35F76">
            <w:pPr>
              <w:pStyle w:val="78"/>
              <w:rPr>
                <w:rFonts w:cs="Times New Roman"/>
              </w:rPr>
            </w:pPr>
            <w:r>
              <w:rPr>
                <w:rFonts w:cs="Times New Roman"/>
              </w:rPr>
              <w:t>废物代码</w:t>
            </w:r>
          </w:p>
        </w:tc>
        <w:tc>
          <w:tcPr>
            <w:tcW w:w="899" w:type="dxa"/>
            <w:vMerge w:val="continue"/>
            <w:vAlign w:val="center"/>
          </w:tcPr>
          <w:p w14:paraId="4A021A3E">
            <w:pPr>
              <w:pStyle w:val="78"/>
              <w:rPr>
                <w:rFonts w:cs="Times New Roman"/>
              </w:rPr>
            </w:pPr>
          </w:p>
        </w:tc>
        <w:tc>
          <w:tcPr>
            <w:tcW w:w="1134" w:type="dxa"/>
            <w:vMerge w:val="continue"/>
            <w:vAlign w:val="center"/>
          </w:tcPr>
          <w:p w14:paraId="4DB59769">
            <w:pPr>
              <w:pStyle w:val="78"/>
              <w:rPr>
                <w:rFonts w:cs="Times New Roman"/>
              </w:rPr>
            </w:pPr>
          </w:p>
        </w:tc>
      </w:tr>
      <w:tr w14:paraId="6086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37" w:type="dxa"/>
            <w:vAlign w:val="center"/>
          </w:tcPr>
          <w:p w14:paraId="7A54ECA7">
            <w:pPr>
              <w:pStyle w:val="78"/>
              <w:rPr>
                <w:rFonts w:eastAsia="黑体" w:cs="Times New Roman"/>
              </w:rPr>
            </w:pPr>
            <w:r>
              <w:rPr>
                <w:rFonts w:eastAsia="黑体" w:cs="Times New Roman"/>
              </w:rPr>
              <w:t>1</w:t>
            </w:r>
          </w:p>
        </w:tc>
        <w:tc>
          <w:tcPr>
            <w:tcW w:w="1665" w:type="dxa"/>
            <w:noWrap/>
            <w:vAlign w:val="center"/>
          </w:tcPr>
          <w:p w14:paraId="2707A952">
            <w:pPr>
              <w:pStyle w:val="78"/>
              <w:rPr>
                <w:rFonts w:cs="Times New Roman"/>
              </w:rPr>
            </w:pPr>
            <w:r>
              <w:rPr>
                <w:rFonts w:cs="Times New Roman"/>
              </w:rPr>
              <w:t>废活性炭</w:t>
            </w:r>
          </w:p>
        </w:tc>
        <w:tc>
          <w:tcPr>
            <w:tcW w:w="1825" w:type="dxa"/>
            <w:vAlign w:val="center"/>
          </w:tcPr>
          <w:p w14:paraId="6BF782EE">
            <w:pPr>
              <w:pStyle w:val="78"/>
              <w:rPr>
                <w:rFonts w:cs="Times New Roman"/>
              </w:rPr>
            </w:pPr>
            <w:r>
              <w:rPr>
                <w:rFonts w:cs="Times New Roman"/>
              </w:rPr>
              <w:t>原料化单元废气处理设施</w:t>
            </w:r>
          </w:p>
        </w:tc>
        <w:tc>
          <w:tcPr>
            <w:tcW w:w="1069" w:type="dxa"/>
            <w:noWrap/>
            <w:vAlign w:val="center"/>
          </w:tcPr>
          <w:p w14:paraId="1166E3FE">
            <w:pPr>
              <w:pStyle w:val="78"/>
              <w:rPr>
                <w:rFonts w:eastAsia="黑体" w:cs="Times New Roman"/>
              </w:rPr>
            </w:pPr>
            <w:r>
              <w:rPr>
                <w:rFonts w:eastAsia="黑体" w:cs="Times New Roman"/>
              </w:rPr>
              <w:t>HW49</w:t>
            </w:r>
          </w:p>
        </w:tc>
        <w:tc>
          <w:tcPr>
            <w:tcW w:w="1438" w:type="dxa"/>
            <w:noWrap/>
            <w:vAlign w:val="center"/>
          </w:tcPr>
          <w:p w14:paraId="334540BF">
            <w:pPr>
              <w:pStyle w:val="78"/>
              <w:rPr>
                <w:rFonts w:eastAsia="黑体" w:cs="Times New Roman"/>
              </w:rPr>
            </w:pPr>
            <w:r>
              <w:rPr>
                <w:rFonts w:eastAsia="黑体" w:cs="Times New Roman"/>
              </w:rPr>
              <w:t>900-039-49</w:t>
            </w:r>
          </w:p>
        </w:tc>
        <w:tc>
          <w:tcPr>
            <w:tcW w:w="899" w:type="dxa"/>
            <w:noWrap/>
            <w:vAlign w:val="center"/>
          </w:tcPr>
          <w:p w14:paraId="02D19F14">
            <w:pPr>
              <w:pStyle w:val="78"/>
              <w:rPr>
                <w:rFonts w:eastAsia="黑体" w:cs="Times New Roman"/>
              </w:rPr>
            </w:pPr>
            <w:r>
              <w:rPr>
                <w:rFonts w:hint="eastAsia" w:cs="Times New Roman"/>
                <w:szCs w:val="21"/>
              </w:rPr>
              <w:t>10</w:t>
            </w:r>
            <w:r>
              <w:rPr>
                <w:rFonts w:cs="Times New Roman"/>
                <w:szCs w:val="21"/>
              </w:rPr>
              <w:t xml:space="preserve"> </w:t>
            </w:r>
          </w:p>
        </w:tc>
        <w:tc>
          <w:tcPr>
            <w:tcW w:w="1134" w:type="dxa"/>
            <w:vAlign w:val="center"/>
          </w:tcPr>
          <w:p w14:paraId="3ED084E1">
            <w:pPr>
              <w:pStyle w:val="78"/>
              <w:rPr>
                <w:rFonts w:cs="Times New Roman"/>
              </w:rPr>
            </w:pPr>
            <w:r>
              <w:rPr>
                <w:rFonts w:cs="Times New Roman"/>
              </w:rPr>
              <w:t>危废库</w:t>
            </w:r>
          </w:p>
        </w:tc>
      </w:tr>
      <w:tr w14:paraId="7743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37" w:type="dxa"/>
            <w:vAlign w:val="center"/>
          </w:tcPr>
          <w:p w14:paraId="20BFE9F9">
            <w:pPr>
              <w:pStyle w:val="78"/>
              <w:rPr>
                <w:rFonts w:eastAsia="黑体" w:cs="Times New Roman"/>
              </w:rPr>
            </w:pPr>
            <w:r>
              <w:rPr>
                <w:rFonts w:eastAsia="黑体" w:cs="Times New Roman"/>
              </w:rPr>
              <w:t>2</w:t>
            </w:r>
          </w:p>
        </w:tc>
        <w:tc>
          <w:tcPr>
            <w:tcW w:w="1665" w:type="dxa"/>
            <w:noWrap/>
            <w:vAlign w:val="center"/>
          </w:tcPr>
          <w:p w14:paraId="7D7FB990">
            <w:pPr>
              <w:pStyle w:val="78"/>
              <w:rPr>
                <w:rFonts w:cs="Times New Roman"/>
              </w:rPr>
            </w:pPr>
            <w:r>
              <w:rPr>
                <w:rFonts w:cs="Times New Roman"/>
              </w:rPr>
              <w:t>裂解单元废催化剂、炉渣</w:t>
            </w:r>
          </w:p>
        </w:tc>
        <w:tc>
          <w:tcPr>
            <w:tcW w:w="1825" w:type="dxa"/>
            <w:vAlign w:val="center"/>
          </w:tcPr>
          <w:p w14:paraId="27FECDCA">
            <w:pPr>
              <w:pStyle w:val="78"/>
              <w:rPr>
                <w:rFonts w:cs="Times New Roman"/>
              </w:rPr>
            </w:pPr>
            <w:r>
              <w:rPr>
                <w:rFonts w:cs="Times New Roman"/>
              </w:rPr>
              <w:t>裂解、旋流撬装</w:t>
            </w:r>
          </w:p>
        </w:tc>
        <w:tc>
          <w:tcPr>
            <w:tcW w:w="1069" w:type="dxa"/>
            <w:vAlign w:val="center"/>
          </w:tcPr>
          <w:p w14:paraId="75297740">
            <w:pPr>
              <w:pStyle w:val="78"/>
              <w:rPr>
                <w:rFonts w:eastAsia="黑体" w:cs="Times New Roman"/>
              </w:rPr>
            </w:pPr>
            <w:r>
              <w:rPr>
                <w:rFonts w:eastAsia="黑体" w:cs="Times New Roman"/>
              </w:rPr>
              <w:t>HW50</w:t>
            </w:r>
          </w:p>
        </w:tc>
        <w:tc>
          <w:tcPr>
            <w:tcW w:w="1438" w:type="dxa"/>
            <w:noWrap/>
            <w:vAlign w:val="center"/>
          </w:tcPr>
          <w:p w14:paraId="52D0CD48">
            <w:pPr>
              <w:pStyle w:val="78"/>
              <w:rPr>
                <w:rFonts w:cs="Times New Roman"/>
              </w:rPr>
            </w:pPr>
            <w:r>
              <w:rPr>
                <w:rFonts w:cs="Times New Roman"/>
              </w:rPr>
              <w:t>待定 </w:t>
            </w:r>
          </w:p>
        </w:tc>
        <w:tc>
          <w:tcPr>
            <w:tcW w:w="899" w:type="dxa"/>
            <w:noWrap/>
            <w:vAlign w:val="center"/>
          </w:tcPr>
          <w:p w14:paraId="2F6026E3">
            <w:pPr>
              <w:pStyle w:val="78"/>
              <w:rPr>
                <w:rFonts w:eastAsia="黑体" w:cs="Times New Roman"/>
              </w:rPr>
            </w:pPr>
            <w:r>
              <w:rPr>
                <w:rFonts w:cs="Times New Roman"/>
                <w:szCs w:val="21"/>
              </w:rPr>
              <w:t xml:space="preserve">216 </w:t>
            </w:r>
          </w:p>
        </w:tc>
        <w:tc>
          <w:tcPr>
            <w:tcW w:w="1134" w:type="dxa"/>
            <w:vAlign w:val="center"/>
          </w:tcPr>
          <w:p w14:paraId="16C0A33E">
            <w:pPr>
              <w:pStyle w:val="78"/>
              <w:rPr>
                <w:rFonts w:cs="Times New Roman"/>
              </w:rPr>
            </w:pPr>
            <w:r>
              <w:rPr>
                <w:rFonts w:cs="Times New Roman"/>
              </w:rPr>
              <w:t>废催化剂罐、热催化剂罐</w:t>
            </w:r>
          </w:p>
        </w:tc>
      </w:tr>
      <w:tr w14:paraId="4ABB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7" w:type="dxa"/>
            <w:vAlign w:val="center"/>
          </w:tcPr>
          <w:p w14:paraId="673B5F58">
            <w:pPr>
              <w:pStyle w:val="78"/>
              <w:rPr>
                <w:rFonts w:eastAsia="黑体" w:cs="Times New Roman"/>
              </w:rPr>
            </w:pPr>
            <w:r>
              <w:rPr>
                <w:rFonts w:eastAsia="黑体" w:cs="Times New Roman"/>
              </w:rPr>
              <w:t>3</w:t>
            </w:r>
          </w:p>
        </w:tc>
        <w:tc>
          <w:tcPr>
            <w:tcW w:w="1665" w:type="dxa"/>
            <w:noWrap/>
            <w:vAlign w:val="center"/>
          </w:tcPr>
          <w:p w14:paraId="6BC5A096">
            <w:pPr>
              <w:pStyle w:val="78"/>
              <w:rPr>
                <w:rFonts w:cs="Times New Roman"/>
              </w:rPr>
            </w:pPr>
            <w:r>
              <w:rPr>
                <w:rFonts w:cs="Times New Roman"/>
              </w:rPr>
              <w:t>废粉尘</w:t>
            </w:r>
          </w:p>
        </w:tc>
        <w:tc>
          <w:tcPr>
            <w:tcW w:w="1825" w:type="dxa"/>
            <w:vMerge w:val="restart"/>
            <w:vAlign w:val="center"/>
          </w:tcPr>
          <w:p w14:paraId="17AE90BB">
            <w:pPr>
              <w:pStyle w:val="78"/>
              <w:rPr>
                <w:rFonts w:cs="Times New Roman"/>
              </w:rPr>
            </w:pPr>
            <w:r>
              <w:rPr>
                <w:rFonts w:cs="Times New Roman"/>
              </w:rPr>
              <w:t>废催化剂再生烟气布袋除尘器</w:t>
            </w:r>
          </w:p>
        </w:tc>
        <w:tc>
          <w:tcPr>
            <w:tcW w:w="1069" w:type="dxa"/>
            <w:noWrap/>
            <w:vAlign w:val="center"/>
          </w:tcPr>
          <w:p w14:paraId="1EF321B0">
            <w:pPr>
              <w:pStyle w:val="78"/>
              <w:rPr>
                <w:rFonts w:eastAsia="黑体" w:cs="Times New Roman"/>
              </w:rPr>
            </w:pPr>
            <w:r>
              <w:rPr>
                <w:rFonts w:eastAsia="黑体" w:cs="Times New Roman"/>
              </w:rPr>
              <w:t>HW18</w:t>
            </w:r>
          </w:p>
        </w:tc>
        <w:tc>
          <w:tcPr>
            <w:tcW w:w="1438" w:type="dxa"/>
            <w:noWrap/>
            <w:vAlign w:val="center"/>
          </w:tcPr>
          <w:p w14:paraId="706028EA">
            <w:pPr>
              <w:pStyle w:val="78"/>
              <w:rPr>
                <w:rFonts w:eastAsia="黑体" w:cs="Times New Roman"/>
              </w:rPr>
            </w:pPr>
            <w:r>
              <w:rPr>
                <w:rFonts w:eastAsia="黑体" w:cs="Times New Roman"/>
              </w:rPr>
              <w:t>772-002-18</w:t>
            </w:r>
          </w:p>
        </w:tc>
        <w:tc>
          <w:tcPr>
            <w:tcW w:w="899" w:type="dxa"/>
            <w:noWrap/>
            <w:vAlign w:val="center"/>
          </w:tcPr>
          <w:p w14:paraId="340E79E4">
            <w:pPr>
              <w:pStyle w:val="78"/>
              <w:rPr>
                <w:rFonts w:eastAsia="黑体" w:cs="Times New Roman"/>
              </w:rPr>
            </w:pPr>
            <w:r>
              <w:rPr>
                <w:rFonts w:cs="Times New Roman"/>
                <w:szCs w:val="21"/>
              </w:rPr>
              <w:t xml:space="preserve">6.9 </w:t>
            </w:r>
          </w:p>
        </w:tc>
        <w:tc>
          <w:tcPr>
            <w:tcW w:w="1134" w:type="dxa"/>
            <w:vAlign w:val="center"/>
          </w:tcPr>
          <w:p w14:paraId="2A66F46C">
            <w:pPr>
              <w:pStyle w:val="78"/>
              <w:rPr>
                <w:rFonts w:cs="Times New Roman"/>
              </w:rPr>
            </w:pPr>
            <w:r>
              <w:rPr>
                <w:rFonts w:cs="Times New Roman"/>
              </w:rPr>
              <w:t>危废库</w:t>
            </w:r>
          </w:p>
        </w:tc>
      </w:tr>
      <w:tr w14:paraId="3DF3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Align w:val="center"/>
          </w:tcPr>
          <w:p w14:paraId="1D55DECB">
            <w:pPr>
              <w:pStyle w:val="78"/>
              <w:rPr>
                <w:rFonts w:eastAsia="黑体" w:cs="Times New Roman"/>
              </w:rPr>
            </w:pPr>
            <w:r>
              <w:rPr>
                <w:rFonts w:eastAsia="黑体" w:cs="Times New Roman"/>
              </w:rPr>
              <w:t>4</w:t>
            </w:r>
          </w:p>
        </w:tc>
        <w:tc>
          <w:tcPr>
            <w:tcW w:w="1665" w:type="dxa"/>
            <w:noWrap/>
            <w:vAlign w:val="center"/>
          </w:tcPr>
          <w:p w14:paraId="0250C5C0">
            <w:pPr>
              <w:pStyle w:val="78"/>
              <w:rPr>
                <w:rFonts w:cs="Times New Roman"/>
              </w:rPr>
            </w:pPr>
            <w:r>
              <w:rPr>
                <w:rFonts w:cs="Times New Roman"/>
              </w:rPr>
              <w:t>废布袋</w:t>
            </w:r>
          </w:p>
        </w:tc>
        <w:tc>
          <w:tcPr>
            <w:tcW w:w="1825" w:type="dxa"/>
            <w:vMerge w:val="continue"/>
            <w:vAlign w:val="center"/>
          </w:tcPr>
          <w:p w14:paraId="6FBF0C79">
            <w:pPr>
              <w:pStyle w:val="78"/>
              <w:rPr>
                <w:rFonts w:cs="Times New Roman"/>
              </w:rPr>
            </w:pPr>
          </w:p>
        </w:tc>
        <w:tc>
          <w:tcPr>
            <w:tcW w:w="1069" w:type="dxa"/>
            <w:noWrap/>
            <w:vAlign w:val="center"/>
          </w:tcPr>
          <w:p w14:paraId="0F4E60DE">
            <w:pPr>
              <w:pStyle w:val="78"/>
              <w:rPr>
                <w:rFonts w:eastAsia="黑体" w:cs="Times New Roman"/>
              </w:rPr>
            </w:pPr>
            <w:r>
              <w:rPr>
                <w:rFonts w:eastAsia="黑体" w:cs="Times New Roman"/>
              </w:rPr>
              <w:t>HW49</w:t>
            </w:r>
          </w:p>
        </w:tc>
        <w:tc>
          <w:tcPr>
            <w:tcW w:w="1438" w:type="dxa"/>
            <w:noWrap/>
            <w:vAlign w:val="center"/>
          </w:tcPr>
          <w:p w14:paraId="4CE6E636">
            <w:pPr>
              <w:pStyle w:val="78"/>
              <w:rPr>
                <w:rFonts w:eastAsia="黑体" w:cs="Times New Roman"/>
              </w:rPr>
            </w:pPr>
            <w:r>
              <w:rPr>
                <w:rFonts w:eastAsia="黑体" w:cs="Times New Roman"/>
              </w:rPr>
              <w:t>900-041-49</w:t>
            </w:r>
          </w:p>
        </w:tc>
        <w:tc>
          <w:tcPr>
            <w:tcW w:w="899" w:type="dxa"/>
            <w:noWrap/>
            <w:vAlign w:val="center"/>
          </w:tcPr>
          <w:p w14:paraId="511A7CFC">
            <w:pPr>
              <w:pStyle w:val="78"/>
              <w:rPr>
                <w:rFonts w:eastAsia="黑体" w:cs="Times New Roman"/>
              </w:rPr>
            </w:pPr>
            <w:r>
              <w:rPr>
                <w:rFonts w:cs="Times New Roman"/>
                <w:szCs w:val="21"/>
              </w:rPr>
              <w:t xml:space="preserve">0.30 </w:t>
            </w:r>
          </w:p>
        </w:tc>
        <w:tc>
          <w:tcPr>
            <w:tcW w:w="1134" w:type="dxa"/>
            <w:vAlign w:val="center"/>
          </w:tcPr>
          <w:p w14:paraId="0039A173">
            <w:pPr>
              <w:pStyle w:val="78"/>
              <w:rPr>
                <w:rFonts w:cs="Times New Roman"/>
              </w:rPr>
            </w:pPr>
            <w:r>
              <w:rPr>
                <w:rFonts w:cs="Times New Roman"/>
              </w:rPr>
              <w:t>危废库</w:t>
            </w:r>
          </w:p>
        </w:tc>
      </w:tr>
      <w:tr w14:paraId="59ED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37" w:type="dxa"/>
            <w:vAlign w:val="center"/>
          </w:tcPr>
          <w:p w14:paraId="3BDDCA32">
            <w:pPr>
              <w:pStyle w:val="78"/>
              <w:rPr>
                <w:rFonts w:eastAsia="黑体" w:cs="Times New Roman"/>
              </w:rPr>
            </w:pPr>
            <w:r>
              <w:rPr>
                <w:rFonts w:eastAsia="黑体" w:cs="Times New Roman"/>
              </w:rPr>
              <w:t>5</w:t>
            </w:r>
          </w:p>
        </w:tc>
        <w:tc>
          <w:tcPr>
            <w:tcW w:w="1665" w:type="dxa"/>
            <w:noWrap/>
            <w:vAlign w:val="center"/>
          </w:tcPr>
          <w:p w14:paraId="46A2BB6D">
            <w:pPr>
              <w:pStyle w:val="78"/>
              <w:rPr>
                <w:rFonts w:cs="Times New Roman"/>
              </w:rPr>
            </w:pPr>
            <w:r>
              <w:rPr>
                <w:rFonts w:cs="Times New Roman"/>
              </w:rPr>
              <w:t>设备清洗废水</w:t>
            </w:r>
          </w:p>
        </w:tc>
        <w:tc>
          <w:tcPr>
            <w:tcW w:w="1825" w:type="dxa"/>
            <w:vAlign w:val="center"/>
          </w:tcPr>
          <w:p w14:paraId="6BFD2793">
            <w:pPr>
              <w:pStyle w:val="78"/>
              <w:rPr>
                <w:rFonts w:cs="Times New Roman"/>
              </w:rPr>
            </w:pPr>
            <w:r>
              <w:rPr>
                <w:rFonts w:cs="Times New Roman"/>
              </w:rPr>
              <w:t>裂解单元开停工设备清洗</w:t>
            </w:r>
          </w:p>
        </w:tc>
        <w:tc>
          <w:tcPr>
            <w:tcW w:w="1069" w:type="dxa"/>
            <w:noWrap/>
            <w:vAlign w:val="center"/>
          </w:tcPr>
          <w:p w14:paraId="69E43094">
            <w:pPr>
              <w:pStyle w:val="78"/>
              <w:rPr>
                <w:rFonts w:eastAsia="黑体" w:cs="Times New Roman"/>
              </w:rPr>
            </w:pPr>
            <w:r>
              <w:rPr>
                <w:rFonts w:eastAsia="黑体" w:cs="Times New Roman"/>
              </w:rPr>
              <w:t>HW49</w:t>
            </w:r>
          </w:p>
        </w:tc>
        <w:tc>
          <w:tcPr>
            <w:tcW w:w="1438" w:type="dxa"/>
            <w:noWrap/>
            <w:vAlign w:val="center"/>
          </w:tcPr>
          <w:p w14:paraId="72289978">
            <w:pPr>
              <w:pStyle w:val="78"/>
              <w:rPr>
                <w:rFonts w:eastAsia="黑体" w:cs="Times New Roman"/>
              </w:rPr>
            </w:pPr>
            <w:r>
              <w:rPr>
                <w:rFonts w:eastAsia="黑体" w:cs="Times New Roman"/>
              </w:rPr>
              <w:t>900-047-49</w:t>
            </w:r>
          </w:p>
        </w:tc>
        <w:tc>
          <w:tcPr>
            <w:tcW w:w="899" w:type="dxa"/>
            <w:noWrap/>
            <w:vAlign w:val="center"/>
          </w:tcPr>
          <w:p w14:paraId="1A948C87">
            <w:pPr>
              <w:pStyle w:val="78"/>
              <w:rPr>
                <w:rFonts w:eastAsia="黑体" w:cs="Times New Roman"/>
              </w:rPr>
            </w:pPr>
            <w:r>
              <w:rPr>
                <w:rFonts w:hint="eastAsia" w:cs="Times New Roman"/>
                <w:szCs w:val="21"/>
              </w:rPr>
              <w:t>即产即运</w:t>
            </w:r>
          </w:p>
        </w:tc>
        <w:tc>
          <w:tcPr>
            <w:tcW w:w="1134" w:type="dxa"/>
            <w:vAlign w:val="center"/>
          </w:tcPr>
          <w:p w14:paraId="4FDFDB4D">
            <w:pPr>
              <w:pStyle w:val="78"/>
              <w:rPr>
                <w:rFonts w:eastAsia="黑体" w:cs="Times New Roman"/>
              </w:rPr>
            </w:pPr>
            <w:r>
              <w:rPr>
                <w:rFonts w:eastAsia="黑体" w:cs="Times New Roman"/>
              </w:rPr>
              <w:t>/</w:t>
            </w:r>
          </w:p>
        </w:tc>
      </w:tr>
      <w:tr w14:paraId="11B3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Align w:val="center"/>
          </w:tcPr>
          <w:p w14:paraId="74E667CE">
            <w:pPr>
              <w:pStyle w:val="78"/>
              <w:rPr>
                <w:rFonts w:eastAsia="黑体" w:cs="Times New Roman"/>
              </w:rPr>
            </w:pPr>
            <w:r>
              <w:rPr>
                <w:rFonts w:eastAsia="黑体" w:cs="Times New Roman"/>
              </w:rPr>
              <w:t>6</w:t>
            </w:r>
          </w:p>
        </w:tc>
        <w:tc>
          <w:tcPr>
            <w:tcW w:w="1665" w:type="dxa"/>
            <w:vAlign w:val="center"/>
          </w:tcPr>
          <w:p w14:paraId="4629459E">
            <w:pPr>
              <w:pStyle w:val="78"/>
              <w:rPr>
                <w:rFonts w:cs="Times New Roman"/>
              </w:rPr>
            </w:pPr>
            <w:r>
              <w:rPr>
                <w:rFonts w:cs="Times New Roman"/>
              </w:rPr>
              <w:t>废机油</w:t>
            </w:r>
          </w:p>
        </w:tc>
        <w:tc>
          <w:tcPr>
            <w:tcW w:w="1825" w:type="dxa"/>
            <w:vMerge w:val="restart"/>
            <w:vAlign w:val="center"/>
          </w:tcPr>
          <w:p w14:paraId="38609AF0">
            <w:pPr>
              <w:pStyle w:val="78"/>
              <w:rPr>
                <w:rFonts w:cs="Times New Roman"/>
              </w:rPr>
            </w:pPr>
            <w:r>
              <w:rPr>
                <w:rFonts w:cs="Times New Roman"/>
              </w:rPr>
              <w:t>生产区设备检修</w:t>
            </w:r>
          </w:p>
        </w:tc>
        <w:tc>
          <w:tcPr>
            <w:tcW w:w="1069" w:type="dxa"/>
            <w:noWrap/>
            <w:vAlign w:val="center"/>
          </w:tcPr>
          <w:p w14:paraId="6D24A92D">
            <w:pPr>
              <w:pStyle w:val="78"/>
              <w:rPr>
                <w:rFonts w:eastAsia="黑体" w:cs="Times New Roman"/>
              </w:rPr>
            </w:pPr>
            <w:r>
              <w:rPr>
                <w:rFonts w:eastAsia="黑体" w:cs="Times New Roman"/>
              </w:rPr>
              <w:t>HW08</w:t>
            </w:r>
          </w:p>
        </w:tc>
        <w:tc>
          <w:tcPr>
            <w:tcW w:w="1438" w:type="dxa"/>
            <w:vAlign w:val="center"/>
          </w:tcPr>
          <w:p w14:paraId="327B01D5">
            <w:pPr>
              <w:pStyle w:val="78"/>
              <w:rPr>
                <w:rFonts w:eastAsia="黑体" w:cs="Times New Roman"/>
              </w:rPr>
            </w:pPr>
            <w:r>
              <w:rPr>
                <w:rFonts w:eastAsia="黑体" w:cs="Times New Roman"/>
              </w:rPr>
              <w:t>900-249-08</w:t>
            </w:r>
          </w:p>
        </w:tc>
        <w:tc>
          <w:tcPr>
            <w:tcW w:w="899" w:type="dxa"/>
            <w:noWrap/>
            <w:vAlign w:val="center"/>
          </w:tcPr>
          <w:p w14:paraId="3402242B">
            <w:pPr>
              <w:pStyle w:val="78"/>
              <w:rPr>
                <w:rFonts w:eastAsia="黑体" w:cs="Times New Roman"/>
              </w:rPr>
            </w:pPr>
            <w:r>
              <w:rPr>
                <w:rFonts w:cs="Times New Roman"/>
                <w:szCs w:val="21"/>
              </w:rPr>
              <w:t>0.5</w:t>
            </w:r>
          </w:p>
        </w:tc>
        <w:tc>
          <w:tcPr>
            <w:tcW w:w="1134" w:type="dxa"/>
            <w:vAlign w:val="center"/>
          </w:tcPr>
          <w:p w14:paraId="51324CA7">
            <w:pPr>
              <w:pStyle w:val="78"/>
              <w:rPr>
                <w:rFonts w:cs="Times New Roman"/>
              </w:rPr>
            </w:pPr>
            <w:r>
              <w:rPr>
                <w:rFonts w:cs="Times New Roman"/>
              </w:rPr>
              <w:t>危废库</w:t>
            </w:r>
          </w:p>
        </w:tc>
      </w:tr>
      <w:tr w14:paraId="0C78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437" w:type="dxa"/>
            <w:vAlign w:val="center"/>
          </w:tcPr>
          <w:p w14:paraId="2EDBCBF8">
            <w:pPr>
              <w:pStyle w:val="78"/>
              <w:rPr>
                <w:rFonts w:eastAsia="黑体" w:cs="Times New Roman"/>
              </w:rPr>
            </w:pPr>
            <w:r>
              <w:rPr>
                <w:rFonts w:eastAsia="黑体" w:cs="Times New Roman"/>
              </w:rPr>
              <w:t>7</w:t>
            </w:r>
          </w:p>
        </w:tc>
        <w:tc>
          <w:tcPr>
            <w:tcW w:w="1665" w:type="dxa"/>
            <w:vAlign w:val="center"/>
          </w:tcPr>
          <w:p w14:paraId="412CA603">
            <w:pPr>
              <w:pStyle w:val="78"/>
              <w:rPr>
                <w:rFonts w:cs="Times New Roman"/>
              </w:rPr>
            </w:pPr>
            <w:r>
              <w:rPr>
                <w:rFonts w:cs="Times New Roman"/>
              </w:rPr>
              <w:t>废含油抹布手套</w:t>
            </w:r>
          </w:p>
        </w:tc>
        <w:tc>
          <w:tcPr>
            <w:tcW w:w="1825" w:type="dxa"/>
            <w:vMerge w:val="continue"/>
            <w:vAlign w:val="center"/>
          </w:tcPr>
          <w:p w14:paraId="68E98E6A">
            <w:pPr>
              <w:pStyle w:val="78"/>
              <w:rPr>
                <w:rFonts w:cs="Times New Roman"/>
              </w:rPr>
            </w:pPr>
          </w:p>
        </w:tc>
        <w:tc>
          <w:tcPr>
            <w:tcW w:w="1069" w:type="dxa"/>
            <w:noWrap/>
            <w:vAlign w:val="center"/>
          </w:tcPr>
          <w:p w14:paraId="630963BA">
            <w:pPr>
              <w:pStyle w:val="78"/>
              <w:rPr>
                <w:rFonts w:eastAsia="黑体" w:cs="Times New Roman"/>
              </w:rPr>
            </w:pPr>
            <w:r>
              <w:rPr>
                <w:rFonts w:eastAsia="黑体" w:cs="Times New Roman"/>
              </w:rPr>
              <w:t>HW49</w:t>
            </w:r>
          </w:p>
        </w:tc>
        <w:tc>
          <w:tcPr>
            <w:tcW w:w="1438" w:type="dxa"/>
            <w:vAlign w:val="center"/>
          </w:tcPr>
          <w:p w14:paraId="7A43D3FF">
            <w:pPr>
              <w:pStyle w:val="78"/>
              <w:rPr>
                <w:rFonts w:eastAsia="黑体" w:cs="Times New Roman"/>
              </w:rPr>
            </w:pPr>
            <w:r>
              <w:rPr>
                <w:rFonts w:eastAsia="黑体" w:cs="Times New Roman"/>
              </w:rPr>
              <w:t>900-041-49</w:t>
            </w:r>
          </w:p>
        </w:tc>
        <w:tc>
          <w:tcPr>
            <w:tcW w:w="899" w:type="dxa"/>
            <w:noWrap/>
            <w:vAlign w:val="center"/>
          </w:tcPr>
          <w:p w14:paraId="1728E064">
            <w:pPr>
              <w:pStyle w:val="78"/>
              <w:rPr>
                <w:rFonts w:eastAsia="黑体" w:cs="Times New Roman"/>
              </w:rPr>
            </w:pPr>
            <w:r>
              <w:rPr>
                <w:rFonts w:cs="Times New Roman"/>
                <w:szCs w:val="21"/>
              </w:rPr>
              <w:t>0.1</w:t>
            </w:r>
          </w:p>
        </w:tc>
        <w:tc>
          <w:tcPr>
            <w:tcW w:w="1134" w:type="dxa"/>
            <w:vAlign w:val="center"/>
          </w:tcPr>
          <w:p w14:paraId="16350E75">
            <w:pPr>
              <w:pStyle w:val="78"/>
              <w:rPr>
                <w:rFonts w:cs="Times New Roman"/>
              </w:rPr>
            </w:pPr>
            <w:r>
              <w:rPr>
                <w:rFonts w:cs="Times New Roman"/>
              </w:rPr>
              <w:t>危废库</w:t>
            </w:r>
          </w:p>
        </w:tc>
      </w:tr>
      <w:tr w14:paraId="5B31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437" w:type="dxa"/>
            <w:vAlign w:val="center"/>
          </w:tcPr>
          <w:p w14:paraId="01E79997">
            <w:pPr>
              <w:pStyle w:val="78"/>
              <w:rPr>
                <w:rFonts w:eastAsia="黑体" w:cs="Times New Roman"/>
              </w:rPr>
            </w:pPr>
            <w:r>
              <w:rPr>
                <w:rFonts w:eastAsia="黑体" w:cs="Times New Roman"/>
              </w:rPr>
              <w:t>8</w:t>
            </w:r>
          </w:p>
        </w:tc>
        <w:tc>
          <w:tcPr>
            <w:tcW w:w="1665" w:type="dxa"/>
            <w:vAlign w:val="center"/>
          </w:tcPr>
          <w:p w14:paraId="2CFBD6FA">
            <w:pPr>
              <w:pStyle w:val="78"/>
              <w:rPr>
                <w:rFonts w:cs="Times New Roman"/>
              </w:rPr>
            </w:pPr>
            <w:r>
              <w:rPr>
                <w:rFonts w:cs="Times New Roman"/>
              </w:rPr>
              <w:t>废化学试剂包装</w:t>
            </w:r>
          </w:p>
        </w:tc>
        <w:tc>
          <w:tcPr>
            <w:tcW w:w="1825" w:type="dxa"/>
            <w:vMerge w:val="restart"/>
            <w:noWrap/>
            <w:vAlign w:val="center"/>
          </w:tcPr>
          <w:p w14:paraId="5472F33D">
            <w:pPr>
              <w:pStyle w:val="78"/>
              <w:rPr>
                <w:rFonts w:cs="Times New Roman"/>
              </w:rPr>
            </w:pPr>
            <w:r>
              <w:rPr>
                <w:rFonts w:cs="Times New Roman"/>
              </w:rPr>
              <w:t>实验室化验</w:t>
            </w:r>
          </w:p>
        </w:tc>
        <w:tc>
          <w:tcPr>
            <w:tcW w:w="1069" w:type="dxa"/>
            <w:noWrap/>
            <w:vAlign w:val="center"/>
          </w:tcPr>
          <w:p w14:paraId="58EA4167">
            <w:pPr>
              <w:pStyle w:val="78"/>
              <w:rPr>
                <w:rFonts w:eastAsia="黑体" w:cs="Times New Roman"/>
              </w:rPr>
            </w:pPr>
            <w:r>
              <w:rPr>
                <w:rFonts w:eastAsia="黑体" w:cs="Times New Roman"/>
              </w:rPr>
              <w:t>HW49</w:t>
            </w:r>
          </w:p>
        </w:tc>
        <w:tc>
          <w:tcPr>
            <w:tcW w:w="1438" w:type="dxa"/>
            <w:noWrap/>
            <w:vAlign w:val="center"/>
          </w:tcPr>
          <w:p w14:paraId="2DDBE8E2">
            <w:pPr>
              <w:pStyle w:val="78"/>
              <w:rPr>
                <w:rFonts w:eastAsia="黑体" w:cs="Times New Roman"/>
              </w:rPr>
            </w:pPr>
            <w:r>
              <w:rPr>
                <w:rFonts w:eastAsia="黑体" w:cs="Times New Roman"/>
              </w:rPr>
              <w:t>900-047-49</w:t>
            </w:r>
          </w:p>
        </w:tc>
        <w:tc>
          <w:tcPr>
            <w:tcW w:w="899" w:type="dxa"/>
            <w:noWrap/>
            <w:vAlign w:val="center"/>
          </w:tcPr>
          <w:p w14:paraId="6881DF1F">
            <w:pPr>
              <w:pStyle w:val="78"/>
              <w:rPr>
                <w:rFonts w:eastAsia="黑体" w:cs="Times New Roman"/>
              </w:rPr>
            </w:pPr>
            <w:r>
              <w:rPr>
                <w:rFonts w:cs="Times New Roman"/>
                <w:szCs w:val="21"/>
              </w:rPr>
              <w:t>0.125</w:t>
            </w:r>
          </w:p>
        </w:tc>
        <w:tc>
          <w:tcPr>
            <w:tcW w:w="1134" w:type="dxa"/>
            <w:vAlign w:val="center"/>
          </w:tcPr>
          <w:p w14:paraId="59598ADE">
            <w:pPr>
              <w:pStyle w:val="78"/>
              <w:rPr>
                <w:rFonts w:cs="Times New Roman"/>
              </w:rPr>
            </w:pPr>
            <w:r>
              <w:rPr>
                <w:rFonts w:cs="Times New Roman"/>
              </w:rPr>
              <w:t>危废库</w:t>
            </w:r>
          </w:p>
        </w:tc>
      </w:tr>
      <w:tr w14:paraId="28B1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Align w:val="center"/>
          </w:tcPr>
          <w:p w14:paraId="0BBD4A80">
            <w:pPr>
              <w:pStyle w:val="78"/>
              <w:rPr>
                <w:rFonts w:eastAsia="黑体" w:cs="Times New Roman"/>
              </w:rPr>
            </w:pPr>
            <w:r>
              <w:rPr>
                <w:rFonts w:eastAsia="黑体" w:cs="Times New Roman"/>
              </w:rPr>
              <w:t>9</w:t>
            </w:r>
          </w:p>
        </w:tc>
        <w:tc>
          <w:tcPr>
            <w:tcW w:w="1665" w:type="dxa"/>
            <w:vAlign w:val="center"/>
          </w:tcPr>
          <w:p w14:paraId="77DFBDD4">
            <w:pPr>
              <w:pStyle w:val="78"/>
              <w:rPr>
                <w:rFonts w:cs="Times New Roman"/>
              </w:rPr>
            </w:pPr>
            <w:r>
              <w:rPr>
                <w:rFonts w:cs="Times New Roman"/>
              </w:rPr>
              <w:t>实验废液</w:t>
            </w:r>
          </w:p>
        </w:tc>
        <w:tc>
          <w:tcPr>
            <w:tcW w:w="1825" w:type="dxa"/>
            <w:vMerge w:val="continue"/>
            <w:vAlign w:val="center"/>
          </w:tcPr>
          <w:p w14:paraId="5D826A18">
            <w:pPr>
              <w:pStyle w:val="78"/>
              <w:rPr>
                <w:rFonts w:cs="Times New Roman"/>
              </w:rPr>
            </w:pPr>
          </w:p>
        </w:tc>
        <w:tc>
          <w:tcPr>
            <w:tcW w:w="1069" w:type="dxa"/>
            <w:noWrap/>
            <w:vAlign w:val="center"/>
          </w:tcPr>
          <w:p w14:paraId="6F2D1320">
            <w:pPr>
              <w:pStyle w:val="78"/>
              <w:rPr>
                <w:rFonts w:eastAsia="黑体" w:cs="Times New Roman"/>
              </w:rPr>
            </w:pPr>
            <w:r>
              <w:rPr>
                <w:rFonts w:eastAsia="黑体" w:cs="Times New Roman"/>
              </w:rPr>
              <w:t>HW49</w:t>
            </w:r>
          </w:p>
        </w:tc>
        <w:tc>
          <w:tcPr>
            <w:tcW w:w="1438" w:type="dxa"/>
            <w:noWrap/>
            <w:vAlign w:val="center"/>
          </w:tcPr>
          <w:p w14:paraId="2F43AEDC">
            <w:pPr>
              <w:pStyle w:val="78"/>
              <w:rPr>
                <w:rFonts w:eastAsia="黑体" w:cs="Times New Roman"/>
              </w:rPr>
            </w:pPr>
            <w:r>
              <w:rPr>
                <w:rFonts w:eastAsia="黑体" w:cs="Times New Roman"/>
              </w:rPr>
              <w:t>900-047-49</w:t>
            </w:r>
          </w:p>
        </w:tc>
        <w:tc>
          <w:tcPr>
            <w:tcW w:w="899" w:type="dxa"/>
            <w:noWrap/>
            <w:vAlign w:val="center"/>
          </w:tcPr>
          <w:p w14:paraId="5297E7B1">
            <w:pPr>
              <w:pStyle w:val="78"/>
              <w:rPr>
                <w:rFonts w:eastAsia="黑体" w:cs="Times New Roman"/>
              </w:rPr>
            </w:pPr>
            <w:r>
              <w:rPr>
                <w:rFonts w:cs="Times New Roman"/>
                <w:szCs w:val="21"/>
              </w:rPr>
              <w:t>0.125</w:t>
            </w:r>
          </w:p>
        </w:tc>
        <w:tc>
          <w:tcPr>
            <w:tcW w:w="1134" w:type="dxa"/>
            <w:vAlign w:val="center"/>
          </w:tcPr>
          <w:p w14:paraId="28A04CDD">
            <w:pPr>
              <w:pStyle w:val="78"/>
              <w:rPr>
                <w:rFonts w:cs="Times New Roman"/>
              </w:rPr>
            </w:pPr>
            <w:r>
              <w:rPr>
                <w:rFonts w:cs="Times New Roman"/>
              </w:rPr>
              <w:t>危废库</w:t>
            </w:r>
          </w:p>
        </w:tc>
      </w:tr>
    </w:tbl>
    <w:p w14:paraId="4E4D82A0">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bookmarkEnd w:id="39"/>
    <w:p w14:paraId="3CD2F5E6">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r>
        <w:rPr>
          <w:color w:val="auto"/>
        </w:rPr>
        <w:t xml:space="preserve">  涉及有毒有害的物质理化特性一览表</w:t>
      </w:r>
    </w:p>
    <w:tbl>
      <w:tblPr>
        <w:tblStyle w:val="41"/>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559"/>
        <w:gridCol w:w="3969"/>
        <w:gridCol w:w="3969"/>
        <w:gridCol w:w="3827"/>
      </w:tblGrid>
      <w:tr w14:paraId="49A9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582E16DB">
            <w:pPr>
              <w:pStyle w:val="78"/>
              <w:rPr>
                <w:b/>
              </w:rPr>
            </w:pPr>
            <w:r>
              <w:rPr>
                <w:b/>
              </w:rPr>
              <w:t>物质</w:t>
            </w:r>
          </w:p>
        </w:tc>
        <w:tc>
          <w:tcPr>
            <w:tcW w:w="3969" w:type="dxa"/>
            <w:shd w:val="clear" w:color="000000" w:fill="FFFFFF"/>
            <w:vAlign w:val="center"/>
          </w:tcPr>
          <w:p w14:paraId="7B2FB47C">
            <w:pPr>
              <w:pStyle w:val="78"/>
              <w:rPr>
                <w:b/>
              </w:rPr>
            </w:pPr>
            <w:r>
              <w:rPr>
                <w:b/>
              </w:rPr>
              <w:t>SO</w:t>
            </w:r>
            <w:r>
              <w:rPr>
                <w:b/>
                <w:vertAlign w:val="subscript"/>
              </w:rPr>
              <w:t>3</w:t>
            </w:r>
          </w:p>
        </w:tc>
        <w:tc>
          <w:tcPr>
            <w:tcW w:w="3969" w:type="dxa"/>
            <w:shd w:val="clear" w:color="000000" w:fill="FFFFFF"/>
            <w:vAlign w:val="center"/>
          </w:tcPr>
          <w:p w14:paraId="702BEC95">
            <w:pPr>
              <w:pStyle w:val="78"/>
              <w:rPr>
                <w:b/>
              </w:rPr>
            </w:pPr>
            <w:r>
              <w:rPr>
                <w:b/>
              </w:rPr>
              <w:t>V</w:t>
            </w:r>
            <w:r>
              <w:rPr>
                <w:b/>
                <w:vertAlign w:val="subscript"/>
              </w:rPr>
              <w:t>2</w:t>
            </w:r>
            <w:r>
              <w:rPr>
                <w:b/>
              </w:rPr>
              <w:t>O</w:t>
            </w:r>
            <w:r>
              <w:rPr>
                <w:b/>
                <w:vertAlign w:val="subscript"/>
              </w:rPr>
              <w:t>5</w:t>
            </w:r>
          </w:p>
        </w:tc>
        <w:tc>
          <w:tcPr>
            <w:tcW w:w="3827" w:type="dxa"/>
            <w:shd w:val="clear" w:color="000000" w:fill="FFFFFF"/>
            <w:vAlign w:val="center"/>
          </w:tcPr>
          <w:p w14:paraId="602013ED">
            <w:pPr>
              <w:pStyle w:val="78"/>
              <w:rPr>
                <w:b/>
              </w:rPr>
            </w:pPr>
            <w:r>
              <w:rPr>
                <w:b/>
              </w:rPr>
              <w:t>NiO</w:t>
            </w:r>
          </w:p>
        </w:tc>
      </w:tr>
      <w:tr w14:paraId="5F36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00B1DB3D">
            <w:pPr>
              <w:pStyle w:val="78"/>
              <w:rPr>
                <w:rFonts w:cs="Times New Roman"/>
                <w:szCs w:val="21"/>
              </w:rPr>
            </w:pPr>
            <w:r>
              <w:rPr>
                <w:rFonts w:cs="Times New Roman"/>
                <w:szCs w:val="21"/>
              </w:rPr>
              <w:t>物化性质</w:t>
            </w:r>
          </w:p>
        </w:tc>
        <w:tc>
          <w:tcPr>
            <w:tcW w:w="1559" w:type="dxa"/>
            <w:shd w:val="clear" w:color="000000" w:fill="FFFFFF"/>
            <w:vAlign w:val="center"/>
          </w:tcPr>
          <w:p w14:paraId="423468E2">
            <w:pPr>
              <w:pStyle w:val="78"/>
              <w:rPr>
                <w:rFonts w:cs="Times New Roman"/>
                <w:szCs w:val="21"/>
              </w:rPr>
            </w:pPr>
            <w:r>
              <w:rPr>
                <w:rFonts w:cs="Times New Roman"/>
                <w:szCs w:val="21"/>
              </w:rPr>
              <w:t>CAS号</w:t>
            </w:r>
          </w:p>
        </w:tc>
        <w:tc>
          <w:tcPr>
            <w:tcW w:w="3969" w:type="dxa"/>
            <w:shd w:val="clear" w:color="000000" w:fill="FFFFFF"/>
            <w:vAlign w:val="center"/>
          </w:tcPr>
          <w:p w14:paraId="6FA88901">
            <w:pPr>
              <w:pStyle w:val="78"/>
              <w:rPr>
                <w:rFonts w:cs="Times New Roman"/>
                <w:szCs w:val="21"/>
              </w:rPr>
            </w:pPr>
            <w:r>
              <w:rPr>
                <w:rFonts w:cs="Times New Roman"/>
                <w:szCs w:val="21"/>
              </w:rPr>
              <w:t>7446-11-9</w:t>
            </w:r>
          </w:p>
        </w:tc>
        <w:tc>
          <w:tcPr>
            <w:tcW w:w="3969" w:type="dxa"/>
            <w:shd w:val="clear" w:color="000000" w:fill="FFFFFF"/>
            <w:vAlign w:val="center"/>
          </w:tcPr>
          <w:p w14:paraId="2F9CEE0A">
            <w:pPr>
              <w:pStyle w:val="78"/>
              <w:rPr>
                <w:rFonts w:cs="Times New Roman"/>
                <w:szCs w:val="21"/>
              </w:rPr>
            </w:pPr>
            <w:r>
              <w:rPr>
                <w:rFonts w:cs="Times New Roman"/>
                <w:szCs w:val="21"/>
              </w:rPr>
              <w:t>/</w:t>
            </w:r>
          </w:p>
        </w:tc>
        <w:tc>
          <w:tcPr>
            <w:tcW w:w="3827" w:type="dxa"/>
            <w:shd w:val="clear" w:color="000000" w:fill="FFFFFF"/>
            <w:vAlign w:val="center"/>
          </w:tcPr>
          <w:p w14:paraId="3264C715">
            <w:pPr>
              <w:pStyle w:val="78"/>
              <w:rPr>
                <w:rFonts w:cs="Times New Roman"/>
                <w:szCs w:val="21"/>
              </w:rPr>
            </w:pPr>
            <w:r>
              <w:rPr>
                <w:rFonts w:cs="Times New Roman"/>
                <w:szCs w:val="21"/>
              </w:rPr>
              <w:t>/</w:t>
            </w:r>
          </w:p>
        </w:tc>
      </w:tr>
      <w:tr w14:paraId="5EE5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DA07420">
            <w:pPr>
              <w:pStyle w:val="78"/>
              <w:rPr>
                <w:rFonts w:cs="Times New Roman"/>
                <w:szCs w:val="21"/>
              </w:rPr>
            </w:pPr>
          </w:p>
        </w:tc>
        <w:tc>
          <w:tcPr>
            <w:tcW w:w="1559" w:type="dxa"/>
            <w:shd w:val="clear" w:color="000000" w:fill="FFFFFF"/>
            <w:vAlign w:val="center"/>
          </w:tcPr>
          <w:p w14:paraId="4F93BA41">
            <w:pPr>
              <w:pStyle w:val="78"/>
              <w:rPr>
                <w:rFonts w:cs="Times New Roman"/>
                <w:szCs w:val="21"/>
              </w:rPr>
            </w:pPr>
            <w:r>
              <w:rPr>
                <w:rFonts w:cs="Times New Roman"/>
                <w:szCs w:val="21"/>
              </w:rPr>
              <w:t>中文名称/别名</w:t>
            </w:r>
          </w:p>
        </w:tc>
        <w:tc>
          <w:tcPr>
            <w:tcW w:w="3969" w:type="dxa"/>
            <w:shd w:val="clear" w:color="000000" w:fill="FFFFFF"/>
            <w:vAlign w:val="center"/>
          </w:tcPr>
          <w:p w14:paraId="715D2627">
            <w:pPr>
              <w:pStyle w:val="78"/>
              <w:rPr>
                <w:rFonts w:cs="Times New Roman"/>
                <w:szCs w:val="21"/>
              </w:rPr>
            </w:pPr>
            <w:r>
              <w:rPr>
                <w:rFonts w:cs="Times New Roman"/>
                <w:szCs w:val="21"/>
              </w:rPr>
              <w:t>三氧化硫[稳定的];硫酸酐;三氧化硫;硫氧化物</w:t>
            </w:r>
          </w:p>
        </w:tc>
        <w:tc>
          <w:tcPr>
            <w:tcW w:w="3969" w:type="dxa"/>
            <w:shd w:val="clear" w:color="000000" w:fill="FFFFFF"/>
            <w:vAlign w:val="center"/>
          </w:tcPr>
          <w:p w14:paraId="1D8D9E81">
            <w:pPr>
              <w:pStyle w:val="78"/>
              <w:rPr>
                <w:rFonts w:cs="Times New Roman"/>
                <w:szCs w:val="21"/>
              </w:rPr>
            </w:pPr>
            <w:r>
              <w:rPr>
                <w:rFonts w:cs="Times New Roman"/>
                <w:szCs w:val="21"/>
              </w:rPr>
              <w:t>五氧化二钒;钒酸酐;氧化钒（V）;钒（酸）酐</w:t>
            </w:r>
          </w:p>
        </w:tc>
        <w:tc>
          <w:tcPr>
            <w:tcW w:w="3827" w:type="dxa"/>
            <w:shd w:val="clear" w:color="000000" w:fill="FFFFFF"/>
            <w:vAlign w:val="center"/>
          </w:tcPr>
          <w:p w14:paraId="5D0689E9">
            <w:pPr>
              <w:pStyle w:val="78"/>
              <w:rPr>
                <w:rFonts w:cs="Times New Roman"/>
                <w:szCs w:val="21"/>
              </w:rPr>
            </w:pPr>
            <w:r>
              <w:rPr>
                <w:rFonts w:cs="Times New Roman"/>
                <w:szCs w:val="21"/>
              </w:rPr>
              <w:t>氧化镍</w:t>
            </w:r>
          </w:p>
        </w:tc>
      </w:tr>
      <w:tr w14:paraId="66D3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A78A1F3">
            <w:pPr>
              <w:pStyle w:val="78"/>
              <w:rPr>
                <w:rFonts w:cs="Times New Roman"/>
                <w:szCs w:val="21"/>
              </w:rPr>
            </w:pPr>
          </w:p>
        </w:tc>
        <w:tc>
          <w:tcPr>
            <w:tcW w:w="1559" w:type="dxa"/>
            <w:shd w:val="clear" w:color="000000" w:fill="FFFFFF"/>
            <w:vAlign w:val="center"/>
          </w:tcPr>
          <w:p w14:paraId="70E9A5EA">
            <w:pPr>
              <w:pStyle w:val="78"/>
              <w:rPr>
                <w:rFonts w:cs="Times New Roman"/>
                <w:szCs w:val="21"/>
              </w:rPr>
            </w:pPr>
            <w:r>
              <w:rPr>
                <w:rFonts w:cs="Times New Roman"/>
                <w:szCs w:val="21"/>
              </w:rPr>
              <w:t>分子式</w:t>
            </w:r>
          </w:p>
        </w:tc>
        <w:tc>
          <w:tcPr>
            <w:tcW w:w="3969" w:type="dxa"/>
            <w:shd w:val="clear" w:color="000000" w:fill="FFFFFF"/>
            <w:vAlign w:val="center"/>
          </w:tcPr>
          <w:p w14:paraId="4E8EFC84">
            <w:pPr>
              <w:pStyle w:val="78"/>
              <w:rPr>
                <w:rFonts w:cs="Times New Roman"/>
                <w:szCs w:val="21"/>
              </w:rPr>
            </w:pPr>
            <w:r>
              <w:rPr>
                <w:rFonts w:cs="Times New Roman"/>
                <w:szCs w:val="21"/>
              </w:rPr>
              <w:t>SO</w:t>
            </w:r>
            <w:r>
              <w:rPr>
                <w:rFonts w:cs="Times New Roman"/>
                <w:szCs w:val="21"/>
                <w:vertAlign w:val="subscript"/>
              </w:rPr>
              <w:t>3</w:t>
            </w:r>
          </w:p>
        </w:tc>
        <w:tc>
          <w:tcPr>
            <w:tcW w:w="3969" w:type="dxa"/>
            <w:shd w:val="clear" w:color="000000" w:fill="FFFFFF"/>
            <w:vAlign w:val="center"/>
          </w:tcPr>
          <w:p w14:paraId="5E7A2D31">
            <w:pPr>
              <w:pStyle w:val="78"/>
              <w:rPr>
                <w:rFonts w:cs="Times New Roman"/>
                <w:szCs w:val="21"/>
              </w:rPr>
            </w:pPr>
            <w:r>
              <w:rPr>
                <w:rFonts w:cs="Times New Roman"/>
                <w:szCs w:val="21"/>
              </w:rPr>
              <w:t>V</w:t>
            </w:r>
            <w:r>
              <w:rPr>
                <w:rFonts w:cs="Times New Roman"/>
                <w:szCs w:val="21"/>
                <w:vertAlign w:val="subscript"/>
              </w:rPr>
              <w:t>2</w:t>
            </w:r>
            <w:r>
              <w:rPr>
                <w:rFonts w:cs="Times New Roman"/>
                <w:szCs w:val="21"/>
              </w:rPr>
              <w:t>O</w:t>
            </w:r>
            <w:r>
              <w:rPr>
                <w:rFonts w:cs="Times New Roman"/>
                <w:szCs w:val="21"/>
                <w:vertAlign w:val="subscript"/>
              </w:rPr>
              <w:t>5</w:t>
            </w:r>
          </w:p>
        </w:tc>
        <w:tc>
          <w:tcPr>
            <w:tcW w:w="3827" w:type="dxa"/>
            <w:shd w:val="clear" w:color="000000" w:fill="FFFFFF"/>
            <w:vAlign w:val="center"/>
          </w:tcPr>
          <w:p w14:paraId="10249775">
            <w:pPr>
              <w:pStyle w:val="78"/>
              <w:rPr>
                <w:rFonts w:cs="Times New Roman"/>
                <w:szCs w:val="21"/>
              </w:rPr>
            </w:pPr>
            <w:r>
              <w:rPr>
                <w:rFonts w:cs="Times New Roman"/>
                <w:szCs w:val="21"/>
              </w:rPr>
              <w:t>NiO</w:t>
            </w:r>
          </w:p>
        </w:tc>
      </w:tr>
      <w:tr w14:paraId="2D33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A4536F1">
            <w:pPr>
              <w:pStyle w:val="78"/>
              <w:rPr>
                <w:rFonts w:cs="Times New Roman"/>
                <w:szCs w:val="21"/>
              </w:rPr>
            </w:pPr>
          </w:p>
        </w:tc>
        <w:tc>
          <w:tcPr>
            <w:tcW w:w="1559" w:type="dxa"/>
            <w:shd w:val="clear" w:color="000000" w:fill="FFFFFF"/>
            <w:vAlign w:val="center"/>
          </w:tcPr>
          <w:p w14:paraId="5C59A37A">
            <w:pPr>
              <w:pStyle w:val="78"/>
              <w:rPr>
                <w:rFonts w:cs="Times New Roman"/>
                <w:szCs w:val="21"/>
              </w:rPr>
            </w:pPr>
            <w:r>
              <w:rPr>
                <w:rFonts w:cs="Times New Roman"/>
                <w:szCs w:val="21"/>
              </w:rPr>
              <w:t>分子量</w:t>
            </w:r>
          </w:p>
        </w:tc>
        <w:tc>
          <w:tcPr>
            <w:tcW w:w="3969" w:type="dxa"/>
            <w:shd w:val="clear" w:color="000000" w:fill="FFFFFF"/>
            <w:noWrap/>
            <w:vAlign w:val="center"/>
          </w:tcPr>
          <w:p w14:paraId="75E156AF">
            <w:pPr>
              <w:pStyle w:val="78"/>
              <w:rPr>
                <w:rFonts w:cs="Times New Roman"/>
                <w:szCs w:val="21"/>
              </w:rPr>
            </w:pPr>
            <w:r>
              <w:rPr>
                <w:rFonts w:cs="Times New Roman"/>
                <w:szCs w:val="21"/>
              </w:rPr>
              <w:t>80.06</w:t>
            </w:r>
          </w:p>
        </w:tc>
        <w:tc>
          <w:tcPr>
            <w:tcW w:w="3969" w:type="dxa"/>
            <w:shd w:val="clear" w:color="000000" w:fill="FFFFFF"/>
            <w:noWrap/>
            <w:vAlign w:val="center"/>
          </w:tcPr>
          <w:p w14:paraId="60C76FD5">
            <w:pPr>
              <w:pStyle w:val="78"/>
              <w:rPr>
                <w:rFonts w:cs="Times New Roman"/>
                <w:szCs w:val="21"/>
              </w:rPr>
            </w:pPr>
            <w:r>
              <w:rPr>
                <w:rFonts w:cs="Times New Roman"/>
                <w:szCs w:val="21"/>
              </w:rPr>
              <w:t>181.88</w:t>
            </w:r>
          </w:p>
        </w:tc>
        <w:tc>
          <w:tcPr>
            <w:tcW w:w="3827" w:type="dxa"/>
            <w:shd w:val="clear" w:color="000000" w:fill="FFFFFF"/>
            <w:noWrap/>
            <w:vAlign w:val="center"/>
          </w:tcPr>
          <w:p w14:paraId="5E1A2CBF">
            <w:pPr>
              <w:pStyle w:val="78"/>
              <w:rPr>
                <w:rFonts w:cs="Times New Roman"/>
                <w:szCs w:val="21"/>
              </w:rPr>
            </w:pPr>
            <w:r>
              <w:rPr>
                <w:rFonts w:cs="Times New Roman"/>
                <w:szCs w:val="21"/>
              </w:rPr>
              <w:t>74.69</w:t>
            </w:r>
          </w:p>
        </w:tc>
      </w:tr>
      <w:tr w14:paraId="0A54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D583EE3">
            <w:pPr>
              <w:pStyle w:val="78"/>
              <w:rPr>
                <w:rFonts w:cs="Times New Roman"/>
                <w:szCs w:val="21"/>
              </w:rPr>
            </w:pPr>
          </w:p>
        </w:tc>
        <w:tc>
          <w:tcPr>
            <w:tcW w:w="1559" w:type="dxa"/>
            <w:shd w:val="clear" w:color="000000" w:fill="FFFFFF"/>
            <w:vAlign w:val="center"/>
          </w:tcPr>
          <w:p w14:paraId="2D714C41">
            <w:pPr>
              <w:pStyle w:val="78"/>
              <w:rPr>
                <w:rFonts w:cs="Times New Roman"/>
                <w:szCs w:val="21"/>
              </w:rPr>
            </w:pPr>
            <w:r>
              <w:rPr>
                <w:rFonts w:cs="Times New Roman"/>
                <w:szCs w:val="21"/>
              </w:rPr>
              <w:t>外观性状</w:t>
            </w:r>
          </w:p>
        </w:tc>
        <w:tc>
          <w:tcPr>
            <w:tcW w:w="3969" w:type="dxa"/>
            <w:shd w:val="clear" w:color="000000" w:fill="FFFFFF"/>
            <w:vAlign w:val="center"/>
          </w:tcPr>
          <w:p w14:paraId="6E871F85">
            <w:pPr>
              <w:pStyle w:val="78"/>
              <w:rPr>
                <w:rFonts w:cs="Times New Roman"/>
                <w:szCs w:val="21"/>
              </w:rPr>
            </w:pPr>
            <w:r>
              <w:rPr>
                <w:rFonts w:cs="Times New Roman"/>
                <w:szCs w:val="21"/>
              </w:rPr>
              <w:t>针状固体或液体，有刺激性气味。</w:t>
            </w:r>
          </w:p>
        </w:tc>
        <w:tc>
          <w:tcPr>
            <w:tcW w:w="3969" w:type="dxa"/>
            <w:shd w:val="clear" w:color="000000" w:fill="FFFFFF"/>
            <w:vAlign w:val="center"/>
          </w:tcPr>
          <w:p w14:paraId="50D11D36">
            <w:pPr>
              <w:pStyle w:val="78"/>
              <w:rPr>
                <w:rFonts w:cs="Times New Roman"/>
                <w:szCs w:val="21"/>
              </w:rPr>
            </w:pPr>
            <w:r>
              <w:rPr>
                <w:rFonts w:cs="Times New Roman"/>
                <w:szCs w:val="21"/>
              </w:rPr>
              <w:t>橙黄色或红棕色结晶粉末。</w:t>
            </w:r>
          </w:p>
        </w:tc>
        <w:tc>
          <w:tcPr>
            <w:tcW w:w="3827" w:type="dxa"/>
            <w:shd w:val="clear" w:color="000000" w:fill="FFFFFF"/>
            <w:vAlign w:val="center"/>
          </w:tcPr>
          <w:p w14:paraId="015A900A">
            <w:pPr>
              <w:pStyle w:val="78"/>
              <w:rPr>
                <w:rFonts w:cs="Times New Roman"/>
                <w:szCs w:val="21"/>
              </w:rPr>
            </w:pPr>
            <w:r>
              <w:rPr>
                <w:rFonts w:cs="Times New Roman"/>
                <w:szCs w:val="21"/>
              </w:rPr>
              <w:t>/</w:t>
            </w:r>
          </w:p>
        </w:tc>
      </w:tr>
      <w:tr w14:paraId="0313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67C9343F">
            <w:pPr>
              <w:pStyle w:val="78"/>
              <w:rPr>
                <w:rFonts w:cs="Times New Roman"/>
                <w:szCs w:val="21"/>
              </w:rPr>
            </w:pPr>
          </w:p>
        </w:tc>
        <w:tc>
          <w:tcPr>
            <w:tcW w:w="1559" w:type="dxa"/>
            <w:shd w:val="clear" w:color="000000" w:fill="FFFFFF"/>
            <w:vAlign w:val="center"/>
          </w:tcPr>
          <w:p w14:paraId="2CE64DC9">
            <w:pPr>
              <w:pStyle w:val="78"/>
              <w:rPr>
                <w:rFonts w:cs="Times New Roman"/>
                <w:szCs w:val="21"/>
              </w:rPr>
            </w:pPr>
            <w:r>
              <w:rPr>
                <w:rFonts w:cs="Times New Roman"/>
                <w:szCs w:val="21"/>
              </w:rPr>
              <w:t>沸点，℃</w:t>
            </w:r>
          </w:p>
        </w:tc>
        <w:tc>
          <w:tcPr>
            <w:tcW w:w="3969" w:type="dxa"/>
            <w:shd w:val="clear" w:color="000000" w:fill="FFFFFF"/>
            <w:vAlign w:val="center"/>
          </w:tcPr>
          <w:p w14:paraId="1A42E19A">
            <w:pPr>
              <w:pStyle w:val="78"/>
              <w:rPr>
                <w:rFonts w:cs="Times New Roman"/>
                <w:szCs w:val="21"/>
              </w:rPr>
            </w:pPr>
            <w:r>
              <w:rPr>
                <w:rFonts w:cs="Times New Roman"/>
                <w:szCs w:val="21"/>
              </w:rPr>
              <w:t>44.8</w:t>
            </w:r>
          </w:p>
        </w:tc>
        <w:tc>
          <w:tcPr>
            <w:tcW w:w="3969" w:type="dxa"/>
            <w:shd w:val="clear" w:color="000000" w:fill="FFFFFF"/>
            <w:vAlign w:val="center"/>
          </w:tcPr>
          <w:p w14:paraId="12D592A9">
            <w:pPr>
              <w:pStyle w:val="78"/>
              <w:rPr>
                <w:rFonts w:cs="Times New Roman"/>
                <w:szCs w:val="21"/>
              </w:rPr>
            </w:pPr>
            <w:r>
              <w:rPr>
                <w:rFonts w:cs="Times New Roman"/>
                <w:szCs w:val="21"/>
              </w:rPr>
              <w:t>分解</w:t>
            </w:r>
          </w:p>
        </w:tc>
        <w:tc>
          <w:tcPr>
            <w:tcW w:w="3827" w:type="dxa"/>
            <w:shd w:val="clear" w:color="000000" w:fill="FFFFFF"/>
            <w:vAlign w:val="center"/>
          </w:tcPr>
          <w:p w14:paraId="26681C56">
            <w:pPr>
              <w:pStyle w:val="78"/>
              <w:rPr>
                <w:rFonts w:cs="Times New Roman"/>
                <w:szCs w:val="21"/>
              </w:rPr>
            </w:pPr>
            <w:r>
              <w:rPr>
                <w:rFonts w:cs="Times New Roman"/>
                <w:szCs w:val="21"/>
              </w:rPr>
              <w:t>/</w:t>
            </w:r>
          </w:p>
        </w:tc>
      </w:tr>
      <w:tr w14:paraId="1510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B74B83D">
            <w:pPr>
              <w:pStyle w:val="78"/>
              <w:rPr>
                <w:rFonts w:cs="Times New Roman"/>
                <w:szCs w:val="21"/>
              </w:rPr>
            </w:pPr>
          </w:p>
        </w:tc>
        <w:tc>
          <w:tcPr>
            <w:tcW w:w="1559" w:type="dxa"/>
            <w:shd w:val="clear" w:color="000000" w:fill="FFFFFF"/>
            <w:vAlign w:val="center"/>
          </w:tcPr>
          <w:p w14:paraId="37CCB6FB">
            <w:pPr>
              <w:pStyle w:val="78"/>
              <w:rPr>
                <w:rFonts w:cs="Times New Roman"/>
                <w:szCs w:val="21"/>
              </w:rPr>
            </w:pPr>
            <w:r>
              <w:rPr>
                <w:rFonts w:cs="Times New Roman"/>
                <w:szCs w:val="21"/>
              </w:rPr>
              <w:t>熔点，℃</w:t>
            </w:r>
          </w:p>
        </w:tc>
        <w:tc>
          <w:tcPr>
            <w:tcW w:w="3969" w:type="dxa"/>
            <w:shd w:val="clear" w:color="000000" w:fill="FFFFFF"/>
            <w:vAlign w:val="center"/>
          </w:tcPr>
          <w:p w14:paraId="43949C37">
            <w:pPr>
              <w:pStyle w:val="78"/>
              <w:rPr>
                <w:rFonts w:cs="Times New Roman"/>
                <w:szCs w:val="21"/>
              </w:rPr>
            </w:pPr>
            <w:r>
              <w:rPr>
                <w:rFonts w:cs="Times New Roman"/>
                <w:szCs w:val="21"/>
              </w:rPr>
              <w:t>16.8</w:t>
            </w:r>
          </w:p>
        </w:tc>
        <w:tc>
          <w:tcPr>
            <w:tcW w:w="3969" w:type="dxa"/>
            <w:shd w:val="clear" w:color="000000" w:fill="FFFFFF"/>
            <w:vAlign w:val="center"/>
          </w:tcPr>
          <w:p w14:paraId="3739CC70">
            <w:pPr>
              <w:pStyle w:val="78"/>
              <w:rPr>
                <w:rFonts w:cs="Times New Roman"/>
                <w:szCs w:val="21"/>
              </w:rPr>
            </w:pPr>
            <w:r>
              <w:rPr>
                <w:rFonts w:cs="Times New Roman"/>
                <w:szCs w:val="21"/>
              </w:rPr>
              <w:t>690</w:t>
            </w:r>
          </w:p>
        </w:tc>
        <w:tc>
          <w:tcPr>
            <w:tcW w:w="3827" w:type="dxa"/>
            <w:shd w:val="clear" w:color="000000" w:fill="FFFFFF"/>
            <w:vAlign w:val="center"/>
          </w:tcPr>
          <w:p w14:paraId="3F64B217">
            <w:pPr>
              <w:pStyle w:val="78"/>
              <w:rPr>
                <w:rFonts w:cs="Times New Roman"/>
                <w:szCs w:val="21"/>
              </w:rPr>
            </w:pPr>
            <w:r>
              <w:rPr>
                <w:rFonts w:cs="Times New Roman"/>
                <w:szCs w:val="21"/>
              </w:rPr>
              <w:t>/</w:t>
            </w:r>
          </w:p>
        </w:tc>
      </w:tr>
      <w:tr w14:paraId="5DC7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4A82605">
            <w:pPr>
              <w:pStyle w:val="78"/>
              <w:rPr>
                <w:rFonts w:cs="Times New Roman"/>
                <w:szCs w:val="21"/>
              </w:rPr>
            </w:pPr>
          </w:p>
        </w:tc>
        <w:tc>
          <w:tcPr>
            <w:tcW w:w="1559" w:type="dxa"/>
            <w:shd w:val="clear" w:color="000000" w:fill="FFFFFF"/>
            <w:vAlign w:val="center"/>
          </w:tcPr>
          <w:p w14:paraId="01C76A95">
            <w:pPr>
              <w:pStyle w:val="78"/>
              <w:rPr>
                <w:rFonts w:cs="Times New Roman"/>
                <w:szCs w:val="21"/>
              </w:rPr>
            </w:pPr>
            <w:r>
              <w:rPr>
                <w:rFonts w:cs="Times New Roman"/>
                <w:szCs w:val="21"/>
              </w:rPr>
              <w:t>饱和蒸汽压，kPa</w:t>
            </w:r>
          </w:p>
        </w:tc>
        <w:tc>
          <w:tcPr>
            <w:tcW w:w="3969" w:type="dxa"/>
            <w:shd w:val="clear" w:color="000000" w:fill="FFFFFF"/>
            <w:vAlign w:val="center"/>
          </w:tcPr>
          <w:p w14:paraId="5A5084A8">
            <w:pPr>
              <w:pStyle w:val="78"/>
              <w:rPr>
                <w:rFonts w:cs="Times New Roman"/>
                <w:szCs w:val="21"/>
              </w:rPr>
            </w:pPr>
            <w:r>
              <w:rPr>
                <w:rFonts w:cs="Times New Roman"/>
                <w:szCs w:val="21"/>
              </w:rPr>
              <w:t>37.3（25℃）</w:t>
            </w:r>
          </w:p>
        </w:tc>
        <w:tc>
          <w:tcPr>
            <w:tcW w:w="3969" w:type="dxa"/>
            <w:shd w:val="clear" w:color="000000" w:fill="FFFFFF"/>
            <w:vAlign w:val="center"/>
          </w:tcPr>
          <w:p w14:paraId="5DFE1984">
            <w:pPr>
              <w:pStyle w:val="78"/>
              <w:rPr>
                <w:rFonts w:cs="Times New Roman"/>
                <w:szCs w:val="21"/>
              </w:rPr>
            </w:pPr>
            <w:r>
              <w:rPr>
                <w:rFonts w:cs="Times New Roman"/>
                <w:szCs w:val="21"/>
              </w:rPr>
              <w:t>无资料</w:t>
            </w:r>
          </w:p>
        </w:tc>
        <w:tc>
          <w:tcPr>
            <w:tcW w:w="3827" w:type="dxa"/>
            <w:shd w:val="clear" w:color="000000" w:fill="FFFFFF"/>
            <w:vAlign w:val="center"/>
          </w:tcPr>
          <w:p w14:paraId="7825D0CA">
            <w:pPr>
              <w:pStyle w:val="78"/>
              <w:rPr>
                <w:rFonts w:cs="Times New Roman"/>
                <w:szCs w:val="21"/>
              </w:rPr>
            </w:pPr>
            <w:r>
              <w:rPr>
                <w:rFonts w:cs="Times New Roman"/>
                <w:szCs w:val="21"/>
              </w:rPr>
              <w:t>/</w:t>
            </w:r>
          </w:p>
        </w:tc>
      </w:tr>
      <w:tr w14:paraId="233F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554B7965">
            <w:pPr>
              <w:pStyle w:val="78"/>
              <w:rPr>
                <w:rFonts w:cs="Times New Roman"/>
                <w:szCs w:val="21"/>
              </w:rPr>
            </w:pPr>
            <w:r>
              <w:rPr>
                <w:rFonts w:cs="Times New Roman"/>
                <w:szCs w:val="21"/>
              </w:rPr>
              <w:t>危险性类别</w:t>
            </w:r>
          </w:p>
        </w:tc>
        <w:tc>
          <w:tcPr>
            <w:tcW w:w="3969" w:type="dxa"/>
            <w:shd w:val="clear" w:color="000000" w:fill="FFFFFF"/>
            <w:vAlign w:val="center"/>
          </w:tcPr>
          <w:p w14:paraId="4B7CFBCC">
            <w:pPr>
              <w:pStyle w:val="78"/>
              <w:rPr>
                <w:rFonts w:cs="Times New Roman"/>
                <w:szCs w:val="21"/>
              </w:rPr>
            </w:pPr>
            <w:r>
              <w:rPr>
                <w:rFonts w:cs="Times New Roman"/>
                <w:szCs w:val="21"/>
              </w:rPr>
              <w:t>皮肤腐蚀/刺激,类别1A,严重眼损伤/眼刺激,类别1,特异性靶器官毒性-一次接触,类别3（呼吸道刺激）</w:t>
            </w:r>
          </w:p>
        </w:tc>
        <w:tc>
          <w:tcPr>
            <w:tcW w:w="3969" w:type="dxa"/>
            <w:shd w:val="clear" w:color="000000" w:fill="FFFFFF"/>
            <w:vAlign w:val="center"/>
          </w:tcPr>
          <w:p w14:paraId="14D48E5D">
            <w:pPr>
              <w:pStyle w:val="78"/>
              <w:rPr>
                <w:rFonts w:cs="Times New Roman"/>
                <w:szCs w:val="21"/>
              </w:rPr>
            </w:pPr>
            <w:r>
              <w:rPr>
                <w:rFonts w:hint="eastAsia" w:cs="Times New Roman"/>
                <w:szCs w:val="21"/>
              </w:rPr>
              <w:t>/</w:t>
            </w:r>
          </w:p>
        </w:tc>
        <w:tc>
          <w:tcPr>
            <w:tcW w:w="3827" w:type="dxa"/>
            <w:shd w:val="clear" w:color="000000" w:fill="FFFFFF"/>
            <w:vAlign w:val="center"/>
          </w:tcPr>
          <w:p w14:paraId="396643AD">
            <w:pPr>
              <w:pStyle w:val="78"/>
              <w:rPr>
                <w:rFonts w:cs="Times New Roman"/>
                <w:szCs w:val="21"/>
              </w:rPr>
            </w:pPr>
            <w:r>
              <w:rPr>
                <w:rFonts w:hint="eastAsia" w:cs="Times New Roman"/>
                <w:szCs w:val="21"/>
              </w:rPr>
              <w:t>/</w:t>
            </w:r>
          </w:p>
        </w:tc>
      </w:tr>
      <w:tr w14:paraId="0DF9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47967848">
            <w:pPr>
              <w:pStyle w:val="78"/>
              <w:rPr>
                <w:rFonts w:cs="Times New Roman"/>
                <w:szCs w:val="21"/>
              </w:rPr>
            </w:pPr>
            <w:r>
              <w:rPr>
                <w:rFonts w:cs="Times New Roman"/>
                <w:szCs w:val="21"/>
              </w:rPr>
              <w:t>危险特性</w:t>
            </w:r>
          </w:p>
        </w:tc>
        <w:tc>
          <w:tcPr>
            <w:tcW w:w="3969" w:type="dxa"/>
            <w:shd w:val="clear" w:color="000000" w:fill="FFFFFF"/>
            <w:vAlign w:val="center"/>
          </w:tcPr>
          <w:p w14:paraId="72913E17">
            <w:pPr>
              <w:pStyle w:val="78"/>
              <w:rPr>
                <w:rFonts w:cs="Times New Roman"/>
                <w:szCs w:val="21"/>
              </w:rPr>
            </w:pPr>
            <w:r>
              <w:rPr>
                <w:rFonts w:cs="Times New Roman"/>
                <w:szCs w:val="21"/>
              </w:rPr>
              <w:t>不燃，无特殊燃爆特性。与可燃物接触易着火燃烧。遇水剧烈反应。</w:t>
            </w:r>
          </w:p>
          <w:p w14:paraId="4907F3B0">
            <w:pPr>
              <w:pStyle w:val="78"/>
              <w:rPr>
                <w:rFonts w:cs="Times New Roman"/>
                <w:szCs w:val="21"/>
              </w:rPr>
            </w:pPr>
            <w:r>
              <w:rPr>
                <w:rFonts w:cs="Times New Roman"/>
                <w:szCs w:val="21"/>
              </w:rPr>
              <w:t>与强碱、强还原剂、活性金属粉末、水、易燃或可燃物等禁配物发生剧烈反应。</w:t>
            </w:r>
          </w:p>
        </w:tc>
        <w:tc>
          <w:tcPr>
            <w:tcW w:w="3969" w:type="dxa"/>
            <w:shd w:val="clear" w:color="000000" w:fill="FFFFFF"/>
            <w:vAlign w:val="center"/>
          </w:tcPr>
          <w:p w14:paraId="511C802D">
            <w:pPr>
              <w:pStyle w:val="78"/>
              <w:rPr>
                <w:rFonts w:cs="Times New Roman"/>
                <w:szCs w:val="21"/>
              </w:rPr>
            </w:pPr>
            <w:r>
              <w:rPr>
                <w:rFonts w:cs="Times New Roman"/>
                <w:szCs w:val="21"/>
              </w:rPr>
              <w:t>不燃，无特殊燃爆特性。</w:t>
            </w:r>
          </w:p>
          <w:p w14:paraId="4D6E2500">
            <w:pPr>
              <w:pStyle w:val="78"/>
              <w:rPr>
                <w:rFonts w:cs="Times New Roman"/>
                <w:szCs w:val="21"/>
              </w:rPr>
            </w:pPr>
            <w:r>
              <w:rPr>
                <w:rFonts w:cs="Times New Roman"/>
                <w:szCs w:val="21"/>
              </w:rPr>
              <w:t>与三氟化氯、锂等禁配物发生剧烈反应。</w:t>
            </w:r>
          </w:p>
        </w:tc>
        <w:tc>
          <w:tcPr>
            <w:tcW w:w="3827" w:type="dxa"/>
            <w:shd w:val="clear" w:color="000000" w:fill="FFFFFF"/>
            <w:vAlign w:val="center"/>
          </w:tcPr>
          <w:p w14:paraId="158E44FF">
            <w:pPr>
              <w:pStyle w:val="78"/>
              <w:rPr>
                <w:rFonts w:cs="Times New Roman"/>
                <w:szCs w:val="21"/>
              </w:rPr>
            </w:pPr>
            <w:r>
              <w:rPr>
                <w:rFonts w:cs="Times New Roman"/>
                <w:szCs w:val="21"/>
              </w:rPr>
              <w:t>一般作业时，无需要特别关注的危险反应。</w:t>
            </w:r>
          </w:p>
        </w:tc>
      </w:tr>
      <w:tr w14:paraId="18E7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3FC2C736">
            <w:pPr>
              <w:pStyle w:val="78"/>
              <w:rPr>
                <w:rFonts w:cs="Times New Roman"/>
                <w:szCs w:val="21"/>
              </w:rPr>
            </w:pPr>
            <w:r>
              <w:rPr>
                <w:rFonts w:cs="Times New Roman"/>
                <w:szCs w:val="21"/>
              </w:rPr>
              <w:t>禁忌物</w:t>
            </w:r>
          </w:p>
        </w:tc>
        <w:tc>
          <w:tcPr>
            <w:tcW w:w="3969" w:type="dxa"/>
            <w:shd w:val="clear" w:color="000000" w:fill="FFFFFF"/>
            <w:vAlign w:val="center"/>
          </w:tcPr>
          <w:p w14:paraId="2E6139FC">
            <w:pPr>
              <w:pStyle w:val="78"/>
              <w:rPr>
                <w:rFonts w:cs="Times New Roman"/>
                <w:szCs w:val="21"/>
              </w:rPr>
            </w:pPr>
            <w:r>
              <w:rPr>
                <w:rFonts w:cs="Times New Roman"/>
                <w:szCs w:val="21"/>
              </w:rPr>
              <w:t>强碱、强还原剂、活性金属粉末、水、易燃或可燃物。</w:t>
            </w:r>
          </w:p>
        </w:tc>
        <w:tc>
          <w:tcPr>
            <w:tcW w:w="3969" w:type="dxa"/>
            <w:shd w:val="clear" w:color="000000" w:fill="FFFFFF"/>
            <w:vAlign w:val="center"/>
          </w:tcPr>
          <w:p w14:paraId="62FA4A71">
            <w:pPr>
              <w:pStyle w:val="78"/>
              <w:rPr>
                <w:rFonts w:cs="Times New Roman"/>
                <w:szCs w:val="21"/>
              </w:rPr>
            </w:pPr>
            <w:r>
              <w:rPr>
                <w:rFonts w:cs="Times New Roman"/>
                <w:szCs w:val="21"/>
              </w:rPr>
              <w:t>强酸、易燃或可燃物、三氟化氯、锂。</w:t>
            </w:r>
          </w:p>
        </w:tc>
        <w:tc>
          <w:tcPr>
            <w:tcW w:w="3827" w:type="dxa"/>
            <w:shd w:val="clear" w:color="000000" w:fill="FFFFFF"/>
            <w:vAlign w:val="center"/>
          </w:tcPr>
          <w:p w14:paraId="3706BF59">
            <w:pPr>
              <w:pStyle w:val="78"/>
              <w:rPr>
                <w:rFonts w:cs="Times New Roman"/>
                <w:szCs w:val="21"/>
              </w:rPr>
            </w:pPr>
            <w:r>
              <w:rPr>
                <w:rFonts w:cs="Times New Roman"/>
                <w:szCs w:val="21"/>
              </w:rPr>
              <w:t>无资料。</w:t>
            </w:r>
          </w:p>
        </w:tc>
      </w:tr>
      <w:tr w14:paraId="6DF2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036DFA0B">
            <w:pPr>
              <w:pStyle w:val="78"/>
              <w:rPr>
                <w:rFonts w:cs="Times New Roman"/>
                <w:szCs w:val="21"/>
              </w:rPr>
            </w:pPr>
            <w:r>
              <w:rPr>
                <w:rFonts w:cs="Times New Roman"/>
                <w:szCs w:val="21"/>
              </w:rPr>
              <w:t>毒性及健康危害</w:t>
            </w:r>
          </w:p>
        </w:tc>
        <w:tc>
          <w:tcPr>
            <w:tcW w:w="1559" w:type="dxa"/>
            <w:shd w:val="clear" w:color="000000" w:fill="FFFFFF"/>
            <w:vAlign w:val="center"/>
          </w:tcPr>
          <w:p w14:paraId="2D1E3969">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7B8D3A92">
            <w:pPr>
              <w:pStyle w:val="78"/>
              <w:rPr>
                <w:rFonts w:cs="Times New Roman"/>
                <w:szCs w:val="21"/>
              </w:rPr>
            </w:pPr>
            <w:r>
              <w:rPr>
                <w:rFonts w:cs="Times New Roman"/>
                <w:szCs w:val="21"/>
              </w:rPr>
              <w:t>LCLo：30mg/m</w:t>
            </w:r>
            <w:r>
              <w:rPr>
                <w:rFonts w:cs="Times New Roman"/>
                <w:szCs w:val="21"/>
                <w:vertAlign w:val="superscript"/>
              </w:rPr>
              <w:t>3</w:t>
            </w:r>
            <w:r>
              <w:rPr>
                <w:rFonts w:cs="Times New Roman"/>
                <w:szCs w:val="21"/>
              </w:rPr>
              <w:t>（豚鼠吸入，6h）</w:t>
            </w:r>
          </w:p>
        </w:tc>
        <w:tc>
          <w:tcPr>
            <w:tcW w:w="3969" w:type="dxa"/>
            <w:shd w:val="clear" w:color="000000" w:fill="FFFFFF"/>
            <w:vAlign w:val="center"/>
          </w:tcPr>
          <w:p w14:paraId="740CF38A">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：10mg/kg(大鼠经口)；23mg/kg(小鼠经口)；64mg/kg(兔经口)；</w:t>
            </w:r>
            <w:r>
              <w:rPr>
                <w:rFonts w:cs="Times New Roman"/>
                <w:szCs w:val="21"/>
              </w:rPr>
              <w:br w:type="textWrapping"/>
            </w:r>
            <w:r>
              <w:rPr>
                <w:rFonts w:cs="Times New Roman"/>
                <w:szCs w:val="21"/>
              </w:rPr>
              <w:t>1mg/kg(兔静脉)LC</w:t>
            </w:r>
            <w:r>
              <w:rPr>
                <w:rFonts w:cs="Times New Roman"/>
                <w:szCs w:val="21"/>
                <w:vertAlign w:val="subscript"/>
              </w:rPr>
              <w:t>50</w:t>
            </w:r>
            <w:r>
              <w:rPr>
                <w:rFonts w:cs="Times New Roman"/>
                <w:szCs w:val="21"/>
              </w:rPr>
              <w:t>：70mg/m</w:t>
            </w:r>
            <w:r>
              <w:rPr>
                <w:rFonts w:cs="Times New Roman"/>
                <w:szCs w:val="21"/>
                <w:vertAlign w:val="superscript"/>
              </w:rPr>
              <w:t>3</w:t>
            </w:r>
            <w:r>
              <w:rPr>
                <w:rFonts w:cs="Times New Roman"/>
                <w:szCs w:val="21"/>
              </w:rPr>
              <w:t>(大鼠吸入，1h)</w:t>
            </w:r>
          </w:p>
        </w:tc>
        <w:tc>
          <w:tcPr>
            <w:tcW w:w="3827" w:type="dxa"/>
            <w:shd w:val="clear" w:color="000000" w:fill="FFFFFF"/>
            <w:vAlign w:val="center"/>
          </w:tcPr>
          <w:p w14:paraId="2FE7E2C1">
            <w:pPr>
              <w:pStyle w:val="78"/>
              <w:rPr>
                <w:rFonts w:cs="Times New Roman"/>
                <w:szCs w:val="21"/>
              </w:rPr>
            </w:pPr>
            <w:r>
              <w:rPr>
                <w:rFonts w:cs="Times New Roman"/>
                <w:szCs w:val="21"/>
              </w:rPr>
              <w:t>/</w:t>
            </w:r>
          </w:p>
        </w:tc>
      </w:tr>
      <w:tr w14:paraId="7B60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80AF663">
            <w:pPr>
              <w:pStyle w:val="78"/>
              <w:rPr>
                <w:rFonts w:cs="Times New Roman"/>
                <w:szCs w:val="21"/>
              </w:rPr>
            </w:pPr>
          </w:p>
        </w:tc>
        <w:tc>
          <w:tcPr>
            <w:tcW w:w="1559" w:type="dxa"/>
            <w:shd w:val="clear" w:color="000000" w:fill="FFFFFF"/>
            <w:vAlign w:val="center"/>
          </w:tcPr>
          <w:p w14:paraId="779AEE08">
            <w:pPr>
              <w:pStyle w:val="78"/>
              <w:rPr>
                <w:rFonts w:cs="Times New Roman"/>
                <w:szCs w:val="21"/>
              </w:rPr>
            </w:pPr>
            <w:r>
              <w:rPr>
                <w:rFonts w:cs="Times New Roman"/>
                <w:szCs w:val="21"/>
              </w:rPr>
              <w:t>中毒途径</w:t>
            </w:r>
          </w:p>
        </w:tc>
        <w:tc>
          <w:tcPr>
            <w:tcW w:w="3969" w:type="dxa"/>
            <w:shd w:val="clear" w:color="000000" w:fill="FFFFFF"/>
            <w:vAlign w:val="center"/>
          </w:tcPr>
          <w:p w14:paraId="0DAAA058">
            <w:pPr>
              <w:pStyle w:val="78"/>
              <w:rPr>
                <w:rFonts w:cs="Times New Roman"/>
                <w:szCs w:val="21"/>
              </w:rPr>
            </w:pPr>
            <w:r>
              <w:rPr>
                <w:rFonts w:cs="Times New Roman"/>
                <w:szCs w:val="21"/>
              </w:rPr>
              <w:t>吸入、食入、皮肤接触</w:t>
            </w:r>
          </w:p>
        </w:tc>
        <w:tc>
          <w:tcPr>
            <w:tcW w:w="3969" w:type="dxa"/>
            <w:shd w:val="clear" w:color="000000" w:fill="FFFFFF"/>
            <w:vAlign w:val="center"/>
          </w:tcPr>
          <w:p w14:paraId="65D6181F">
            <w:pPr>
              <w:pStyle w:val="78"/>
              <w:rPr>
                <w:rFonts w:cs="Times New Roman"/>
                <w:szCs w:val="21"/>
              </w:rPr>
            </w:pPr>
            <w:r>
              <w:rPr>
                <w:rFonts w:cs="Times New Roman"/>
                <w:szCs w:val="21"/>
              </w:rPr>
              <w:t>吸入、食入</w:t>
            </w:r>
          </w:p>
        </w:tc>
        <w:tc>
          <w:tcPr>
            <w:tcW w:w="3827" w:type="dxa"/>
            <w:shd w:val="clear" w:color="000000" w:fill="FFFFFF"/>
            <w:vAlign w:val="center"/>
          </w:tcPr>
          <w:p w14:paraId="61685A64">
            <w:pPr>
              <w:pStyle w:val="78"/>
              <w:rPr>
                <w:rFonts w:cs="Times New Roman"/>
                <w:szCs w:val="21"/>
              </w:rPr>
            </w:pPr>
            <w:r>
              <w:rPr>
                <w:rFonts w:cs="Times New Roman"/>
                <w:szCs w:val="21"/>
              </w:rPr>
              <w:t>食入、皮肤接触</w:t>
            </w:r>
          </w:p>
        </w:tc>
      </w:tr>
      <w:tr w14:paraId="5154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348D4CA">
            <w:pPr>
              <w:pStyle w:val="78"/>
              <w:rPr>
                <w:rFonts w:cs="Times New Roman"/>
                <w:szCs w:val="21"/>
              </w:rPr>
            </w:pPr>
          </w:p>
        </w:tc>
        <w:tc>
          <w:tcPr>
            <w:tcW w:w="1559" w:type="dxa"/>
            <w:shd w:val="clear" w:color="000000" w:fill="FFFFFF"/>
            <w:vAlign w:val="center"/>
          </w:tcPr>
          <w:p w14:paraId="5C182E9C">
            <w:pPr>
              <w:pStyle w:val="78"/>
              <w:rPr>
                <w:rFonts w:cs="Times New Roman"/>
                <w:szCs w:val="21"/>
              </w:rPr>
            </w:pPr>
            <w:r>
              <w:rPr>
                <w:rFonts w:cs="Times New Roman"/>
                <w:szCs w:val="21"/>
              </w:rPr>
              <w:t>健康危害</w:t>
            </w:r>
          </w:p>
        </w:tc>
        <w:tc>
          <w:tcPr>
            <w:tcW w:w="3969" w:type="dxa"/>
            <w:shd w:val="clear" w:color="000000" w:fill="FFFFFF"/>
            <w:vAlign w:val="center"/>
          </w:tcPr>
          <w:p w14:paraId="26C0FFB9">
            <w:pPr>
              <w:pStyle w:val="78"/>
              <w:rPr>
                <w:rFonts w:cs="Times New Roman"/>
                <w:szCs w:val="21"/>
              </w:rPr>
            </w:pPr>
            <w:r>
              <w:rPr>
                <w:rFonts w:cs="Times New Roman"/>
                <w:szCs w:val="21"/>
              </w:rPr>
              <w:t>其毒性表现与硫酸同。对皮肤、黏膜等组织有强烈的刺激和腐蚀作用。可引起结膜炎、水肿。角膜混浊，以致失明；引起呼吸道刺激症状，重者发生呼吸困难和肺水肿；高浓度引起喉痉挛或声门水肿而死亡。食入后引起消化道的烧伤以至溃疡形成。严重者可能有胃穿孔、腹膜炎、喉痉挛和声门水肿、肾损害、休克等。慢性影响有牙齿酸蚀症、慢性支气管炎、肺气肿和肝硬变等。</w:t>
            </w:r>
          </w:p>
        </w:tc>
        <w:tc>
          <w:tcPr>
            <w:tcW w:w="3969" w:type="dxa"/>
            <w:shd w:val="clear" w:color="000000" w:fill="FFFFFF"/>
            <w:vAlign w:val="center"/>
          </w:tcPr>
          <w:p w14:paraId="551F2902">
            <w:pPr>
              <w:pStyle w:val="78"/>
              <w:rPr>
                <w:rFonts w:cs="Times New Roman"/>
                <w:szCs w:val="21"/>
              </w:rPr>
            </w:pPr>
            <w:r>
              <w:rPr>
                <w:rFonts w:cs="Times New Roman"/>
                <w:szCs w:val="21"/>
              </w:rPr>
              <w:t>对呼吸系统和皮肤有损害作用。</w:t>
            </w:r>
            <w:r>
              <w:rPr>
                <w:rFonts w:cs="Times New Roman"/>
                <w:szCs w:val="21"/>
              </w:rPr>
              <w:br w:type="textWrapping"/>
            </w:r>
            <w:r>
              <w:rPr>
                <w:rFonts w:cs="Times New Roman"/>
                <w:szCs w:val="21"/>
              </w:rPr>
              <w:t>急性中毒：可引起鼻、咽、肺部刺激症状，接触者出现眼烧灼感、流泪、咽痒、干咳、胸闷、全身不适、倦怠等表现，重者出现支气管炎或支气管肺炎。皮肤高浓度接触可致皮炎，剧烈瘙痒。</w:t>
            </w:r>
            <w:r>
              <w:rPr>
                <w:rFonts w:cs="Times New Roman"/>
                <w:szCs w:val="21"/>
              </w:rPr>
              <w:br w:type="textWrapping"/>
            </w:r>
            <w:r>
              <w:rPr>
                <w:rFonts w:cs="Times New Roman"/>
                <w:szCs w:val="21"/>
              </w:rPr>
              <w:t>慢性中毒：长期接触可引起慢性支气管炎、肾损害、视力障碍等。</w:t>
            </w:r>
          </w:p>
        </w:tc>
        <w:tc>
          <w:tcPr>
            <w:tcW w:w="3827" w:type="dxa"/>
            <w:shd w:val="clear" w:color="000000" w:fill="FFFFFF"/>
            <w:vAlign w:val="center"/>
          </w:tcPr>
          <w:p w14:paraId="27751289">
            <w:pPr>
              <w:pStyle w:val="78"/>
              <w:rPr>
                <w:rFonts w:cs="Times New Roman"/>
                <w:szCs w:val="21"/>
              </w:rPr>
            </w:pPr>
            <w:r>
              <w:rPr>
                <w:rFonts w:cs="Times New Roman"/>
                <w:szCs w:val="21"/>
              </w:rPr>
              <w:t>可能导致皮肤过敏反应，长时间或反复接触（如果可确证无其他接触途径引起该危害，说明接触途径）对器官造成伤害（如果已经知道，说明所受损害的器官）。</w:t>
            </w:r>
          </w:p>
        </w:tc>
      </w:tr>
      <w:tr w14:paraId="7B4D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008268E">
            <w:pPr>
              <w:pStyle w:val="78"/>
              <w:rPr>
                <w:rFonts w:cs="Times New Roman"/>
                <w:szCs w:val="21"/>
              </w:rPr>
            </w:pPr>
          </w:p>
        </w:tc>
        <w:tc>
          <w:tcPr>
            <w:tcW w:w="1559" w:type="dxa"/>
            <w:shd w:val="clear" w:color="000000" w:fill="FFFFFF"/>
            <w:noWrap/>
            <w:vAlign w:val="center"/>
          </w:tcPr>
          <w:p w14:paraId="13BBE04B">
            <w:pPr>
              <w:pStyle w:val="78"/>
              <w:rPr>
                <w:rFonts w:cs="Times New Roman"/>
                <w:szCs w:val="21"/>
              </w:rPr>
            </w:pPr>
            <w:r>
              <w:rPr>
                <w:rFonts w:cs="Times New Roman"/>
                <w:szCs w:val="21"/>
              </w:rPr>
              <w:t>环境危害</w:t>
            </w:r>
          </w:p>
        </w:tc>
        <w:tc>
          <w:tcPr>
            <w:tcW w:w="3969" w:type="dxa"/>
            <w:shd w:val="clear" w:color="000000" w:fill="FFFFFF"/>
            <w:vAlign w:val="center"/>
          </w:tcPr>
          <w:p w14:paraId="29985465">
            <w:pPr>
              <w:pStyle w:val="78"/>
              <w:rPr>
                <w:rFonts w:cs="Times New Roman"/>
                <w:szCs w:val="21"/>
              </w:rPr>
            </w:pPr>
            <w:r>
              <w:rPr>
                <w:rFonts w:cs="Times New Roman"/>
                <w:szCs w:val="21"/>
              </w:rPr>
              <w:t>对水生生物有害。</w:t>
            </w:r>
          </w:p>
        </w:tc>
        <w:tc>
          <w:tcPr>
            <w:tcW w:w="3969" w:type="dxa"/>
            <w:shd w:val="clear" w:color="000000" w:fill="FFFFFF"/>
            <w:vAlign w:val="center"/>
          </w:tcPr>
          <w:p w14:paraId="53EA748A">
            <w:pPr>
              <w:pStyle w:val="78"/>
              <w:rPr>
                <w:rFonts w:cs="Times New Roman"/>
                <w:szCs w:val="21"/>
              </w:rPr>
            </w:pPr>
            <w:r>
              <w:rPr>
                <w:rFonts w:cs="Times New Roman"/>
                <w:szCs w:val="21"/>
              </w:rPr>
              <w:t>对水生生物有毒并具有长期持续影响。</w:t>
            </w:r>
          </w:p>
        </w:tc>
        <w:tc>
          <w:tcPr>
            <w:tcW w:w="3827" w:type="dxa"/>
            <w:shd w:val="clear" w:color="000000" w:fill="FFFFFF"/>
            <w:vAlign w:val="center"/>
          </w:tcPr>
          <w:p w14:paraId="6485C7C5">
            <w:pPr>
              <w:pStyle w:val="78"/>
              <w:rPr>
                <w:rFonts w:cs="Times New Roman"/>
                <w:szCs w:val="21"/>
              </w:rPr>
            </w:pPr>
            <w:r>
              <w:rPr>
                <w:rFonts w:cs="Times New Roman"/>
                <w:szCs w:val="21"/>
              </w:rPr>
              <w:t>/</w:t>
            </w:r>
          </w:p>
        </w:tc>
      </w:tr>
      <w:tr w14:paraId="6FC3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6E91DDD0">
            <w:pPr>
              <w:pStyle w:val="78"/>
              <w:rPr>
                <w:rFonts w:cs="Times New Roman"/>
                <w:szCs w:val="21"/>
              </w:rPr>
            </w:pPr>
            <w:r>
              <w:rPr>
                <w:rFonts w:cs="Times New Roman"/>
                <w:szCs w:val="21"/>
              </w:rPr>
              <w:t>应急措施</w:t>
            </w:r>
          </w:p>
        </w:tc>
        <w:tc>
          <w:tcPr>
            <w:tcW w:w="1559" w:type="dxa"/>
            <w:shd w:val="clear" w:color="000000" w:fill="FFFFFF"/>
            <w:noWrap/>
            <w:vAlign w:val="center"/>
          </w:tcPr>
          <w:p w14:paraId="6CF75AB0">
            <w:pPr>
              <w:pStyle w:val="78"/>
              <w:rPr>
                <w:rFonts w:cs="Times New Roman"/>
                <w:szCs w:val="21"/>
              </w:rPr>
            </w:pPr>
            <w:r>
              <w:rPr>
                <w:rFonts w:cs="Times New Roman"/>
                <w:szCs w:val="21"/>
              </w:rPr>
              <w:t>急救措施</w:t>
            </w:r>
          </w:p>
        </w:tc>
        <w:tc>
          <w:tcPr>
            <w:tcW w:w="3969" w:type="dxa"/>
            <w:shd w:val="clear" w:color="000000" w:fill="FFFFFF"/>
            <w:vAlign w:val="center"/>
          </w:tcPr>
          <w:p w14:paraId="685F01F4">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用水漱口，禁止催吐。给饮牛奶或蛋清。就医。</w:t>
            </w:r>
            <w:r>
              <w:rPr>
                <w:rFonts w:cs="Times New Roman"/>
                <w:szCs w:val="21"/>
              </w:rPr>
              <w:br w:type="textWrapping"/>
            </w:r>
            <w:r>
              <w:rPr>
                <w:rFonts w:cs="Times New Roman"/>
                <w:szCs w:val="21"/>
              </w:rPr>
              <w:t>立即脱去污染的衣着，用大量流动清水彻底冲洗至少15min。就医。</w:t>
            </w:r>
            <w:r>
              <w:rPr>
                <w:rFonts w:cs="Times New Roman"/>
                <w:szCs w:val="21"/>
              </w:rPr>
              <w:br w:type="textWrapping"/>
            </w:r>
            <w:r>
              <w:rPr>
                <w:rFonts w:cs="Times New Roman"/>
                <w:szCs w:val="21"/>
              </w:rPr>
              <w:t>立即分开眼睑，用流动清水或生理盐水彻底冲洗5～10min。就医。</w:t>
            </w:r>
          </w:p>
        </w:tc>
        <w:tc>
          <w:tcPr>
            <w:tcW w:w="3969" w:type="dxa"/>
            <w:shd w:val="clear" w:color="000000" w:fill="FFFFFF"/>
            <w:vAlign w:val="center"/>
          </w:tcPr>
          <w:p w14:paraId="1FDADCC3">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饮适量温水，催吐（仅限于清醒者）。就医。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p>
        </w:tc>
        <w:tc>
          <w:tcPr>
            <w:tcW w:w="3827" w:type="dxa"/>
            <w:shd w:val="clear" w:color="000000" w:fill="FFFFFF"/>
            <w:vAlign w:val="center"/>
          </w:tcPr>
          <w:p w14:paraId="2A53E6A1">
            <w:pPr>
              <w:pStyle w:val="78"/>
              <w:rPr>
                <w:rFonts w:cs="Times New Roman"/>
                <w:szCs w:val="21"/>
              </w:rPr>
            </w:pPr>
            <w:r>
              <w:rPr>
                <w:rFonts w:cs="Times New Roman"/>
                <w:szCs w:val="21"/>
              </w:rPr>
              <w:t>迅速脱离现场至空气新鲜处。保持呼吸道通畅。如呼吸困难,给输氧。如呼吸、心跳停止,立即进行心肺复苏术。就医。漱口。就医。立即脱去污染的衣着,用流动清水彻底冲洗。就医。立即分开眼睑,用流动清水或生理盐水彻底冲洗。就医。</w:t>
            </w:r>
          </w:p>
        </w:tc>
      </w:tr>
      <w:tr w14:paraId="54C3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8553297">
            <w:pPr>
              <w:pStyle w:val="78"/>
              <w:rPr>
                <w:rFonts w:cs="Times New Roman"/>
                <w:szCs w:val="21"/>
              </w:rPr>
            </w:pPr>
          </w:p>
        </w:tc>
        <w:tc>
          <w:tcPr>
            <w:tcW w:w="1559" w:type="dxa"/>
            <w:shd w:val="clear" w:color="000000" w:fill="FFFFFF"/>
            <w:vAlign w:val="center"/>
          </w:tcPr>
          <w:p w14:paraId="378293E9">
            <w:pPr>
              <w:pStyle w:val="78"/>
              <w:rPr>
                <w:rFonts w:cs="Times New Roman"/>
                <w:szCs w:val="21"/>
              </w:rPr>
            </w:pPr>
            <w:r>
              <w:rPr>
                <w:rFonts w:cs="Times New Roman"/>
                <w:szCs w:val="21"/>
              </w:rPr>
              <w:t>泄漏应急处置</w:t>
            </w:r>
          </w:p>
        </w:tc>
        <w:tc>
          <w:tcPr>
            <w:tcW w:w="3969" w:type="dxa"/>
            <w:shd w:val="clear" w:color="000000" w:fill="FFFFFF"/>
            <w:vAlign w:val="center"/>
          </w:tcPr>
          <w:p w14:paraId="27712F4F">
            <w:pPr>
              <w:pStyle w:val="78"/>
              <w:rPr>
                <w:rFonts w:cs="Times New Roman"/>
                <w:szCs w:val="21"/>
              </w:rPr>
            </w:pPr>
            <w:r>
              <w:rPr>
                <w:rFonts w:cs="Times New Roman"/>
                <w:szCs w:val="21"/>
              </w:rPr>
              <w:t>小量泄漏：用干燥的砂土或其它不燃材料覆盖泄漏物，用洁净的无火花工具收集泄漏物，置于一盖子较松的塑料容器中，待处置。大量泄漏：构筑围堤或挖坑收容。用耐腐蚀泵转移至槽车或专用收集器内。</w:t>
            </w:r>
          </w:p>
        </w:tc>
        <w:tc>
          <w:tcPr>
            <w:tcW w:w="3969" w:type="dxa"/>
            <w:shd w:val="clear" w:color="000000" w:fill="FFFFFF"/>
            <w:vAlign w:val="center"/>
          </w:tcPr>
          <w:p w14:paraId="3C309F20">
            <w:pPr>
              <w:pStyle w:val="78"/>
              <w:rPr>
                <w:rFonts w:cs="Times New Roman"/>
                <w:szCs w:val="21"/>
              </w:rPr>
            </w:pPr>
            <w:r>
              <w:rPr>
                <w:rFonts w:cs="Times New Roman"/>
                <w:szCs w:val="21"/>
              </w:rPr>
              <w:t>勿使水进入包装容器内。用洁净的铲子收集泄漏物，置于干净、干燥、盖子较松的容器中，将容器移离泄漏区。</w:t>
            </w:r>
          </w:p>
        </w:tc>
        <w:tc>
          <w:tcPr>
            <w:tcW w:w="3827" w:type="dxa"/>
            <w:shd w:val="clear" w:color="000000" w:fill="FFFFFF"/>
            <w:vAlign w:val="center"/>
          </w:tcPr>
          <w:p w14:paraId="305555A9">
            <w:pPr>
              <w:pStyle w:val="78"/>
              <w:rPr>
                <w:rFonts w:cs="Times New Roman"/>
                <w:szCs w:val="21"/>
              </w:rPr>
            </w:pPr>
            <w:r>
              <w:rPr>
                <w:rFonts w:cs="Times New Roman"/>
                <w:szCs w:val="21"/>
              </w:rPr>
              <w:t>小量泄漏:用干燥的砂土或其它不燃材料吸收或覆盖，收集于容器中。也可以用大量水冲洗,洗水稀释后放入废水系统。大量泄漏:构筑围堤或挖坑收容。用泡沫覆盖，减少蒸发。用耐腐蚀泵转移至槽车或专用收集器内</w:t>
            </w:r>
          </w:p>
        </w:tc>
      </w:tr>
      <w:tr w14:paraId="4FE2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BC29ABF">
            <w:pPr>
              <w:pStyle w:val="78"/>
              <w:rPr>
                <w:rFonts w:cs="Times New Roman"/>
                <w:szCs w:val="21"/>
              </w:rPr>
            </w:pPr>
          </w:p>
        </w:tc>
        <w:tc>
          <w:tcPr>
            <w:tcW w:w="1559" w:type="dxa"/>
            <w:shd w:val="clear" w:color="000000" w:fill="FFFFFF"/>
            <w:noWrap/>
            <w:vAlign w:val="center"/>
          </w:tcPr>
          <w:p w14:paraId="73B79B07">
            <w:pPr>
              <w:pStyle w:val="78"/>
              <w:rPr>
                <w:rFonts w:cs="Times New Roman"/>
                <w:szCs w:val="21"/>
              </w:rPr>
            </w:pPr>
            <w:r>
              <w:rPr>
                <w:rFonts w:cs="Times New Roman"/>
                <w:szCs w:val="21"/>
              </w:rPr>
              <w:t>灭火方法</w:t>
            </w:r>
          </w:p>
        </w:tc>
        <w:tc>
          <w:tcPr>
            <w:tcW w:w="3969" w:type="dxa"/>
            <w:shd w:val="clear" w:color="000000" w:fill="FFFFFF"/>
            <w:vAlign w:val="center"/>
          </w:tcPr>
          <w:p w14:paraId="65C34F4E">
            <w:pPr>
              <w:pStyle w:val="78"/>
              <w:rPr>
                <w:rFonts w:cs="Times New Roman"/>
                <w:szCs w:val="21"/>
              </w:rPr>
            </w:pPr>
            <w:r>
              <w:rPr>
                <w:rFonts w:cs="Times New Roman"/>
                <w:szCs w:val="21"/>
              </w:rPr>
              <w:t>消防人员必须佩戴空气呼吸器、穿全身防火防毒服，在上风向灭火。尽可能将容器从火场移至空旷处。喷水保持火场容器冷却，直至灭火结束。</w:t>
            </w:r>
          </w:p>
        </w:tc>
        <w:tc>
          <w:tcPr>
            <w:tcW w:w="3969" w:type="dxa"/>
            <w:shd w:val="clear" w:color="000000" w:fill="FFFFFF"/>
            <w:vAlign w:val="center"/>
          </w:tcPr>
          <w:p w14:paraId="10C6559B">
            <w:pPr>
              <w:pStyle w:val="78"/>
              <w:rPr>
                <w:rFonts w:cs="Times New Roman"/>
                <w:szCs w:val="21"/>
              </w:rPr>
            </w:pPr>
            <w:r>
              <w:rPr>
                <w:rFonts w:cs="Times New Roman"/>
                <w:szCs w:val="21"/>
              </w:rPr>
              <w:t>消防人员须佩戴防毒面具、穿全身消防服，在上风向灭火。尽可能将容器从火场移至空旷处。喷水保持火场容器冷却，直至灭火结束。</w:t>
            </w:r>
          </w:p>
        </w:tc>
        <w:tc>
          <w:tcPr>
            <w:tcW w:w="3827" w:type="dxa"/>
            <w:shd w:val="clear" w:color="000000" w:fill="FFFFFF"/>
            <w:vAlign w:val="center"/>
          </w:tcPr>
          <w:p w14:paraId="23CECEDC">
            <w:pPr>
              <w:pStyle w:val="78"/>
              <w:rPr>
                <w:rFonts w:cs="Times New Roman"/>
                <w:szCs w:val="21"/>
              </w:rPr>
            </w:pPr>
            <w:r>
              <w:rPr>
                <w:rFonts w:cs="Times New Roman"/>
                <w:szCs w:val="21"/>
              </w:rPr>
              <w:t>消防人员须佩戴防毒面具，穿灭火防护服，在上风向灭火。在火灾区域设置围堰。喷水冷却容器，可能的话将容器从火场移至空旷处。处在火场中的容器若已变色或从安全泄压装置中产生异常声音，必须马上撤离。尽量使用低压水灭火剂流或雾状水，避免化学品溅出。</w:t>
            </w:r>
          </w:p>
        </w:tc>
      </w:tr>
      <w:tr w14:paraId="488A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451CB795">
            <w:pPr>
              <w:pStyle w:val="78"/>
              <w:rPr>
                <w:rFonts w:cs="Times New Roman"/>
                <w:b/>
                <w:szCs w:val="21"/>
              </w:rPr>
            </w:pPr>
            <w:r>
              <w:rPr>
                <w:rFonts w:cs="Times New Roman"/>
                <w:b/>
                <w:szCs w:val="21"/>
              </w:rPr>
              <w:t>物质</w:t>
            </w:r>
          </w:p>
        </w:tc>
        <w:tc>
          <w:tcPr>
            <w:tcW w:w="3969" w:type="dxa"/>
            <w:shd w:val="clear" w:color="000000" w:fill="FFFFFF"/>
            <w:vAlign w:val="center"/>
          </w:tcPr>
          <w:p w14:paraId="79BB9DBA">
            <w:pPr>
              <w:pStyle w:val="78"/>
              <w:rPr>
                <w:rFonts w:cs="Times New Roman"/>
                <w:b/>
                <w:szCs w:val="21"/>
              </w:rPr>
            </w:pPr>
            <w:r>
              <w:rPr>
                <w:rFonts w:cs="Times New Roman"/>
                <w:b/>
                <w:szCs w:val="21"/>
              </w:rPr>
              <w:t>Cr</w:t>
            </w:r>
            <w:r>
              <w:rPr>
                <w:rFonts w:cs="Times New Roman"/>
                <w:b/>
                <w:szCs w:val="21"/>
                <w:vertAlign w:val="subscript"/>
              </w:rPr>
              <w:t>2</w:t>
            </w:r>
            <w:r>
              <w:rPr>
                <w:rFonts w:cs="Times New Roman"/>
                <w:b/>
                <w:szCs w:val="21"/>
              </w:rPr>
              <w:t>O</w:t>
            </w:r>
            <w:r>
              <w:rPr>
                <w:rFonts w:cs="Times New Roman"/>
                <w:b/>
                <w:szCs w:val="21"/>
                <w:vertAlign w:val="subscript"/>
              </w:rPr>
              <w:t>3</w:t>
            </w:r>
          </w:p>
        </w:tc>
        <w:tc>
          <w:tcPr>
            <w:tcW w:w="3969" w:type="dxa"/>
            <w:shd w:val="clear" w:color="000000" w:fill="FFFFFF"/>
            <w:vAlign w:val="center"/>
          </w:tcPr>
          <w:p w14:paraId="2D9ED72A">
            <w:pPr>
              <w:pStyle w:val="78"/>
              <w:rPr>
                <w:rFonts w:cs="Times New Roman"/>
                <w:b/>
                <w:szCs w:val="21"/>
              </w:rPr>
            </w:pPr>
            <w:r>
              <w:rPr>
                <w:rFonts w:cs="Times New Roman"/>
                <w:b/>
                <w:szCs w:val="21"/>
              </w:rPr>
              <w:t>As</w:t>
            </w:r>
            <w:r>
              <w:rPr>
                <w:rFonts w:cs="Times New Roman"/>
                <w:b/>
                <w:szCs w:val="21"/>
                <w:vertAlign w:val="subscript"/>
              </w:rPr>
              <w:t>2</w:t>
            </w:r>
            <w:r>
              <w:rPr>
                <w:rFonts w:cs="Times New Roman"/>
                <w:b/>
                <w:szCs w:val="21"/>
              </w:rPr>
              <w:t>O</w:t>
            </w:r>
            <w:r>
              <w:rPr>
                <w:rFonts w:cs="Times New Roman"/>
                <w:b/>
                <w:szCs w:val="21"/>
                <w:vertAlign w:val="subscript"/>
              </w:rPr>
              <w:t>3</w:t>
            </w:r>
          </w:p>
        </w:tc>
        <w:tc>
          <w:tcPr>
            <w:tcW w:w="3827" w:type="dxa"/>
            <w:shd w:val="clear" w:color="000000" w:fill="FFFFFF"/>
            <w:vAlign w:val="center"/>
          </w:tcPr>
          <w:p w14:paraId="41B143FE">
            <w:pPr>
              <w:pStyle w:val="78"/>
              <w:rPr>
                <w:rFonts w:cs="Times New Roman"/>
                <w:b/>
                <w:szCs w:val="21"/>
              </w:rPr>
            </w:pPr>
            <w:r>
              <w:rPr>
                <w:rFonts w:cs="Times New Roman"/>
                <w:b/>
                <w:szCs w:val="21"/>
              </w:rPr>
              <w:t>CuO</w:t>
            </w:r>
          </w:p>
        </w:tc>
      </w:tr>
      <w:tr w14:paraId="3CF1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7C46D7D0">
            <w:pPr>
              <w:pStyle w:val="78"/>
              <w:rPr>
                <w:rFonts w:cs="Times New Roman"/>
                <w:szCs w:val="21"/>
              </w:rPr>
            </w:pPr>
            <w:r>
              <w:rPr>
                <w:rFonts w:cs="Times New Roman"/>
                <w:szCs w:val="21"/>
              </w:rPr>
              <w:t>物化性质</w:t>
            </w:r>
          </w:p>
        </w:tc>
        <w:tc>
          <w:tcPr>
            <w:tcW w:w="1559" w:type="dxa"/>
            <w:shd w:val="clear" w:color="000000" w:fill="FFFFFF"/>
            <w:vAlign w:val="center"/>
          </w:tcPr>
          <w:p w14:paraId="44D24EA2">
            <w:pPr>
              <w:pStyle w:val="78"/>
              <w:rPr>
                <w:rFonts w:cs="Times New Roman"/>
                <w:szCs w:val="21"/>
              </w:rPr>
            </w:pPr>
            <w:r>
              <w:rPr>
                <w:rFonts w:cs="Times New Roman"/>
                <w:szCs w:val="21"/>
              </w:rPr>
              <w:t>CAS号</w:t>
            </w:r>
          </w:p>
        </w:tc>
        <w:tc>
          <w:tcPr>
            <w:tcW w:w="3969" w:type="dxa"/>
            <w:shd w:val="clear" w:color="000000" w:fill="FFFFFF"/>
            <w:vAlign w:val="center"/>
          </w:tcPr>
          <w:p w14:paraId="531F714B">
            <w:pPr>
              <w:pStyle w:val="78"/>
              <w:rPr>
                <w:rFonts w:cs="Times New Roman"/>
                <w:szCs w:val="21"/>
              </w:rPr>
            </w:pPr>
            <w:r>
              <w:rPr>
                <w:rFonts w:cs="Times New Roman"/>
                <w:szCs w:val="21"/>
              </w:rPr>
              <w:t>/</w:t>
            </w:r>
          </w:p>
        </w:tc>
        <w:tc>
          <w:tcPr>
            <w:tcW w:w="3969" w:type="dxa"/>
            <w:shd w:val="clear" w:color="000000" w:fill="FFFFFF"/>
            <w:vAlign w:val="center"/>
          </w:tcPr>
          <w:p w14:paraId="784A3F48">
            <w:pPr>
              <w:pStyle w:val="78"/>
              <w:rPr>
                <w:rFonts w:cs="Times New Roman"/>
                <w:szCs w:val="21"/>
              </w:rPr>
            </w:pPr>
            <w:r>
              <w:rPr>
                <w:rFonts w:cs="Times New Roman"/>
                <w:szCs w:val="21"/>
              </w:rPr>
              <w:t>1327-53-3</w:t>
            </w:r>
          </w:p>
        </w:tc>
        <w:tc>
          <w:tcPr>
            <w:tcW w:w="3827" w:type="dxa"/>
            <w:shd w:val="clear" w:color="000000" w:fill="FFFFFF"/>
            <w:vAlign w:val="center"/>
          </w:tcPr>
          <w:p w14:paraId="536AA2B8">
            <w:pPr>
              <w:pStyle w:val="78"/>
              <w:rPr>
                <w:rFonts w:cs="Times New Roman"/>
                <w:szCs w:val="21"/>
              </w:rPr>
            </w:pPr>
            <w:r>
              <w:rPr>
                <w:rFonts w:cs="Times New Roman"/>
                <w:szCs w:val="21"/>
              </w:rPr>
              <w:t>/</w:t>
            </w:r>
          </w:p>
        </w:tc>
      </w:tr>
      <w:tr w14:paraId="5F95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F2BB982">
            <w:pPr>
              <w:pStyle w:val="78"/>
              <w:rPr>
                <w:rFonts w:cs="Times New Roman"/>
                <w:szCs w:val="21"/>
              </w:rPr>
            </w:pPr>
          </w:p>
        </w:tc>
        <w:tc>
          <w:tcPr>
            <w:tcW w:w="1559" w:type="dxa"/>
            <w:shd w:val="clear" w:color="000000" w:fill="FFFFFF"/>
            <w:vAlign w:val="center"/>
          </w:tcPr>
          <w:p w14:paraId="1B786B7F">
            <w:pPr>
              <w:pStyle w:val="78"/>
              <w:rPr>
                <w:rFonts w:cs="Times New Roman"/>
                <w:szCs w:val="21"/>
              </w:rPr>
            </w:pPr>
            <w:r>
              <w:rPr>
                <w:rFonts w:cs="Times New Roman"/>
                <w:szCs w:val="21"/>
              </w:rPr>
              <w:t>中文名称/别名</w:t>
            </w:r>
          </w:p>
        </w:tc>
        <w:tc>
          <w:tcPr>
            <w:tcW w:w="3969" w:type="dxa"/>
            <w:shd w:val="clear" w:color="000000" w:fill="FFFFFF"/>
            <w:vAlign w:val="center"/>
          </w:tcPr>
          <w:p w14:paraId="75C0B49C">
            <w:pPr>
              <w:pStyle w:val="78"/>
              <w:rPr>
                <w:rFonts w:cs="Times New Roman"/>
                <w:szCs w:val="21"/>
              </w:rPr>
            </w:pPr>
            <w:r>
              <w:rPr>
                <w:rFonts w:cs="Times New Roman"/>
                <w:szCs w:val="21"/>
              </w:rPr>
              <w:t>氧化铬（Ⅲ）;氧化铬(Ⅲ);氧化铬;三氧化二铬;氧化铬绿</w:t>
            </w:r>
          </w:p>
        </w:tc>
        <w:tc>
          <w:tcPr>
            <w:tcW w:w="3969" w:type="dxa"/>
            <w:shd w:val="clear" w:color="000000" w:fill="FFFFFF"/>
            <w:vAlign w:val="center"/>
          </w:tcPr>
          <w:p w14:paraId="7CDDBDD4">
            <w:pPr>
              <w:pStyle w:val="78"/>
              <w:rPr>
                <w:rFonts w:cs="Times New Roman"/>
                <w:szCs w:val="21"/>
              </w:rPr>
            </w:pPr>
            <w:r>
              <w:rPr>
                <w:rFonts w:cs="Times New Roman"/>
                <w:szCs w:val="21"/>
              </w:rPr>
              <w:t>三氧化二砷;砒霜;白砷;白砒;亚砷酸酐</w:t>
            </w:r>
          </w:p>
        </w:tc>
        <w:tc>
          <w:tcPr>
            <w:tcW w:w="3827" w:type="dxa"/>
            <w:shd w:val="clear" w:color="000000" w:fill="FFFFFF"/>
            <w:vAlign w:val="center"/>
          </w:tcPr>
          <w:p w14:paraId="61C86347">
            <w:pPr>
              <w:pStyle w:val="78"/>
              <w:rPr>
                <w:rFonts w:cs="Times New Roman"/>
                <w:szCs w:val="21"/>
              </w:rPr>
            </w:pPr>
            <w:r>
              <w:rPr>
                <w:rFonts w:cs="Times New Roman"/>
                <w:szCs w:val="21"/>
              </w:rPr>
              <w:t>氧化铜</w:t>
            </w:r>
          </w:p>
        </w:tc>
      </w:tr>
      <w:tr w14:paraId="798B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534EAAE">
            <w:pPr>
              <w:pStyle w:val="78"/>
              <w:rPr>
                <w:rFonts w:cs="Times New Roman"/>
                <w:szCs w:val="21"/>
              </w:rPr>
            </w:pPr>
          </w:p>
        </w:tc>
        <w:tc>
          <w:tcPr>
            <w:tcW w:w="1559" w:type="dxa"/>
            <w:shd w:val="clear" w:color="000000" w:fill="FFFFFF"/>
            <w:vAlign w:val="center"/>
          </w:tcPr>
          <w:p w14:paraId="5A1BCEFB">
            <w:pPr>
              <w:pStyle w:val="78"/>
              <w:rPr>
                <w:rFonts w:cs="Times New Roman"/>
                <w:szCs w:val="21"/>
              </w:rPr>
            </w:pPr>
            <w:r>
              <w:rPr>
                <w:rFonts w:cs="Times New Roman"/>
                <w:szCs w:val="21"/>
              </w:rPr>
              <w:t>分子式</w:t>
            </w:r>
          </w:p>
        </w:tc>
        <w:tc>
          <w:tcPr>
            <w:tcW w:w="3969" w:type="dxa"/>
            <w:shd w:val="clear" w:color="000000" w:fill="FFFFFF"/>
            <w:vAlign w:val="center"/>
          </w:tcPr>
          <w:p w14:paraId="77E04EBE">
            <w:pPr>
              <w:pStyle w:val="78"/>
              <w:rPr>
                <w:rFonts w:cs="Times New Roman"/>
                <w:szCs w:val="21"/>
              </w:rPr>
            </w:pPr>
            <w:r>
              <w:rPr>
                <w:rFonts w:cs="Times New Roman"/>
                <w:szCs w:val="21"/>
              </w:rPr>
              <w:t>Cr</w:t>
            </w:r>
            <w:r>
              <w:rPr>
                <w:rFonts w:cs="Times New Roman"/>
                <w:szCs w:val="21"/>
                <w:vertAlign w:val="subscript"/>
              </w:rPr>
              <w:t>2</w:t>
            </w:r>
            <w:r>
              <w:rPr>
                <w:rFonts w:cs="Times New Roman"/>
                <w:szCs w:val="21"/>
              </w:rPr>
              <w:t>O</w:t>
            </w:r>
            <w:r>
              <w:rPr>
                <w:rFonts w:cs="Times New Roman"/>
                <w:szCs w:val="21"/>
                <w:vertAlign w:val="subscript"/>
              </w:rPr>
              <w:t>3</w:t>
            </w:r>
          </w:p>
        </w:tc>
        <w:tc>
          <w:tcPr>
            <w:tcW w:w="3969" w:type="dxa"/>
            <w:shd w:val="clear" w:color="000000" w:fill="FFFFFF"/>
            <w:vAlign w:val="center"/>
          </w:tcPr>
          <w:p w14:paraId="7339CDE0">
            <w:pPr>
              <w:pStyle w:val="78"/>
              <w:rPr>
                <w:rFonts w:cs="Times New Roman"/>
                <w:szCs w:val="21"/>
              </w:rPr>
            </w:pPr>
            <w:r>
              <w:rPr>
                <w:rFonts w:cs="Times New Roman"/>
                <w:szCs w:val="21"/>
              </w:rPr>
              <w:t>As</w:t>
            </w:r>
            <w:r>
              <w:rPr>
                <w:rFonts w:cs="Times New Roman"/>
                <w:szCs w:val="21"/>
                <w:vertAlign w:val="subscript"/>
              </w:rPr>
              <w:t>2</w:t>
            </w:r>
            <w:r>
              <w:rPr>
                <w:rFonts w:cs="Times New Roman"/>
                <w:szCs w:val="21"/>
              </w:rPr>
              <w:t>O</w:t>
            </w:r>
            <w:r>
              <w:rPr>
                <w:rFonts w:cs="Times New Roman"/>
                <w:szCs w:val="21"/>
                <w:vertAlign w:val="subscript"/>
              </w:rPr>
              <w:t>3</w:t>
            </w:r>
          </w:p>
        </w:tc>
        <w:tc>
          <w:tcPr>
            <w:tcW w:w="3827" w:type="dxa"/>
            <w:shd w:val="clear" w:color="000000" w:fill="FFFFFF"/>
            <w:vAlign w:val="center"/>
          </w:tcPr>
          <w:p w14:paraId="0B9BF826">
            <w:pPr>
              <w:pStyle w:val="78"/>
              <w:rPr>
                <w:rFonts w:cs="Times New Roman"/>
                <w:szCs w:val="21"/>
              </w:rPr>
            </w:pPr>
            <w:r>
              <w:rPr>
                <w:rFonts w:cs="Times New Roman"/>
                <w:szCs w:val="21"/>
              </w:rPr>
              <w:t>CuO</w:t>
            </w:r>
          </w:p>
        </w:tc>
      </w:tr>
      <w:tr w14:paraId="5051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7ED3DD7">
            <w:pPr>
              <w:pStyle w:val="78"/>
              <w:rPr>
                <w:rFonts w:cs="Times New Roman"/>
                <w:szCs w:val="21"/>
              </w:rPr>
            </w:pPr>
          </w:p>
        </w:tc>
        <w:tc>
          <w:tcPr>
            <w:tcW w:w="1559" w:type="dxa"/>
            <w:shd w:val="clear" w:color="000000" w:fill="FFFFFF"/>
            <w:vAlign w:val="center"/>
          </w:tcPr>
          <w:p w14:paraId="636A6880">
            <w:pPr>
              <w:pStyle w:val="78"/>
              <w:rPr>
                <w:rFonts w:cs="Times New Roman"/>
                <w:szCs w:val="21"/>
              </w:rPr>
            </w:pPr>
            <w:r>
              <w:rPr>
                <w:rFonts w:cs="Times New Roman"/>
                <w:szCs w:val="21"/>
              </w:rPr>
              <w:t>分子量</w:t>
            </w:r>
          </w:p>
        </w:tc>
        <w:tc>
          <w:tcPr>
            <w:tcW w:w="3969" w:type="dxa"/>
            <w:shd w:val="clear" w:color="000000" w:fill="FFFFFF"/>
            <w:vAlign w:val="center"/>
          </w:tcPr>
          <w:p w14:paraId="0437D909">
            <w:pPr>
              <w:pStyle w:val="78"/>
              <w:rPr>
                <w:rFonts w:cs="Times New Roman"/>
                <w:szCs w:val="21"/>
              </w:rPr>
            </w:pPr>
            <w:r>
              <w:rPr>
                <w:rFonts w:cs="Times New Roman"/>
                <w:szCs w:val="21"/>
              </w:rPr>
              <w:t>151.99</w:t>
            </w:r>
          </w:p>
        </w:tc>
        <w:tc>
          <w:tcPr>
            <w:tcW w:w="3969" w:type="dxa"/>
            <w:shd w:val="clear" w:color="000000" w:fill="FFFFFF"/>
            <w:vAlign w:val="center"/>
          </w:tcPr>
          <w:p w14:paraId="6D8DDC46">
            <w:pPr>
              <w:pStyle w:val="78"/>
              <w:rPr>
                <w:rFonts w:cs="Times New Roman"/>
                <w:szCs w:val="21"/>
              </w:rPr>
            </w:pPr>
            <w:r>
              <w:rPr>
                <w:rFonts w:cs="Times New Roman"/>
                <w:szCs w:val="21"/>
              </w:rPr>
              <w:t>197.84</w:t>
            </w:r>
          </w:p>
        </w:tc>
        <w:tc>
          <w:tcPr>
            <w:tcW w:w="3827" w:type="dxa"/>
            <w:shd w:val="clear" w:color="000000" w:fill="FFFFFF"/>
            <w:vAlign w:val="center"/>
          </w:tcPr>
          <w:p w14:paraId="7648577F">
            <w:pPr>
              <w:pStyle w:val="78"/>
              <w:rPr>
                <w:rFonts w:cs="Times New Roman"/>
                <w:szCs w:val="21"/>
              </w:rPr>
            </w:pPr>
            <w:r>
              <w:rPr>
                <w:rFonts w:cs="Times New Roman"/>
                <w:szCs w:val="21"/>
              </w:rPr>
              <w:t>79.54</w:t>
            </w:r>
          </w:p>
        </w:tc>
      </w:tr>
      <w:tr w14:paraId="7823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65FCDD79">
            <w:pPr>
              <w:pStyle w:val="78"/>
              <w:rPr>
                <w:rFonts w:cs="Times New Roman"/>
                <w:szCs w:val="21"/>
              </w:rPr>
            </w:pPr>
          </w:p>
        </w:tc>
        <w:tc>
          <w:tcPr>
            <w:tcW w:w="1559" w:type="dxa"/>
            <w:shd w:val="clear" w:color="000000" w:fill="FFFFFF"/>
            <w:vAlign w:val="center"/>
          </w:tcPr>
          <w:p w14:paraId="30C95475">
            <w:pPr>
              <w:pStyle w:val="78"/>
              <w:rPr>
                <w:rFonts w:cs="Times New Roman"/>
                <w:szCs w:val="21"/>
              </w:rPr>
            </w:pPr>
            <w:r>
              <w:rPr>
                <w:rFonts w:cs="Times New Roman"/>
                <w:szCs w:val="21"/>
              </w:rPr>
              <w:t>外观性状</w:t>
            </w:r>
          </w:p>
        </w:tc>
        <w:tc>
          <w:tcPr>
            <w:tcW w:w="3969" w:type="dxa"/>
            <w:shd w:val="clear" w:color="000000" w:fill="FFFFFF"/>
            <w:vAlign w:val="center"/>
          </w:tcPr>
          <w:p w14:paraId="36B9DCC1">
            <w:pPr>
              <w:pStyle w:val="78"/>
              <w:rPr>
                <w:rFonts w:cs="Times New Roman"/>
                <w:szCs w:val="21"/>
              </w:rPr>
            </w:pPr>
            <w:r>
              <w:rPr>
                <w:rFonts w:cs="Times New Roman"/>
                <w:szCs w:val="21"/>
              </w:rPr>
              <w:t>淡绿色至深绿色六角形结晶或粉末</w:t>
            </w:r>
          </w:p>
        </w:tc>
        <w:tc>
          <w:tcPr>
            <w:tcW w:w="3969" w:type="dxa"/>
            <w:shd w:val="clear" w:color="000000" w:fill="FFFFFF"/>
            <w:vAlign w:val="center"/>
          </w:tcPr>
          <w:p w14:paraId="1356A033">
            <w:pPr>
              <w:pStyle w:val="78"/>
              <w:rPr>
                <w:rFonts w:cs="Times New Roman"/>
                <w:szCs w:val="21"/>
              </w:rPr>
            </w:pPr>
            <w:r>
              <w:rPr>
                <w:rFonts w:cs="Times New Roman"/>
                <w:szCs w:val="21"/>
              </w:rPr>
              <w:t>无臭无味的白色粉末。</w:t>
            </w:r>
          </w:p>
        </w:tc>
        <w:tc>
          <w:tcPr>
            <w:tcW w:w="3827" w:type="dxa"/>
            <w:shd w:val="clear" w:color="000000" w:fill="FFFFFF"/>
            <w:vAlign w:val="center"/>
          </w:tcPr>
          <w:p w14:paraId="7D4C6DF6">
            <w:pPr>
              <w:pStyle w:val="78"/>
              <w:rPr>
                <w:rFonts w:cs="Times New Roman"/>
                <w:szCs w:val="21"/>
              </w:rPr>
            </w:pPr>
            <w:r>
              <w:rPr>
                <w:rFonts w:cs="Times New Roman"/>
                <w:szCs w:val="21"/>
              </w:rPr>
              <w:t>黑褐色粉末。</w:t>
            </w:r>
          </w:p>
        </w:tc>
      </w:tr>
      <w:tr w14:paraId="54FA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05B1550">
            <w:pPr>
              <w:pStyle w:val="78"/>
              <w:rPr>
                <w:rFonts w:cs="Times New Roman"/>
                <w:szCs w:val="21"/>
              </w:rPr>
            </w:pPr>
          </w:p>
        </w:tc>
        <w:tc>
          <w:tcPr>
            <w:tcW w:w="1559" w:type="dxa"/>
            <w:shd w:val="clear" w:color="000000" w:fill="FFFFFF"/>
            <w:vAlign w:val="center"/>
          </w:tcPr>
          <w:p w14:paraId="414D6086">
            <w:pPr>
              <w:pStyle w:val="78"/>
              <w:rPr>
                <w:rFonts w:cs="Times New Roman"/>
                <w:szCs w:val="21"/>
              </w:rPr>
            </w:pPr>
            <w:r>
              <w:rPr>
                <w:rFonts w:cs="Times New Roman"/>
                <w:szCs w:val="21"/>
              </w:rPr>
              <w:t>沸点，℃</w:t>
            </w:r>
          </w:p>
        </w:tc>
        <w:tc>
          <w:tcPr>
            <w:tcW w:w="3969" w:type="dxa"/>
            <w:shd w:val="clear" w:color="000000" w:fill="FFFFFF"/>
            <w:vAlign w:val="center"/>
          </w:tcPr>
          <w:p w14:paraId="507CD2F1">
            <w:pPr>
              <w:pStyle w:val="78"/>
              <w:rPr>
                <w:rFonts w:cs="Times New Roman"/>
                <w:szCs w:val="21"/>
              </w:rPr>
            </w:pPr>
            <w:r>
              <w:rPr>
                <w:rFonts w:cs="Times New Roman"/>
                <w:szCs w:val="21"/>
              </w:rPr>
              <w:t>4000</w:t>
            </w:r>
          </w:p>
        </w:tc>
        <w:tc>
          <w:tcPr>
            <w:tcW w:w="3969" w:type="dxa"/>
            <w:shd w:val="clear" w:color="000000" w:fill="FFFFFF"/>
            <w:vAlign w:val="center"/>
          </w:tcPr>
          <w:p w14:paraId="5FB53CBE">
            <w:pPr>
              <w:pStyle w:val="78"/>
              <w:rPr>
                <w:rFonts w:cs="Times New Roman"/>
                <w:szCs w:val="21"/>
              </w:rPr>
            </w:pPr>
            <w:r>
              <w:rPr>
                <w:rFonts w:cs="Times New Roman"/>
                <w:szCs w:val="21"/>
              </w:rPr>
              <w:t>460～465</w:t>
            </w:r>
          </w:p>
        </w:tc>
        <w:tc>
          <w:tcPr>
            <w:tcW w:w="3827" w:type="dxa"/>
            <w:shd w:val="clear" w:color="000000" w:fill="FFFFFF"/>
            <w:vAlign w:val="center"/>
          </w:tcPr>
          <w:p w14:paraId="46E83305">
            <w:pPr>
              <w:pStyle w:val="78"/>
              <w:rPr>
                <w:rFonts w:cs="Times New Roman"/>
                <w:szCs w:val="21"/>
              </w:rPr>
            </w:pPr>
            <w:r>
              <w:rPr>
                <w:rFonts w:cs="Times New Roman"/>
                <w:szCs w:val="21"/>
              </w:rPr>
              <w:t>无资料</w:t>
            </w:r>
          </w:p>
        </w:tc>
      </w:tr>
      <w:tr w14:paraId="7F79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8BE35FC">
            <w:pPr>
              <w:pStyle w:val="78"/>
              <w:rPr>
                <w:rFonts w:cs="Times New Roman"/>
                <w:szCs w:val="21"/>
              </w:rPr>
            </w:pPr>
          </w:p>
        </w:tc>
        <w:tc>
          <w:tcPr>
            <w:tcW w:w="1559" w:type="dxa"/>
            <w:shd w:val="clear" w:color="000000" w:fill="FFFFFF"/>
            <w:vAlign w:val="center"/>
          </w:tcPr>
          <w:p w14:paraId="5429C476">
            <w:pPr>
              <w:pStyle w:val="78"/>
              <w:rPr>
                <w:rFonts w:cs="Times New Roman"/>
                <w:szCs w:val="21"/>
              </w:rPr>
            </w:pPr>
            <w:r>
              <w:rPr>
                <w:rFonts w:cs="Times New Roman"/>
                <w:szCs w:val="21"/>
              </w:rPr>
              <w:t>熔点，℃</w:t>
            </w:r>
          </w:p>
        </w:tc>
        <w:tc>
          <w:tcPr>
            <w:tcW w:w="3969" w:type="dxa"/>
            <w:shd w:val="clear" w:color="000000" w:fill="FFFFFF"/>
            <w:vAlign w:val="center"/>
          </w:tcPr>
          <w:p w14:paraId="6162BA62">
            <w:pPr>
              <w:pStyle w:val="78"/>
              <w:rPr>
                <w:rFonts w:cs="Times New Roman"/>
                <w:szCs w:val="21"/>
              </w:rPr>
            </w:pPr>
            <w:r>
              <w:rPr>
                <w:rFonts w:cs="Times New Roman"/>
                <w:szCs w:val="21"/>
              </w:rPr>
              <w:t>2435</w:t>
            </w:r>
          </w:p>
        </w:tc>
        <w:tc>
          <w:tcPr>
            <w:tcW w:w="3969" w:type="dxa"/>
            <w:shd w:val="clear" w:color="000000" w:fill="FFFFFF"/>
            <w:vAlign w:val="center"/>
          </w:tcPr>
          <w:p w14:paraId="23952170">
            <w:pPr>
              <w:pStyle w:val="78"/>
              <w:rPr>
                <w:rFonts w:cs="Times New Roman"/>
                <w:szCs w:val="21"/>
              </w:rPr>
            </w:pPr>
            <w:r>
              <w:rPr>
                <w:rFonts w:cs="Times New Roman"/>
                <w:szCs w:val="21"/>
              </w:rPr>
              <w:t>275～313</w:t>
            </w:r>
          </w:p>
        </w:tc>
        <w:tc>
          <w:tcPr>
            <w:tcW w:w="3827" w:type="dxa"/>
            <w:shd w:val="clear" w:color="000000" w:fill="FFFFFF"/>
            <w:vAlign w:val="center"/>
          </w:tcPr>
          <w:p w14:paraId="2B308561">
            <w:pPr>
              <w:pStyle w:val="78"/>
              <w:rPr>
                <w:rFonts w:cs="Times New Roman"/>
                <w:szCs w:val="21"/>
              </w:rPr>
            </w:pPr>
            <w:r>
              <w:rPr>
                <w:rFonts w:cs="Times New Roman"/>
                <w:szCs w:val="21"/>
              </w:rPr>
              <w:t>1326</w:t>
            </w:r>
          </w:p>
        </w:tc>
      </w:tr>
      <w:tr w14:paraId="65DB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7831D07">
            <w:pPr>
              <w:pStyle w:val="78"/>
              <w:rPr>
                <w:rFonts w:cs="Times New Roman"/>
                <w:szCs w:val="21"/>
              </w:rPr>
            </w:pPr>
          </w:p>
        </w:tc>
        <w:tc>
          <w:tcPr>
            <w:tcW w:w="1559" w:type="dxa"/>
            <w:shd w:val="clear" w:color="000000" w:fill="FFFFFF"/>
            <w:vAlign w:val="center"/>
          </w:tcPr>
          <w:p w14:paraId="7BFD7A78">
            <w:pPr>
              <w:pStyle w:val="78"/>
              <w:rPr>
                <w:rFonts w:cs="Times New Roman"/>
                <w:szCs w:val="21"/>
              </w:rPr>
            </w:pPr>
            <w:r>
              <w:rPr>
                <w:rFonts w:cs="Times New Roman"/>
                <w:szCs w:val="21"/>
              </w:rPr>
              <w:t>饱和蒸汽压，kPa</w:t>
            </w:r>
          </w:p>
        </w:tc>
        <w:tc>
          <w:tcPr>
            <w:tcW w:w="3969" w:type="dxa"/>
            <w:shd w:val="clear" w:color="000000" w:fill="FFFFFF"/>
            <w:vAlign w:val="center"/>
          </w:tcPr>
          <w:p w14:paraId="46504135">
            <w:pPr>
              <w:pStyle w:val="78"/>
              <w:rPr>
                <w:rFonts w:cs="Times New Roman"/>
                <w:szCs w:val="21"/>
              </w:rPr>
            </w:pPr>
            <w:r>
              <w:rPr>
                <w:rFonts w:cs="Times New Roman"/>
                <w:szCs w:val="21"/>
              </w:rPr>
              <w:t>无资料</w:t>
            </w:r>
          </w:p>
        </w:tc>
        <w:tc>
          <w:tcPr>
            <w:tcW w:w="3969" w:type="dxa"/>
            <w:shd w:val="clear" w:color="000000" w:fill="FFFFFF"/>
            <w:vAlign w:val="center"/>
          </w:tcPr>
          <w:p w14:paraId="0FE27296">
            <w:pPr>
              <w:pStyle w:val="78"/>
              <w:rPr>
                <w:rFonts w:cs="Times New Roman"/>
                <w:szCs w:val="21"/>
              </w:rPr>
            </w:pPr>
            <w:r>
              <w:rPr>
                <w:rFonts w:cs="Times New Roman"/>
                <w:szCs w:val="21"/>
              </w:rPr>
              <w:t>13.33(332.5℃)</w:t>
            </w:r>
          </w:p>
        </w:tc>
        <w:tc>
          <w:tcPr>
            <w:tcW w:w="3827" w:type="dxa"/>
            <w:shd w:val="clear" w:color="000000" w:fill="FFFFFF"/>
            <w:vAlign w:val="center"/>
          </w:tcPr>
          <w:p w14:paraId="7D52A048">
            <w:pPr>
              <w:pStyle w:val="78"/>
              <w:rPr>
                <w:rFonts w:cs="Times New Roman"/>
                <w:szCs w:val="21"/>
              </w:rPr>
            </w:pPr>
            <w:r>
              <w:rPr>
                <w:rFonts w:cs="Times New Roman"/>
                <w:szCs w:val="21"/>
              </w:rPr>
              <w:t>无资料</w:t>
            </w:r>
          </w:p>
        </w:tc>
      </w:tr>
      <w:tr w14:paraId="7CD5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406FE088">
            <w:pPr>
              <w:pStyle w:val="78"/>
              <w:rPr>
                <w:rFonts w:cs="Times New Roman"/>
                <w:szCs w:val="21"/>
              </w:rPr>
            </w:pPr>
            <w:r>
              <w:rPr>
                <w:rFonts w:cs="Times New Roman"/>
                <w:szCs w:val="21"/>
              </w:rPr>
              <w:t>危险性类别</w:t>
            </w:r>
          </w:p>
        </w:tc>
        <w:tc>
          <w:tcPr>
            <w:tcW w:w="3969" w:type="dxa"/>
            <w:shd w:val="clear" w:color="000000" w:fill="FFFFFF"/>
            <w:vAlign w:val="center"/>
          </w:tcPr>
          <w:p w14:paraId="1F0599D3">
            <w:pPr>
              <w:pStyle w:val="78"/>
              <w:rPr>
                <w:rFonts w:cs="Times New Roman"/>
                <w:szCs w:val="21"/>
              </w:rPr>
            </w:pPr>
            <w:r>
              <w:rPr>
                <w:rFonts w:hint="eastAsia" w:cs="Times New Roman"/>
                <w:szCs w:val="21"/>
              </w:rPr>
              <w:t>/</w:t>
            </w:r>
          </w:p>
        </w:tc>
        <w:tc>
          <w:tcPr>
            <w:tcW w:w="3969" w:type="dxa"/>
            <w:shd w:val="clear" w:color="000000" w:fill="FFFFFF"/>
            <w:vAlign w:val="center"/>
          </w:tcPr>
          <w:p w14:paraId="34EAF404">
            <w:pPr>
              <w:pStyle w:val="78"/>
              <w:rPr>
                <w:rFonts w:cs="Times New Roman"/>
                <w:szCs w:val="21"/>
              </w:rPr>
            </w:pPr>
            <w:r>
              <w:rPr>
                <w:rFonts w:hint="eastAsia" w:cs="Times New Roman"/>
                <w:szCs w:val="21"/>
              </w:rPr>
              <w:t>/</w:t>
            </w:r>
          </w:p>
        </w:tc>
        <w:tc>
          <w:tcPr>
            <w:tcW w:w="3827" w:type="dxa"/>
            <w:shd w:val="clear" w:color="000000" w:fill="FFFFFF"/>
            <w:vAlign w:val="center"/>
          </w:tcPr>
          <w:p w14:paraId="34A0186B">
            <w:pPr>
              <w:pStyle w:val="78"/>
              <w:rPr>
                <w:rFonts w:cs="Times New Roman"/>
                <w:szCs w:val="21"/>
              </w:rPr>
            </w:pPr>
            <w:r>
              <w:rPr>
                <w:rFonts w:hint="eastAsia" w:cs="Times New Roman"/>
                <w:szCs w:val="21"/>
              </w:rPr>
              <w:t>/</w:t>
            </w:r>
          </w:p>
        </w:tc>
      </w:tr>
      <w:tr w14:paraId="36C4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26CE6A1F">
            <w:pPr>
              <w:pStyle w:val="78"/>
              <w:rPr>
                <w:rFonts w:cs="Times New Roman"/>
                <w:szCs w:val="21"/>
              </w:rPr>
            </w:pPr>
            <w:r>
              <w:rPr>
                <w:rFonts w:cs="Times New Roman"/>
                <w:szCs w:val="21"/>
              </w:rPr>
              <w:t>危险特性</w:t>
            </w:r>
          </w:p>
        </w:tc>
        <w:tc>
          <w:tcPr>
            <w:tcW w:w="3969" w:type="dxa"/>
            <w:shd w:val="clear" w:color="000000" w:fill="FFFFFF"/>
            <w:vAlign w:val="center"/>
          </w:tcPr>
          <w:p w14:paraId="57C9FB1B">
            <w:pPr>
              <w:pStyle w:val="78"/>
              <w:rPr>
                <w:rFonts w:cs="Times New Roman"/>
                <w:szCs w:val="21"/>
              </w:rPr>
            </w:pPr>
            <w:r>
              <w:rPr>
                <w:rFonts w:cs="Times New Roman"/>
                <w:szCs w:val="21"/>
              </w:rPr>
              <w:t>不燃。在火场中产生有毒的烟气。</w:t>
            </w:r>
          </w:p>
          <w:p w14:paraId="7AB31E76">
            <w:pPr>
              <w:pStyle w:val="78"/>
              <w:rPr>
                <w:rFonts w:cs="Times New Roman"/>
                <w:szCs w:val="21"/>
              </w:rPr>
            </w:pPr>
            <w:r>
              <w:rPr>
                <w:rFonts w:cs="Times New Roman"/>
                <w:szCs w:val="21"/>
              </w:rPr>
              <w:t>与甘油、二氟化氧、锂、三氟化氯。</w:t>
            </w:r>
          </w:p>
        </w:tc>
        <w:tc>
          <w:tcPr>
            <w:tcW w:w="3969" w:type="dxa"/>
            <w:shd w:val="clear" w:color="000000" w:fill="FFFFFF"/>
            <w:vAlign w:val="center"/>
          </w:tcPr>
          <w:p w14:paraId="44A48509">
            <w:pPr>
              <w:pStyle w:val="78"/>
              <w:rPr>
                <w:rFonts w:cs="Times New Roman"/>
                <w:szCs w:val="21"/>
              </w:rPr>
            </w:pPr>
            <w:r>
              <w:rPr>
                <w:rFonts w:cs="Times New Roman"/>
                <w:szCs w:val="21"/>
              </w:rPr>
              <w:t>不燃，无特殊燃爆特性。</w:t>
            </w:r>
          </w:p>
          <w:p w14:paraId="769080F5">
            <w:pPr>
              <w:pStyle w:val="78"/>
              <w:rPr>
                <w:rFonts w:cs="Times New Roman"/>
                <w:szCs w:val="21"/>
              </w:rPr>
            </w:pPr>
            <w:r>
              <w:rPr>
                <w:rFonts w:cs="Times New Roman"/>
                <w:szCs w:val="21"/>
              </w:rPr>
              <w:t>与强氧化剂等禁配物发生反应。</w:t>
            </w:r>
          </w:p>
        </w:tc>
        <w:tc>
          <w:tcPr>
            <w:tcW w:w="3827" w:type="dxa"/>
            <w:shd w:val="clear" w:color="000000" w:fill="FFFFFF"/>
            <w:vAlign w:val="center"/>
          </w:tcPr>
          <w:p w14:paraId="20B03D47">
            <w:pPr>
              <w:pStyle w:val="78"/>
              <w:rPr>
                <w:rFonts w:cs="Times New Roman"/>
                <w:szCs w:val="21"/>
              </w:rPr>
            </w:pPr>
            <w:r>
              <w:rPr>
                <w:rFonts w:cs="Times New Roman"/>
                <w:szCs w:val="21"/>
              </w:rPr>
              <w:t>不燃，无特殊燃爆特性。</w:t>
            </w:r>
          </w:p>
          <w:p w14:paraId="242B9374">
            <w:pPr>
              <w:pStyle w:val="78"/>
              <w:rPr>
                <w:rFonts w:cs="Times New Roman"/>
                <w:szCs w:val="21"/>
              </w:rPr>
            </w:pPr>
            <w:r>
              <w:rPr>
                <w:rFonts w:cs="Times New Roman"/>
                <w:szCs w:val="21"/>
              </w:rPr>
              <w:t>不聚合</w:t>
            </w:r>
          </w:p>
        </w:tc>
      </w:tr>
      <w:tr w14:paraId="40E3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2C941810">
            <w:pPr>
              <w:pStyle w:val="78"/>
              <w:rPr>
                <w:rFonts w:cs="Times New Roman"/>
                <w:szCs w:val="21"/>
              </w:rPr>
            </w:pPr>
            <w:r>
              <w:rPr>
                <w:rFonts w:cs="Times New Roman"/>
                <w:szCs w:val="21"/>
              </w:rPr>
              <w:t>禁忌物</w:t>
            </w:r>
          </w:p>
        </w:tc>
        <w:tc>
          <w:tcPr>
            <w:tcW w:w="3969" w:type="dxa"/>
            <w:shd w:val="clear" w:color="000000" w:fill="FFFFFF"/>
            <w:vAlign w:val="center"/>
          </w:tcPr>
          <w:p w14:paraId="486BD8DB">
            <w:pPr>
              <w:pStyle w:val="78"/>
              <w:rPr>
                <w:rFonts w:cs="Times New Roman"/>
                <w:szCs w:val="21"/>
              </w:rPr>
            </w:pPr>
            <w:r>
              <w:rPr>
                <w:rFonts w:cs="Times New Roman"/>
                <w:szCs w:val="21"/>
              </w:rPr>
              <w:t>强氧化剂、可燃物。</w:t>
            </w:r>
          </w:p>
        </w:tc>
        <w:tc>
          <w:tcPr>
            <w:tcW w:w="3969" w:type="dxa"/>
            <w:shd w:val="clear" w:color="000000" w:fill="FFFFFF"/>
            <w:vAlign w:val="center"/>
          </w:tcPr>
          <w:p w14:paraId="6C6B287E">
            <w:pPr>
              <w:pStyle w:val="78"/>
              <w:rPr>
                <w:rFonts w:cs="Times New Roman"/>
                <w:szCs w:val="21"/>
              </w:rPr>
            </w:pPr>
            <w:r>
              <w:rPr>
                <w:rFonts w:cs="Times New Roman"/>
                <w:szCs w:val="21"/>
              </w:rPr>
              <w:t>酸类、强氧化剂、卤素。</w:t>
            </w:r>
          </w:p>
        </w:tc>
        <w:tc>
          <w:tcPr>
            <w:tcW w:w="3827" w:type="dxa"/>
            <w:shd w:val="clear" w:color="000000" w:fill="FFFFFF"/>
            <w:vAlign w:val="center"/>
          </w:tcPr>
          <w:p w14:paraId="65FD48EE">
            <w:pPr>
              <w:pStyle w:val="78"/>
              <w:rPr>
                <w:rFonts w:cs="Times New Roman"/>
                <w:szCs w:val="21"/>
              </w:rPr>
            </w:pPr>
            <w:r>
              <w:rPr>
                <w:rFonts w:cs="Times New Roman"/>
                <w:szCs w:val="21"/>
              </w:rPr>
              <w:t>强还原剂、铝、碱金属。</w:t>
            </w:r>
          </w:p>
        </w:tc>
      </w:tr>
      <w:tr w14:paraId="1DE2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7D49AA1E">
            <w:pPr>
              <w:pStyle w:val="78"/>
              <w:rPr>
                <w:rFonts w:cs="Times New Roman"/>
                <w:szCs w:val="21"/>
              </w:rPr>
            </w:pPr>
            <w:r>
              <w:rPr>
                <w:rFonts w:cs="Times New Roman"/>
                <w:szCs w:val="21"/>
              </w:rPr>
              <w:t>毒性及健康危害</w:t>
            </w:r>
          </w:p>
        </w:tc>
        <w:tc>
          <w:tcPr>
            <w:tcW w:w="1559" w:type="dxa"/>
            <w:shd w:val="clear" w:color="000000" w:fill="FFFFFF"/>
            <w:vAlign w:val="center"/>
          </w:tcPr>
          <w:p w14:paraId="0E1047D9">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21A1088E">
            <w:pPr>
              <w:pStyle w:val="78"/>
              <w:rPr>
                <w:rFonts w:cs="Times New Roman"/>
                <w:szCs w:val="21"/>
              </w:rPr>
            </w:pPr>
            <w:r>
              <w:rPr>
                <w:rFonts w:cs="Times New Roman"/>
                <w:szCs w:val="21"/>
              </w:rPr>
              <w:t>哺乳动物LD</w:t>
            </w:r>
            <w:r>
              <w:rPr>
                <w:rFonts w:cs="Times New Roman"/>
                <w:szCs w:val="21"/>
                <w:vertAlign w:val="subscript"/>
              </w:rPr>
              <w:t>50</w:t>
            </w:r>
            <w:r>
              <w:rPr>
                <w:rFonts w:cs="Times New Roman"/>
                <w:szCs w:val="21"/>
              </w:rPr>
              <w:t>:621mg/kg。</w:t>
            </w:r>
          </w:p>
        </w:tc>
        <w:tc>
          <w:tcPr>
            <w:tcW w:w="3969" w:type="dxa"/>
            <w:shd w:val="clear" w:color="000000" w:fill="FFFFFF"/>
            <w:vAlign w:val="center"/>
          </w:tcPr>
          <w:p w14:paraId="39D1F652">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：10mg/kg（大鼠经口）；20mg/kg（小鼠经口）</w:t>
            </w:r>
          </w:p>
        </w:tc>
        <w:tc>
          <w:tcPr>
            <w:tcW w:w="3827" w:type="dxa"/>
            <w:shd w:val="clear" w:color="000000" w:fill="FFFFFF"/>
            <w:vAlign w:val="center"/>
          </w:tcPr>
          <w:p w14:paraId="46E36D3F">
            <w:pPr>
              <w:pStyle w:val="78"/>
              <w:rPr>
                <w:rFonts w:cs="Times New Roman"/>
                <w:szCs w:val="21"/>
              </w:rPr>
            </w:pPr>
            <w:r>
              <w:rPr>
                <w:rFonts w:cs="Times New Roman"/>
                <w:szCs w:val="21"/>
              </w:rPr>
              <w:t>/</w:t>
            </w:r>
          </w:p>
        </w:tc>
      </w:tr>
      <w:tr w14:paraId="3872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677AF07">
            <w:pPr>
              <w:pStyle w:val="78"/>
              <w:rPr>
                <w:rFonts w:cs="Times New Roman"/>
                <w:szCs w:val="21"/>
              </w:rPr>
            </w:pPr>
          </w:p>
        </w:tc>
        <w:tc>
          <w:tcPr>
            <w:tcW w:w="1559" w:type="dxa"/>
            <w:shd w:val="clear" w:color="000000" w:fill="FFFFFF"/>
            <w:vAlign w:val="center"/>
          </w:tcPr>
          <w:p w14:paraId="58825497">
            <w:pPr>
              <w:pStyle w:val="78"/>
              <w:rPr>
                <w:rFonts w:cs="Times New Roman"/>
                <w:szCs w:val="21"/>
              </w:rPr>
            </w:pPr>
            <w:r>
              <w:rPr>
                <w:rFonts w:cs="Times New Roman"/>
                <w:szCs w:val="21"/>
              </w:rPr>
              <w:t>中毒途径</w:t>
            </w:r>
          </w:p>
        </w:tc>
        <w:tc>
          <w:tcPr>
            <w:tcW w:w="3969" w:type="dxa"/>
            <w:shd w:val="clear" w:color="000000" w:fill="FFFFFF"/>
            <w:vAlign w:val="center"/>
          </w:tcPr>
          <w:p w14:paraId="1AF415C6">
            <w:pPr>
              <w:pStyle w:val="78"/>
              <w:rPr>
                <w:rFonts w:cs="Times New Roman"/>
                <w:szCs w:val="21"/>
              </w:rPr>
            </w:pPr>
            <w:r>
              <w:rPr>
                <w:rFonts w:cs="Times New Roman"/>
                <w:szCs w:val="21"/>
              </w:rPr>
              <w:t>吸入、食入、皮肤接触</w:t>
            </w:r>
          </w:p>
        </w:tc>
        <w:tc>
          <w:tcPr>
            <w:tcW w:w="3969" w:type="dxa"/>
            <w:shd w:val="clear" w:color="000000" w:fill="FFFFFF"/>
            <w:vAlign w:val="center"/>
          </w:tcPr>
          <w:p w14:paraId="20F41C81">
            <w:pPr>
              <w:pStyle w:val="78"/>
              <w:rPr>
                <w:rFonts w:cs="Times New Roman"/>
                <w:szCs w:val="21"/>
              </w:rPr>
            </w:pPr>
            <w:r>
              <w:rPr>
                <w:rFonts w:cs="Times New Roman"/>
                <w:szCs w:val="21"/>
              </w:rPr>
              <w:t>吸入、食入、皮肤接触</w:t>
            </w:r>
          </w:p>
        </w:tc>
        <w:tc>
          <w:tcPr>
            <w:tcW w:w="3827" w:type="dxa"/>
            <w:shd w:val="clear" w:color="000000" w:fill="FFFFFF"/>
            <w:vAlign w:val="center"/>
          </w:tcPr>
          <w:p w14:paraId="4FF656F5">
            <w:pPr>
              <w:pStyle w:val="78"/>
              <w:rPr>
                <w:rFonts w:cs="Times New Roman"/>
                <w:szCs w:val="21"/>
              </w:rPr>
            </w:pPr>
            <w:r>
              <w:rPr>
                <w:rFonts w:cs="Times New Roman"/>
                <w:szCs w:val="21"/>
              </w:rPr>
              <w:t>吸入、食入、皮肤接触</w:t>
            </w:r>
          </w:p>
        </w:tc>
      </w:tr>
      <w:tr w14:paraId="7413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5C3F9AC">
            <w:pPr>
              <w:pStyle w:val="78"/>
              <w:rPr>
                <w:rFonts w:cs="Times New Roman"/>
                <w:szCs w:val="21"/>
              </w:rPr>
            </w:pPr>
          </w:p>
        </w:tc>
        <w:tc>
          <w:tcPr>
            <w:tcW w:w="1559" w:type="dxa"/>
            <w:shd w:val="clear" w:color="000000" w:fill="FFFFFF"/>
            <w:vAlign w:val="center"/>
          </w:tcPr>
          <w:p w14:paraId="6A4DF6FA">
            <w:pPr>
              <w:pStyle w:val="78"/>
              <w:rPr>
                <w:rFonts w:cs="Times New Roman"/>
                <w:szCs w:val="21"/>
              </w:rPr>
            </w:pPr>
            <w:r>
              <w:rPr>
                <w:rFonts w:cs="Times New Roman"/>
                <w:szCs w:val="21"/>
              </w:rPr>
              <w:t>健康危害</w:t>
            </w:r>
          </w:p>
        </w:tc>
        <w:tc>
          <w:tcPr>
            <w:tcW w:w="3969" w:type="dxa"/>
            <w:shd w:val="clear" w:color="000000" w:fill="FFFFFF"/>
            <w:vAlign w:val="center"/>
          </w:tcPr>
          <w:p w14:paraId="4C08B733">
            <w:pPr>
              <w:pStyle w:val="78"/>
              <w:rPr>
                <w:rFonts w:cs="Times New Roman"/>
                <w:szCs w:val="21"/>
              </w:rPr>
            </w:pPr>
            <w:r>
              <w:rPr>
                <w:rFonts w:cs="Times New Roman"/>
                <w:szCs w:val="21"/>
              </w:rPr>
              <w:t>对呼吸道有刺激性，吸入后引起咳嗽。对眼有刺激性。对呼吸道和皮肤有致敏性。</w:t>
            </w:r>
          </w:p>
        </w:tc>
        <w:tc>
          <w:tcPr>
            <w:tcW w:w="3969" w:type="dxa"/>
            <w:shd w:val="clear" w:color="000000" w:fill="FFFFFF"/>
            <w:vAlign w:val="center"/>
          </w:tcPr>
          <w:p w14:paraId="05690C54">
            <w:pPr>
              <w:pStyle w:val="78"/>
              <w:rPr>
                <w:rFonts w:cs="Times New Roman"/>
                <w:szCs w:val="21"/>
              </w:rPr>
            </w:pPr>
            <w:r>
              <w:rPr>
                <w:rFonts w:cs="Times New Roman"/>
                <w:szCs w:val="21"/>
              </w:rPr>
              <w:t>主要影响神经系统和毛细血管通透性，对皮肤和黏膜有刺激作用。</w:t>
            </w:r>
            <w:r>
              <w:rPr>
                <w:rFonts w:cs="Times New Roman"/>
                <w:szCs w:val="21"/>
              </w:rPr>
              <w:br w:type="textWrapping"/>
            </w:r>
            <w:r>
              <w:rPr>
                <w:rFonts w:cs="Times New Roman"/>
                <w:szCs w:val="21"/>
              </w:rPr>
              <w:t>急性中毒：食入中毒出现恶心、呕吐、腹痛、“米泔”样大便（有时混有血液）、四肢痛性痉挛、少尿、无尿、昏迷、抽搐，因呼吸麻痹而死亡。可在急性中毒的１～３周内发生周围神经病。可发生中毒性心肌炎、肝炎。大量吸入亦可引起急性中毒，但消化道症状轻，指（趾）甲上出现米氏纹。眼和皮肤接触引起灼伤。</w:t>
            </w:r>
            <w:r>
              <w:rPr>
                <w:rFonts w:cs="Times New Roman"/>
                <w:szCs w:val="21"/>
              </w:rPr>
              <w:br w:type="textWrapping"/>
            </w:r>
            <w:r>
              <w:rPr>
                <w:rFonts w:cs="Times New Roman"/>
                <w:szCs w:val="21"/>
              </w:rPr>
              <w:t>慢性中毒：消化系统症状，肝肾损害，皮肤色素沉着、角化过度或疣状增生，以及多发性周围神经炎。可致肺癌、皮肤癌。</w:t>
            </w:r>
          </w:p>
        </w:tc>
        <w:tc>
          <w:tcPr>
            <w:tcW w:w="3827" w:type="dxa"/>
            <w:shd w:val="clear" w:color="000000" w:fill="FFFFFF"/>
            <w:vAlign w:val="center"/>
          </w:tcPr>
          <w:p w14:paraId="2A0A9C1A">
            <w:pPr>
              <w:pStyle w:val="78"/>
              <w:rPr>
                <w:rFonts w:cs="Times New Roman"/>
                <w:szCs w:val="21"/>
              </w:rPr>
            </w:pPr>
            <w:r>
              <w:rPr>
                <w:rFonts w:cs="Times New Roman"/>
                <w:szCs w:val="21"/>
              </w:rPr>
              <w:t>吸入大量氧化铜烟雾可引起金属烟热，出现寒战、体温升高，同时可伴有呼吸道刺激症状。</w:t>
            </w:r>
            <w:r>
              <w:rPr>
                <w:rFonts w:cs="Times New Roman"/>
                <w:szCs w:val="21"/>
              </w:rPr>
              <w:br w:type="textWrapping"/>
            </w:r>
            <w:r>
              <w:rPr>
                <w:rFonts w:cs="Times New Roman"/>
                <w:szCs w:val="21"/>
              </w:rPr>
              <w:t>长期接触，可见呼吸道及眼结膜刺激、鼻衄、鼻粘膜出血点或溃疡，甚至鼻中隔穿孔以及皮炎，也可出现胃肠道症状。有报道，长期吸入尚可引起肺部纤维组织增生。</w:t>
            </w:r>
            <w:r>
              <w:rPr>
                <w:rFonts w:cs="Times New Roman"/>
                <w:szCs w:val="21"/>
              </w:rPr>
              <w:br w:type="textWrapping"/>
            </w:r>
            <w:r>
              <w:rPr>
                <w:rFonts w:cs="Times New Roman"/>
                <w:szCs w:val="21"/>
              </w:rPr>
              <w:t>长期接触，可见呼吸道及眼结膜刺激、鼻衄、鼻粘膜出血点或溃疡，甚至鼻中隔穿孔以及皮炎，也可出现胃肠道症状。有报道，长期吸入尚可引起肺部纤维组织增生。</w:t>
            </w:r>
          </w:p>
        </w:tc>
      </w:tr>
      <w:tr w14:paraId="1594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6F0CDBD">
            <w:pPr>
              <w:pStyle w:val="78"/>
              <w:rPr>
                <w:rFonts w:cs="Times New Roman"/>
                <w:szCs w:val="21"/>
              </w:rPr>
            </w:pPr>
          </w:p>
        </w:tc>
        <w:tc>
          <w:tcPr>
            <w:tcW w:w="1559" w:type="dxa"/>
            <w:shd w:val="clear" w:color="000000" w:fill="FFFFFF"/>
            <w:noWrap/>
            <w:vAlign w:val="center"/>
          </w:tcPr>
          <w:p w14:paraId="7F118EDE">
            <w:pPr>
              <w:pStyle w:val="78"/>
              <w:rPr>
                <w:rFonts w:cs="Times New Roman"/>
                <w:szCs w:val="21"/>
              </w:rPr>
            </w:pPr>
            <w:r>
              <w:rPr>
                <w:rFonts w:cs="Times New Roman"/>
                <w:szCs w:val="21"/>
              </w:rPr>
              <w:t>环境危害</w:t>
            </w:r>
          </w:p>
        </w:tc>
        <w:tc>
          <w:tcPr>
            <w:tcW w:w="3969" w:type="dxa"/>
            <w:shd w:val="clear" w:color="000000" w:fill="FFFFFF"/>
            <w:vAlign w:val="center"/>
          </w:tcPr>
          <w:p w14:paraId="5FA2D83A">
            <w:pPr>
              <w:pStyle w:val="78"/>
              <w:rPr>
                <w:rFonts w:cs="Times New Roman"/>
                <w:szCs w:val="21"/>
              </w:rPr>
            </w:pPr>
            <w:r>
              <w:rPr>
                <w:rFonts w:cs="Times New Roman"/>
                <w:szCs w:val="21"/>
              </w:rPr>
              <w:t>对水生生物有极高毒性，可能在水生环境中造成长期不利影响。</w:t>
            </w:r>
          </w:p>
        </w:tc>
        <w:tc>
          <w:tcPr>
            <w:tcW w:w="3969" w:type="dxa"/>
            <w:shd w:val="clear" w:color="000000" w:fill="FFFFFF"/>
            <w:vAlign w:val="center"/>
          </w:tcPr>
          <w:p w14:paraId="054E1366">
            <w:pPr>
              <w:pStyle w:val="78"/>
              <w:rPr>
                <w:rFonts w:cs="Times New Roman"/>
                <w:szCs w:val="21"/>
              </w:rPr>
            </w:pPr>
            <w:r>
              <w:rPr>
                <w:rFonts w:cs="Times New Roman"/>
                <w:szCs w:val="21"/>
              </w:rPr>
              <w:t>对水生生物毒性非常大并具有长期持续影响。</w:t>
            </w:r>
          </w:p>
        </w:tc>
        <w:tc>
          <w:tcPr>
            <w:tcW w:w="3827" w:type="dxa"/>
            <w:shd w:val="clear" w:color="000000" w:fill="FFFFFF"/>
            <w:vAlign w:val="center"/>
          </w:tcPr>
          <w:p w14:paraId="1F4AD9DE">
            <w:pPr>
              <w:pStyle w:val="78"/>
              <w:rPr>
                <w:rFonts w:cs="Times New Roman"/>
                <w:szCs w:val="21"/>
              </w:rPr>
            </w:pPr>
            <w:r>
              <w:rPr>
                <w:rFonts w:cs="Times New Roman"/>
                <w:szCs w:val="21"/>
              </w:rPr>
              <w:t>对环境有害。</w:t>
            </w:r>
          </w:p>
        </w:tc>
      </w:tr>
      <w:tr w14:paraId="4068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0A993EC3">
            <w:pPr>
              <w:pStyle w:val="78"/>
              <w:rPr>
                <w:rFonts w:cs="Times New Roman"/>
                <w:szCs w:val="21"/>
              </w:rPr>
            </w:pPr>
            <w:r>
              <w:rPr>
                <w:rFonts w:cs="Times New Roman"/>
                <w:szCs w:val="21"/>
              </w:rPr>
              <w:t>应急措施</w:t>
            </w:r>
          </w:p>
        </w:tc>
        <w:tc>
          <w:tcPr>
            <w:tcW w:w="1559" w:type="dxa"/>
            <w:shd w:val="clear" w:color="000000" w:fill="FFFFFF"/>
            <w:noWrap/>
            <w:vAlign w:val="center"/>
          </w:tcPr>
          <w:p w14:paraId="3409831A">
            <w:pPr>
              <w:pStyle w:val="78"/>
              <w:rPr>
                <w:rFonts w:cs="Times New Roman"/>
                <w:szCs w:val="21"/>
              </w:rPr>
            </w:pPr>
            <w:r>
              <w:rPr>
                <w:rFonts w:cs="Times New Roman"/>
                <w:szCs w:val="21"/>
              </w:rPr>
              <w:t>急救措施</w:t>
            </w:r>
          </w:p>
        </w:tc>
        <w:tc>
          <w:tcPr>
            <w:tcW w:w="3969" w:type="dxa"/>
            <w:shd w:val="clear" w:color="000000" w:fill="FFFFFF"/>
            <w:vAlign w:val="center"/>
          </w:tcPr>
          <w:p w14:paraId="6BF74220">
            <w:pPr>
              <w:pStyle w:val="78"/>
              <w:rPr>
                <w:rFonts w:cs="Times New Roman"/>
                <w:szCs w:val="21"/>
              </w:rPr>
            </w:pPr>
            <w:r>
              <w:rPr>
                <w:rFonts w:cs="Times New Roman"/>
                <w:szCs w:val="21"/>
              </w:rPr>
              <w:t>迅速脱离现场至空气新鲜处。保持呼吸道通畅。如呼吸困难，给输氧。呼吸、心跳停止，立即进行心肺复苏术。就医。漱口，饮水。就医。立即脱去污染的衣着，用流动清水彻底冲洗。就医。立即分开眼睑，用流动清水或生理盐水彻底冲洗。就医。</w:t>
            </w:r>
          </w:p>
        </w:tc>
        <w:tc>
          <w:tcPr>
            <w:tcW w:w="3969" w:type="dxa"/>
            <w:shd w:val="clear" w:color="000000" w:fill="FFFFFF"/>
            <w:vAlign w:val="center"/>
          </w:tcPr>
          <w:p w14:paraId="07B0C2FC">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催吐、彻底洗胃，洗胃后服活性炭30～50g（用水调成浆状），而后再服用硫酸镁或硫酸钠导泻。就医。</w:t>
            </w:r>
            <w:r>
              <w:rPr>
                <w:rFonts w:cs="Times New Roman"/>
                <w:szCs w:val="21"/>
              </w:rPr>
              <w:br w:type="textWrapping"/>
            </w:r>
            <w:r>
              <w:rPr>
                <w:rFonts w:cs="Times New Roman"/>
                <w:szCs w:val="21"/>
              </w:rPr>
              <w:t>立即脱去污染的衣着，用肥皂水和清水彻底冲洗。就医。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食入：催吐、彻底洗胃，洗胃后服活性炭30～50g（用水调成浆状），而后再服用硫酸镁或硫酸钠导泻。就医。</w:t>
            </w:r>
          </w:p>
        </w:tc>
        <w:tc>
          <w:tcPr>
            <w:tcW w:w="3827" w:type="dxa"/>
            <w:shd w:val="clear" w:color="000000" w:fill="FFFFFF"/>
            <w:vAlign w:val="center"/>
          </w:tcPr>
          <w:p w14:paraId="2334ECAE">
            <w:pPr>
              <w:pStyle w:val="78"/>
              <w:rPr>
                <w:rFonts w:cs="Times New Roman"/>
                <w:szCs w:val="21"/>
              </w:rPr>
            </w:pPr>
            <w:r>
              <w:rPr>
                <w:rFonts w:cs="Times New Roman"/>
                <w:szCs w:val="21"/>
              </w:rPr>
              <w:t>脱离现场至空气新鲜处。如呼吸困难，给输氧。就医。用水、牛奶、碳酸氢钠或0.1%亚铁氰化钾溶液洗胃。就医。脱去污染的衣着，用流动清水冲洗。如有不适感，就医。提起眼睑，用流动清水或生理盐水冲洗。如有不适感，就医。</w:t>
            </w:r>
          </w:p>
        </w:tc>
      </w:tr>
      <w:tr w14:paraId="0B1B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5DD3AEE">
            <w:pPr>
              <w:pStyle w:val="78"/>
              <w:rPr>
                <w:rFonts w:cs="Times New Roman"/>
                <w:szCs w:val="21"/>
              </w:rPr>
            </w:pPr>
          </w:p>
        </w:tc>
        <w:tc>
          <w:tcPr>
            <w:tcW w:w="1559" w:type="dxa"/>
            <w:shd w:val="clear" w:color="000000" w:fill="FFFFFF"/>
            <w:vAlign w:val="center"/>
          </w:tcPr>
          <w:p w14:paraId="132A74F6">
            <w:pPr>
              <w:pStyle w:val="78"/>
              <w:rPr>
                <w:rFonts w:cs="Times New Roman"/>
                <w:szCs w:val="21"/>
              </w:rPr>
            </w:pPr>
            <w:r>
              <w:rPr>
                <w:rFonts w:cs="Times New Roman"/>
                <w:szCs w:val="21"/>
              </w:rPr>
              <w:t>泄漏应急处置</w:t>
            </w:r>
          </w:p>
        </w:tc>
        <w:tc>
          <w:tcPr>
            <w:tcW w:w="3969" w:type="dxa"/>
            <w:shd w:val="clear" w:color="000000" w:fill="FFFFFF"/>
            <w:vAlign w:val="center"/>
          </w:tcPr>
          <w:p w14:paraId="5ED5B331">
            <w:pPr>
              <w:pStyle w:val="78"/>
              <w:rPr>
                <w:rFonts w:cs="Times New Roman"/>
                <w:szCs w:val="21"/>
              </w:rPr>
            </w:pPr>
            <w:r>
              <w:rPr>
                <w:rFonts w:cs="Times New Roman"/>
                <w:szCs w:val="21"/>
              </w:rPr>
              <w:t>用塑料布覆盖泄漏物，减少飞散。勿使水进入包装容器内。用洁净的铲子收集泄漏物，置于干净、干燥、盖子较松的容器中，将容器移离泄漏区。</w:t>
            </w:r>
          </w:p>
        </w:tc>
        <w:tc>
          <w:tcPr>
            <w:tcW w:w="3969" w:type="dxa"/>
            <w:shd w:val="clear" w:color="000000" w:fill="FFFFFF"/>
            <w:vAlign w:val="center"/>
          </w:tcPr>
          <w:p w14:paraId="474856FC">
            <w:pPr>
              <w:pStyle w:val="78"/>
              <w:rPr>
                <w:rFonts w:cs="Times New Roman"/>
                <w:szCs w:val="21"/>
              </w:rPr>
            </w:pPr>
            <w:r>
              <w:rPr>
                <w:rFonts w:cs="Times New Roman"/>
                <w:szCs w:val="21"/>
              </w:rPr>
              <w:t>用洁净的铲子收集泄漏物，置于干净、干燥、盖子较松的容器中，将容器移离泄漏区。</w:t>
            </w:r>
          </w:p>
        </w:tc>
        <w:tc>
          <w:tcPr>
            <w:tcW w:w="3827" w:type="dxa"/>
            <w:shd w:val="clear" w:color="000000" w:fill="FFFFFF"/>
            <w:vAlign w:val="center"/>
          </w:tcPr>
          <w:p w14:paraId="3D3DE8E0">
            <w:pPr>
              <w:pStyle w:val="78"/>
              <w:rPr>
                <w:rFonts w:cs="Times New Roman"/>
                <w:szCs w:val="21"/>
              </w:rPr>
            </w:pPr>
            <w:r>
              <w:rPr>
                <w:rFonts w:cs="Times New Roman"/>
                <w:szCs w:val="21"/>
              </w:rPr>
              <w:t>隔离泄漏污染区，限制出入。建议应急处理人员戴防尘口罩，穿防毒服。穿上适当的防护服前严禁接触破裂的容器和泄漏物。尽可能切断泄漏源。用塑料布覆盖泄漏物，减少飞散。勿使水进入包装容器内。用洁净的铲子收集泄漏物，置于干净、干燥、盖子较松的容器中，将容器移离泄漏区。</w:t>
            </w:r>
          </w:p>
        </w:tc>
      </w:tr>
      <w:tr w14:paraId="4A3C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DBD58ED">
            <w:pPr>
              <w:pStyle w:val="78"/>
              <w:rPr>
                <w:rFonts w:cs="Times New Roman"/>
                <w:szCs w:val="21"/>
              </w:rPr>
            </w:pPr>
          </w:p>
        </w:tc>
        <w:tc>
          <w:tcPr>
            <w:tcW w:w="1559" w:type="dxa"/>
            <w:shd w:val="clear" w:color="000000" w:fill="FFFFFF"/>
            <w:noWrap/>
            <w:vAlign w:val="center"/>
          </w:tcPr>
          <w:p w14:paraId="24094109">
            <w:pPr>
              <w:pStyle w:val="78"/>
              <w:rPr>
                <w:rFonts w:cs="Times New Roman"/>
                <w:szCs w:val="21"/>
              </w:rPr>
            </w:pPr>
            <w:r>
              <w:rPr>
                <w:rFonts w:cs="Times New Roman"/>
                <w:szCs w:val="21"/>
              </w:rPr>
              <w:t>灭火方法</w:t>
            </w:r>
          </w:p>
        </w:tc>
        <w:tc>
          <w:tcPr>
            <w:tcW w:w="3969" w:type="dxa"/>
            <w:shd w:val="clear" w:color="000000" w:fill="FFFFFF"/>
            <w:vAlign w:val="center"/>
          </w:tcPr>
          <w:p w14:paraId="1210ADF2">
            <w:pPr>
              <w:pStyle w:val="78"/>
              <w:rPr>
                <w:rFonts w:cs="Times New Roman"/>
                <w:szCs w:val="21"/>
              </w:rPr>
            </w:pPr>
            <w:r>
              <w:rPr>
                <w:rFonts w:cs="Times New Roman"/>
                <w:szCs w:val="21"/>
              </w:rPr>
              <w:t>消防人员必须佩戴正压自给式呼吸器，穿全身防火防毒服，在上风向灭火。尽可能将容器从火场移至空旷处。喷水保持火场容器冷却，直至灭火结束。切勿将水流直接射至熔融物，以免引起严重的流淌火灾或引起剧烈的沸溅。本品不燃，根据着火原因选择适当灭火剂</w:t>
            </w:r>
          </w:p>
        </w:tc>
        <w:tc>
          <w:tcPr>
            <w:tcW w:w="3969" w:type="dxa"/>
            <w:shd w:val="clear" w:color="000000" w:fill="FFFFFF"/>
            <w:vAlign w:val="center"/>
          </w:tcPr>
          <w:p w14:paraId="24EDCED1">
            <w:pPr>
              <w:pStyle w:val="78"/>
              <w:rPr>
                <w:rFonts w:cs="Times New Roman"/>
                <w:szCs w:val="21"/>
              </w:rPr>
            </w:pPr>
            <w:r>
              <w:rPr>
                <w:rFonts w:cs="Times New Roman"/>
                <w:szCs w:val="21"/>
              </w:rPr>
              <w:t>消防人员必须佩戴空气呼吸器、穿全身防火防毒服，在上风向灭火。尽可能将容器从火场移至空旷处。喷水保持火场容器冷却，直至灭火结束。禁止使用酸碱灭火剂。</w:t>
            </w:r>
          </w:p>
        </w:tc>
        <w:tc>
          <w:tcPr>
            <w:tcW w:w="3827" w:type="dxa"/>
            <w:shd w:val="clear" w:color="000000" w:fill="FFFFFF"/>
            <w:vAlign w:val="center"/>
          </w:tcPr>
          <w:p w14:paraId="522400B7">
            <w:pPr>
              <w:pStyle w:val="78"/>
              <w:rPr>
                <w:rFonts w:cs="Times New Roman"/>
                <w:szCs w:val="21"/>
              </w:rPr>
            </w:pPr>
            <w:r>
              <w:rPr>
                <w:rFonts w:cs="Times New Roman"/>
                <w:szCs w:val="21"/>
              </w:rPr>
              <w:t>消防人员须佩戴正压式消防空气呼吸器，可能接触化学品的应穿消防员二级化学防护服，在上风向灭火。喷水冷却邻近容器，可能的话将容器从火场移至空旷处。处在火场中的容器若已变色或产生异常声音，必须马上撤离。避免使用直流水冲击堆垛。盛装容器材质不能与泄漏化学品发生反应。</w:t>
            </w:r>
          </w:p>
        </w:tc>
      </w:tr>
      <w:tr w14:paraId="5277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06C9D94D">
            <w:pPr>
              <w:pStyle w:val="78"/>
              <w:rPr>
                <w:rFonts w:cs="Times New Roman"/>
                <w:b/>
                <w:szCs w:val="21"/>
              </w:rPr>
            </w:pPr>
            <w:r>
              <w:rPr>
                <w:rFonts w:cs="Times New Roman"/>
                <w:b/>
                <w:szCs w:val="21"/>
              </w:rPr>
              <w:t>物质</w:t>
            </w:r>
          </w:p>
        </w:tc>
        <w:tc>
          <w:tcPr>
            <w:tcW w:w="3969" w:type="dxa"/>
            <w:shd w:val="clear" w:color="000000" w:fill="FFFFFF"/>
            <w:vAlign w:val="center"/>
          </w:tcPr>
          <w:p w14:paraId="08A20198">
            <w:pPr>
              <w:pStyle w:val="78"/>
              <w:rPr>
                <w:rFonts w:cs="Times New Roman"/>
                <w:b/>
                <w:szCs w:val="21"/>
              </w:rPr>
            </w:pPr>
            <w:r>
              <w:rPr>
                <w:rFonts w:cs="Times New Roman"/>
                <w:b/>
                <w:szCs w:val="21"/>
              </w:rPr>
              <w:t>丁烷</w:t>
            </w:r>
          </w:p>
        </w:tc>
        <w:tc>
          <w:tcPr>
            <w:tcW w:w="3969" w:type="dxa"/>
            <w:shd w:val="clear" w:color="000000" w:fill="FFFFFF"/>
            <w:vAlign w:val="center"/>
          </w:tcPr>
          <w:p w14:paraId="4A23D48C">
            <w:pPr>
              <w:pStyle w:val="78"/>
              <w:rPr>
                <w:rFonts w:cs="Times New Roman"/>
                <w:b/>
                <w:szCs w:val="21"/>
              </w:rPr>
            </w:pPr>
            <w:r>
              <w:rPr>
                <w:rFonts w:cs="Times New Roman"/>
                <w:b/>
                <w:szCs w:val="21"/>
              </w:rPr>
              <w:t>丁烯</w:t>
            </w:r>
          </w:p>
        </w:tc>
        <w:tc>
          <w:tcPr>
            <w:tcW w:w="3827" w:type="dxa"/>
            <w:shd w:val="clear" w:color="000000" w:fill="FFFFFF"/>
            <w:vAlign w:val="center"/>
          </w:tcPr>
          <w:p w14:paraId="5B9DDEC4">
            <w:pPr>
              <w:pStyle w:val="78"/>
              <w:rPr>
                <w:rFonts w:cs="Times New Roman"/>
                <w:b/>
                <w:szCs w:val="21"/>
              </w:rPr>
            </w:pPr>
            <w:r>
              <w:rPr>
                <w:rFonts w:cs="Times New Roman"/>
                <w:b/>
                <w:szCs w:val="21"/>
              </w:rPr>
              <w:t>C5烯烃</w:t>
            </w:r>
          </w:p>
        </w:tc>
      </w:tr>
      <w:tr w14:paraId="5837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5E94598F">
            <w:pPr>
              <w:pStyle w:val="78"/>
              <w:rPr>
                <w:rFonts w:cs="Times New Roman"/>
                <w:szCs w:val="21"/>
              </w:rPr>
            </w:pPr>
            <w:r>
              <w:rPr>
                <w:rFonts w:cs="Times New Roman"/>
                <w:szCs w:val="21"/>
              </w:rPr>
              <w:t>物化性质</w:t>
            </w:r>
          </w:p>
        </w:tc>
        <w:tc>
          <w:tcPr>
            <w:tcW w:w="1559" w:type="dxa"/>
            <w:shd w:val="clear" w:color="000000" w:fill="FFFFFF"/>
            <w:vAlign w:val="center"/>
          </w:tcPr>
          <w:p w14:paraId="7C3CAF84">
            <w:pPr>
              <w:pStyle w:val="78"/>
              <w:rPr>
                <w:rFonts w:cs="Times New Roman"/>
                <w:szCs w:val="21"/>
              </w:rPr>
            </w:pPr>
            <w:r>
              <w:rPr>
                <w:rFonts w:cs="Times New Roman"/>
                <w:szCs w:val="21"/>
              </w:rPr>
              <w:t>CAS号</w:t>
            </w:r>
          </w:p>
        </w:tc>
        <w:tc>
          <w:tcPr>
            <w:tcW w:w="3969" w:type="dxa"/>
            <w:shd w:val="clear" w:color="000000" w:fill="FFFFFF"/>
            <w:vAlign w:val="center"/>
          </w:tcPr>
          <w:p w14:paraId="3F2662B9">
            <w:pPr>
              <w:pStyle w:val="78"/>
              <w:rPr>
                <w:rFonts w:cs="Times New Roman"/>
                <w:szCs w:val="21"/>
              </w:rPr>
            </w:pPr>
            <w:r>
              <w:rPr>
                <w:rFonts w:cs="Times New Roman"/>
                <w:szCs w:val="21"/>
              </w:rPr>
              <w:t>106-97-8</w:t>
            </w:r>
          </w:p>
        </w:tc>
        <w:tc>
          <w:tcPr>
            <w:tcW w:w="3969" w:type="dxa"/>
            <w:shd w:val="clear" w:color="000000" w:fill="FFFFFF"/>
            <w:vAlign w:val="center"/>
          </w:tcPr>
          <w:p w14:paraId="3EA63224">
            <w:pPr>
              <w:pStyle w:val="78"/>
              <w:rPr>
                <w:rFonts w:cs="Times New Roman"/>
                <w:szCs w:val="21"/>
              </w:rPr>
            </w:pPr>
            <w:r>
              <w:rPr>
                <w:rFonts w:cs="Times New Roman"/>
                <w:szCs w:val="21"/>
              </w:rPr>
              <w:t>106-98-9</w:t>
            </w:r>
          </w:p>
        </w:tc>
        <w:tc>
          <w:tcPr>
            <w:tcW w:w="3827" w:type="dxa"/>
            <w:shd w:val="clear" w:color="000000" w:fill="FFFFFF"/>
            <w:vAlign w:val="center"/>
          </w:tcPr>
          <w:p w14:paraId="08DE6E3E">
            <w:pPr>
              <w:pStyle w:val="78"/>
              <w:rPr>
                <w:rFonts w:cs="Times New Roman"/>
                <w:szCs w:val="21"/>
              </w:rPr>
            </w:pPr>
            <w:r>
              <w:rPr>
                <w:rFonts w:cs="Times New Roman"/>
                <w:szCs w:val="21"/>
              </w:rPr>
              <w:t>109-67-1</w:t>
            </w:r>
          </w:p>
        </w:tc>
      </w:tr>
      <w:tr w14:paraId="23B4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3C6CA9F">
            <w:pPr>
              <w:pStyle w:val="78"/>
              <w:rPr>
                <w:rFonts w:cs="Times New Roman"/>
                <w:szCs w:val="21"/>
              </w:rPr>
            </w:pPr>
          </w:p>
        </w:tc>
        <w:tc>
          <w:tcPr>
            <w:tcW w:w="1559" w:type="dxa"/>
            <w:shd w:val="clear" w:color="000000" w:fill="FFFFFF"/>
            <w:vAlign w:val="center"/>
          </w:tcPr>
          <w:p w14:paraId="2C581E97">
            <w:pPr>
              <w:pStyle w:val="78"/>
              <w:rPr>
                <w:rFonts w:cs="Times New Roman"/>
                <w:szCs w:val="21"/>
              </w:rPr>
            </w:pPr>
            <w:r>
              <w:rPr>
                <w:rFonts w:cs="Times New Roman"/>
                <w:szCs w:val="21"/>
              </w:rPr>
              <w:t>中文名称/别名</w:t>
            </w:r>
          </w:p>
        </w:tc>
        <w:tc>
          <w:tcPr>
            <w:tcW w:w="3969" w:type="dxa"/>
            <w:shd w:val="clear" w:color="000000" w:fill="FFFFFF"/>
            <w:vAlign w:val="center"/>
          </w:tcPr>
          <w:p w14:paraId="4B9A3ED4">
            <w:pPr>
              <w:pStyle w:val="78"/>
              <w:rPr>
                <w:rFonts w:cs="Times New Roman"/>
                <w:szCs w:val="21"/>
              </w:rPr>
            </w:pPr>
            <w:r>
              <w:rPr>
                <w:rFonts w:cs="Times New Roman"/>
                <w:szCs w:val="21"/>
              </w:rPr>
              <w:t>正丁烷;丁烷;正丁烷(液化的)(钢瓶)</w:t>
            </w:r>
          </w:p>
        </w:tc>
        <w:tc>
          <w:tcPr>
            <w:tcW w:w="3969" w:type="dxa"/>
            <w:shd w:val="clear" w:color="000000" w:fill="FFFFFF"/>
            <w:vAlign w:val="center"/>
          </w:tcPr>
          <w:p w14:paraId="776918CA">
            <w:pPr>
              <w:pStyle w:val="78"/>
              <w:rPr>
                <w:rFonts w:cs="Times New Roman"/>
                <w:szCs w:val="21"/>
              </w:rPr>
            </w:pPr>
            <w:r>
              <w:rPr>
                <w:rFonts w:cs="Times New Roman"/>
                <w:szCs w:val="21"/>
              </w:rPr>
              <w:t>1-丁烯;乙基乙烯;正丁烯</w:t>
            </w:r>
          </w:p>
        </w:tc>
        <w:tc>
          <w:tcPr>
            <w:tcW w:w="3827" w:type="dxa"/>
            <w:shd w:val="clear" w:color="000000" w:fill="FFFFFF"/>
            <w:vAlign w:val="center"/>
          </w:tcPr>
          <w:p w14:paraId="15E8EC0E">
            <w:pPr>
              <w:pStyle w:val="78"/>
              <w:rPr>
                <w:rFonts w:cs="Times New Roman"/>
                <w:szCs w:val="21"/>
              </w:rPr>
            </w:pPr>
            <w:r>
              <w:rPr>
                <w:rFonts w:cs="Times New Roman"/>
                <w:szCs w:val="21"/>
              </w:rPr>
              <w:t>1-戊烯;正戊烯</w:t>
            </w:r>
          </w:p>
        </w:tc>
      </w:tr>
      <w:tr w14:paraId="3C0E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618B7B1A">
            <w:pPr>
              <w:pStyle w:val="78"/>
              <w:rPr>
                <w:rFonts w:cs="Times New Roman"/>
                <w:szCs w:val="21"/>
              </w:rPr>
            </w:pPr>
          </w:p>
        </w:tc>
        <w:tc>
          <w:tcPr>
            <w:tcW w:w="1559" w:type="dxa"/>
            <w:shd w:val="clear" w:color="000000" w:fill="FFFFFF"/>
            <w:vAlign w:val="center"/>
          </w:tcPr>
          <w:p w14:paraId="3EFE79F9">
            <w:pPr>
              <w:pStyle w:val="78"/>
              <w:rPr>
                <w:rFonts w:cs="Times New Roman"/>
                <w:szCs w:val="21"/>
              </w:rPr>
            </w:pPr>
            <w:r>
              <w:rPr>
                <w:rFonts w:cs="Times New Roman"/>
                <w:szCs w:val="21"/>
              </w:rPr>
              <w:t>分子式</w:t>
            </w:r>
          </w:p>
        </w:tc>
        <w:tc>
          <w:tcPr>
            <w:tcW w:w="3969" w:type="dxa"/>
            <w:shd w:val="clear" w:color="000000" w:fill="FFFFFF"/>
            <w:noWrap/>
            <w:vAlign w:val="center"/>
          </w:tcPr>
          <w:p w14:paraId="439A2404">
            <w:pPr>
              <w:pStyle w:val="78"/>
              <w:rPr>
                <w:rFonts w:cs="Times New Roman"/>
                <w:szCs w:val="21"/>
              </w:rPr>
            </w:pPr>
            <w:r>
              <w:rPr>
                <w:rFonts w:cs="Times New Roman"/>
                <w:szCs w:val="21"/>
              </w:rPr>
              <w:t>C₄H₁</w:t>
            </w:r>
            <w:r>
              <w:rPr>
                <w:rFonts w:eastAsia="MS Gothic" w:cs="Times New Roman"/>
                <w:szCs w:val="21"/>
              </w:rPr>
              <w:t>₀</w:t>
            </w:r>
          </w:p>
        </w:tc>
        <w:tc>
          <w:tcPr>
            <w:tcW w:w="3969" w:type="dxa"/>
            <w:shd w:val="clear" w:color="000000" w:fill="FFFFFF"/>
            <w:noWrap/>
            <w:vAlign w:val="center"/>
          </w:tcPr>
          <w:p w14:paraId="0B649023">
            <w:pPr>
              <w:pStyle w:val="78"/>
              <w:rPr>
                <w:rFonts w:cs="Times New Roman"/>
                <w:szCs w:val="21"/>
              </w:rPr>
            </w:pPr>
            <w:r>
              <w:rPr>
                <w:rFonts w:cs="Times New Roman"/>
                <w:szCs w:val="21"/>
              </w:rPr>
              <w:t>C₄H</w:t>
            </w:r>
            <w:r>
              <w:rPr>
                <w:rFonts w:eastAsia="MS Gothic" w:cs="Times New Roman"/>
                <w:szCs w:val="21"/>
              </w:rPr>
              <w:t>₈</w:t>
            </w:r>
          </w:p>
        </w:tc>
        <w:tc>
          <w:tcPr>
            <w:tcW w:w="3827" w:type="dxa"/>
            <w:shd w:val="clear" w:color="000000" w:fill="FFFFFF"/>
            <w:noWrap/>
            <w:vAlign w:val="center"/>
          </w:tcPr>
          <w:p w14:paraId="2BFA4AA9">
            <w:pPr>
              <w:pStyle w:val="78"/>
              <w:rPr>
                <w:rFonts w:cs="Times New Roman"/>
                <w:szCs w:val="21"/>
              </w:rPr>
            </w:pPr>
            <w:r>
              <w:rPr>
                <w:rFonts w:cs="Times New Roman"/>
                <w:szCs w:val="21"/>
              </w:rPr>
              <w:t>C</w:t>
            </w:r>
            <w:r>
              <w:rPr>
                <w:rFonts w:cs="Times New Roman"/>
                <w:szCs w:val="21"/>
                <w:vertAlign w:val="subscript"/>
              </w:rPr>
              <w:t>5</w:t>
            </w:r>
            <w:r>
              <w:rPr>
                <w:rFonts w:cs="Times New Roman"/>
                <w:szCs w:val="21"/>
              </w:rPr>
              <w:t>H</w:t>
            </w:r>
            <w:r>
              <w:rPr>
                <w:rFonts w:cs="Times New Roman"/>
                <w:szCs w:val="21"/>
                <w:vertAlign w:val="subscript"/>
              </w:rPr>
              <w:t>10</w:t>
            </w:r>
          </w:p>
        </w:tc>
      </w:tr>
      <w:tr w14:paraId="4350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4D46FFE">
            <w:pPr>
              <w:pStyle w:val="78"/>
              <w:rPr>
                <w:rFonts w:cs="Times New Roman"/>
                <w:szCs w:val="21"/>
              </w:rPr>
            </w:pPr>
          </w:p>
        </w:tc>
        <w:tc>
          <w:tcPr>
            <w:tcW w:w="1559" w:type="dxa"/>
            <w:shd w:val="clear" w:color="000000" w:fill="FFFFFF"/>
            <w:vAlign w:val="center"/>
          </w:tcPr>
          <w:p w14:paraId="04D93579">
            <w:pPr>
              <w:pStyle w:val="78"/>
              <w:rPr>
                <w:rFonts w:cs="Times New Roman"/>
                <w:szCs w:val="21"/>
              </w:rPr>
            </w:pPr>
            <w:r>
              <w:rPr>
                <w:rFonts w:cs="Times New Roman"/>
                <w:szCs w:val="21"/>
              </w:rPr>
              <w:t>分子量</w:t>
            </w:r>
          </w:p>
        </w:tc>
        <w:tc>
          <w:tcPr>
            <w:tcW w:w="3969" w:type="dxa"/>
            <w:noWrap/>
            <w:vAlign w:val="center"/>
          </w:tcPr>
          <w:p w14:paraId="1BE52067">
            <w:pPr>
              <w:pStyle w:val="78"/>
              <w:rPr>
                <w:rFonts w:cs="Times New Roman"/>
                <w:szCs w:val="21"/>
              </w:rPr>
            </w:pPr>
            <w:r>
              <w:rPr>
                <w:rFonts w:cs="Times New Roman"/>
                <w:szCs w:val="21"/>
              </w:rPr>
              <w:t>58.12</w:t>
            </w:r>
          </w:p>
        </w:tc>
        <w:tc>
          <w:tcPr>
            <w:tcW w:w="3969" w:type="dxa"/>
            <w:shd w:val="clear" w:color="000000" w:fill="FFFFFF"/>
            <w:noWrap/>
            <w:vAlign w:val="center"/>
          </w:tcPr>
          <w:p w14:paraId="4018C0CC">
            <w:pPr>
              <w:pStyle w:val="78"/>
              <w:rPr>
                <w:rFonts w:cs="Times New Roman"/>
                <w:szCs w:val="21"/>
              </w:rPr>
            </w:pPr>
            <w:r>
              <w:rPr>
                <w:rFonts w:cs="Times New Roman"/>
                <w:szCs w:val="21"/>
              </w:rPr>
              <w:t>56.1</w:t>
            </w:r>
          </w:p>
        </w:tc>
        <w:tc>
          <w:tcPr>
            <w:tcW w:w="3827" w:type="dxa"/>
            <w:shd w:val="clear" w:color="000000" w:fill="FFFFFF"/>
            <w:noWrap/>
            <w:vAlign w:val="center"/>
          </w:tcPr>
          <w:p w14:paraId="10A9207D">
            <w:pPr>
              <w:pStyle w:val="78"/>
              <w:rPr>
                <w:rFonts w:cs="Times New Roman"/>
                <w:szCs w:val="21"/>
              </w:rPr>
            </w:pPr>
            <w:r>
              <w:rPr>
                <w:rFonts w:cs="Times New Roman"/>
                <w:szCs w:val="21"/>
              </w:rPr>
              <w:t>70.13</w:t>
            </w:r>
          </w:p>
        </w:tc>
      </w:tr>
      <w:tr w14:paraId="6615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1522C65">
            <w:pPr>
              <w:pStyle w:val="78"/>
              <w:rPr>
                <w:rFonts w:cs="Times New Roman"/>
                <w:szCs w:val="21"/>
              </w:rPr>
            </w:pPr>
          </w:p>
        </w:tc>
        <w:tc>
          <w:tcPr>
            <w:tcW w:w="1559" w:type="dxa"/>
            <w:shd w:val="clear" w:color="000000" w:fill="FFFFFF"/>
            <w:vAlign w:val="center"/>
          </w:tcPr>
          <w:p w14:paraId="787E0052">
            <w:pPr>
              <w:pStyle w:val="78"/>
              <w:rPr>
                <w:rFonts w:cs="Times New Roman"/>
                <w:szCs w:val="21"/>
              </w:rPr>
            </w:pPr>
            <w:r>
              <w:rPr>
                <w:rFonts w:cs="Times New Roman"/>
                <w:szCs w:val="21"/>
              </w:rPr>
              <w:t>外观性状</w:t>
            </w:r>
          </w:p>
        </w:tc>
        <w:tc>
          <w:tcPr>
            <w:tcW w:w="3969" w:type="dxa"/>
            <w:shd w:val="clear" w:color="000000" w:fill="FFFFFF"/>
            <w:vAlign w:val="center"/>
          </w:tcPr>
          <w:p w14:paraId="14DF3DB5">
            <w:pPr>
              <w:pStyle w:val="78"/>
              <w:rPr>
                <w:rFonts w:cs="Times New Roman"/>
                <w:szCs w:val="21"/>
              </w:rPr>
            </w:pPr>
            <w:r>
              <w:rPr>
                <w:rFonts w:cs="Times New Roman"/>
                <w:szCs w:val="21"/>
              </w:rPr>
              <w:t>无色压缩或液化气体，有轻微的不愉快气味，纯品无味。</w:t>
            </w:r>
          </w:p>
        </w:tc>
        <w:tc>
          <w:tcPr>
            <w:tcW w:w="3969" w:type="dxa"/>
            <w:shd w:val="clear" w:color="000000" w:fill="FFFFFF"/>
            <w:vAlign w:val="center"/>
          </w:tcPr>
          <w:p w14:paraId="534EFC3B">
            <w:pPr>
              <w:pStyle w:val="78"/>
              <w:rPr>
                <w:rFonts w:cs="Times New Roman"/>
                <w:szCs w:val="21"/>
              </w:rPr>
            </w:pPr>
            <w:r>
              <w:rPr>
                <w:rFonts w:cs="Times New Roman"/>
                <w:szCs w:val="21"/>
              </w:rPr>
              <w:t>无色无味压缩或液化气体。</w:t>
            </w:r>
          </w:p>
        </w:tc>
        <w:tc>
          <w:tcPr>
            <w:tcW w:w="3827" w:type="dxa"/>
            <w:shd w:val="clear" w:color="000000" w:fill="FFFFFF"/>
            <w:vAlign w:val="center"/>
          </w:tcPr>
          <w:p w14:paraId="182F351C">
            <w:pPr>
              <w:pStyle w:val="78"/>
              <w:rPr>
                <w:rFonts w:cs="Times New Roman"/>
                <w:szCs w:val="21"/>
              </w:rPr>
            </w:pPr>
            <w:r>
              <w:rPr>
                <w:rFonts w:cs="Times New Roman"/>
                <w:szCs w:val="21"/>
              </w:rPr>
              <w:t>无色液体，有恶臭。</w:t>
            </w:r>
          </w:p>
        </w:tc>
      </w:tr>
      <w:tr w14:paraId="4D0C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46740C0">
            <w:pPr>
              <w:pStyle w:val="78"/>
              <w:rPr>
                <w:rFonts w:cs="Times New Roman"/>
                <w:szCs w:val="21"/>
              </w:rPr>
            </w:pPr>
          </w:p>
        </w:tc>
        <w:tc>
          <w:tcPr>
            <w:tcW w:w="1559" w:type="dxa"/>
            <w:shd w:val="clear" w:color="000000" w:fill="FFFFFF"/>
            <w:vAlign w:val="center"/>
          </w:tcPr>
          <w:p w14:paraId="182BF7DE">
            <w:pPr>
              <w:pStyle w:val="78"/>
              <w:rPr>
                <w:rFonts w:cs="Times New Roman"/>
                <w:szCs w:val="21"/>
              </w:rPr>
            </w:pPr>
            <w:r>
              <w:rPr>
                <w:rFonts w:cs="Times New Roman"/>
                <w:szCs w:val="21"/>
              </w:rPr>
              <w:t>沸点，℃</w:t>
            </w:r>
          </w:p>
        </w:tc>
        <w:tc>
          <w:tcPr>
            <w:tcW w:w="3969" w:type="dxa"/>
            <w:shd w:val="clear" w:color="000000" w:fill="FFFFFF"/>
            <w:vAlign w:val="center"/>
          </w:tcPr>
          <w:p w14:paraId="69D0CBA0">
            <w:pPr>
              <w:pStyle w:val="78"/>
              <w:rPr>
                <w:rFonts w:cs="Times New Roman"/>
                <w:szCs w:val="21"/>
              </w:rPr>
            </w:pPr>
            <w:r>
              <w:rPr>
                <w:rFonts w:cs="Times New Roman"/>
                <w:szCs w:val="21"/>
              </w:rPr>
              <w:t>-0.5</w:t>
            </w:r>
          </w:p>
        </w:tc>
        <w:tc>
          <w:tcPr>
            <w:tcW w:w="3969" w:type="dxa"/>
            <w:shd w:val="clear" w:color="000000" w:fill="FFFFFF"/>
            <w:vAlign w:val="center"/>
          </w:tcPr>
          <w:p w14:paraId="0A209A03">
            <w:pPr>
              <w:pStyle w:val="78"/>
              <w:rPr>
                <w:rFonts w:cs="Times New Roman"/>
                <w:szCs w:val="21"/>
              </w:rPr>
            </w:pPr>
            <w:r>
              <w:rPr>
                <w:rFonts w:cs="Times New Roman"/>
                <w:szCs w:val="21"/>
              </w:rPr>
              <w:t>-6.47</w:t>
            </w:r>
          </w:p>
        </w:tc>
        <w:tc>
          <w:tcPr>
            <w:tcW w:w="3827" w:type="dxa"/>
            <w:shd w:val="clear" w:color="000000" w:fill="FFFFFF"/>
            <w:vAlign w:val="center"/>
          </w:tcPr>
          <w:p w14:paraId="1FC1133F">
            <w:pPr>
              <w:pStyle w:val="78"/>
              <w:rPr>
                <w:rFonts w:cs="Times New Roman"/>
                <w:szCs w:val="21"/>
              </w:rPr>
            </w:pPr>
            <w:r>
              <w:rPr>
                <w:rFonts w:cs="Times New Roman"/>
                <w:szCs w:val="21"/>
              </w:rPr>
              <w:t>29.9～30.1</w:t>
            </w:r>
          </w:p>
        </w:tc>
      </w:tr>
      <w:tr w14:paraId="3B82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673B857B">
            <w:pPr>
              <w:pStyle w:val="78"/>
              <w:rPr>
                <w:rFonts w:cs="Times New Roman"/>
                <w:szCs w:val="21"/>
              </w:rPr>
            </w:pPr>
          </w:p>
        </w:tc>
        <w:tc>
          <w:tcPr>
            <w:tcW w:w="1559" w:type="dxa"/>
            <w:shd w:val="clear" w:color="000000" w:fill="FFFFFF"/>
            <w:vAlign w:val="center"/>
          </w:tcPr>
          <w:p w14:paraId="717CC008">
            <w:pPr>
              <w:pStyle w:val="78"/>
              <w:rPr>
                <w:rFonts w:cs="Times New Roman"/>
                <w:szCs w:val="21"/>
              </w:rPr>
            </w:pPr>
            <w:r>
              <w:rPr>
                <w:rFonts w:cs="Times New Roman"/>
                <w:szCs w:val="21"/>
              </w:rPr>
              <w:t>熔点，℃</w:t>
            </w:r>
          </w:p>
        </w:tc>
        <w:tc>
          <w:tcPr>
            <w:tcW w:w="3969" w:type="dxa"/>
            <w:shd w:val="clear" w:color="000000" w:fill="FFFFFF"/>
            <w:vAlign w:val="center"/>
          </w:tcPr>
          <w:p w14:paraId="59DFF8E0">
            <w:pPr>
              <w:pStyle w:val="78"/>
              <w:rPr>
                <w:rFonts w:cs="Times New Roman"/>
                <w:szCs w:val="21"/>
              </w:rPr>
            </w:pPr>
            <w:r>
              <w:rPr>
                <w:rFonts w:cs="Times New Roman"/>
                <w:szCs w:val="21"/>
              </w:rPr>
              <w:t>-138.4</w:t>
            </w:r>
          </w:p>
        </w:tc>
        <w:tc>
          <w:tcPr>
            <w:tcW w:w="3969" w:type="dxa"/>
            <w:shd w:val="clear" w:color="000000" w:fill="FFFFFF"/>
            <w:vAlign w:val="center"/>
          </w:tcPr>
          <w:p w14:paraId="005BA0E4">
            <w:pPr>
              <w:pStyle w:val="78"/>
              <w:rPr>
                <w:rFonts w:cs="Times New Roman"/>
                <w:szCs w:val="21"/>
              </w:rPr>
            </w:pPr>
            <w:r>
              <w:rPr>
                <w:rFonts w:cs="Times New Roman"/>
                <w:szCs w:val="21"/>
              </w:rPr>
              <w:t>-185.3</w:t>
            </w:r>
          </w:p>
        </w:tc>
        <w:tc>
          <w:tcPr>
            <w:tcW w:w="3827" w:type="dxa"/>
            <w:shd w:val="clear" w:color="000000" w:fill="FFFFFF"/>
            <w:vAlign w:val="center"/>
          </w:tcPr>
          <w:p w14:paraId="5637F370">
            <w:pPr>
              <w:pStyle w:val="78"/>
              <w:rPr>
                <w:rFonts w:cs="Times New Roman"/>
                <w:szCs w:val="21"/>
              </w:rPr>
            </w:pPr>
            <w:r>
              <w:rPr>
                <w:rFonts w:cs="Times New Roman"/>
                <w:szCs w:val="21"/>
              </w:rPr>
              <w:t>-165.2</w:t>
            </w:r>
          </w:p>
        </w:tc>
      </w:tr>
      <w:tr w14:paraId="21D3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ADAE25C">
            <w:pPr>
              <w:pStyle w:val="78"/>
              <w:rPr>
                <w:rFonts w:cs="Times New Roman"/>
                <w:szCs w:val="21"/>
              </w:rPr>
            </w:pPr>
          </w:p>
        </w:tc>
        <w:tc>
          <w:tcPr>
            <w:tcW w:w="1559" w:type="dxa"/>
            <w:shd w:val="clear" w:color="000000" w:fill="FFFFFF"/>
            <w:vAlign w:val="center"/>
          </w:tcPr>
          <w:p w14:paraId="2A2A9CE5">
            <w:pPr>
              <w:pStyle w:val="78"/>
              <w:rPr>
                <w:rFonts w:cs="Times New Roman"/>
                <w:szCs w:val="21"/>
              </w:rPr>
            </w:pPr>
            <w:r>
              <w:rPr>
                <w:rFonts w:cs="Times New Roman"/>
                <w:szCs w:val="21"/>
              </w:rPr>
              <w:t>饱和蒸汽压，kPa</w:t>
            </w:r>
          </w:p>
        </w:tc>
        <w:tc>
          <w:tcPr>
            <w:tcW w:w="3969" w:type="dxa"/>
            <w:shd w:val="clear" w:color="000000" w:fill="FFFFFF"/>
            <w:vAlign w:val="center"/>
          </w:tcPr>
          <w:p w14:paraId="3FD1BCE1">
            <w:pPr>
              <w:pStyle w:val="78"/>
              <w:rPr>
                <w:rFonts w:cs="Times New Roman"/>
                <w:szCs w:val="21"/>
              </w:rPr>
            </w:pPr>
            <w:r>
              <w:rPr>
                <w:rFonts w:cs="Times New Roman"/>
                <w:szCs w:val="21"/>
              </w:rPr>
              <w:t>213.7(21.1℃)</w:t>
            </w:r>
          </w:p>
        </w:tc>
        <w:tc>
          <w:tcPr>
            <w:tcW w:w="3969" w:type="dxa"/>
            <w:shd w:val="clear" w:color="000000" w:fill="FFFFFF"/>
            <w:vAlign w:val="center"/>
          </w:tcPr>
          <w:p w14:paraId="6C47ECB6">
            <w:pPr>
              <w:pStyle w:val="78"/>
              <w:rPr>
                <w:rFonts w:cs="Times New Roman"/>
                <w:szCs w:val="21"/>
              </w:rPr>
            </w:pPr>
            <w:r>
              <w:rPr>
                <w:rFonts w:cs="Times New Roman"/>
                <w:szCs w:val="21"/>
              </w:rPr>
              <w:t>299.3(25℃)</w:t>
            </w:r>
          </w:p>
        </w:tc>
        <w:tc>
          <w:tcPr>
            <w:tcW w:w="3827" w:type="dxa"/>
            <w:shd w:val="clear" w:color="000000" w:fill="FFFFFF"/>
            <w:vAlign w:val="center"/>
          </w:tcPr>
          <w:p w14:paraId="1E50EE51">
            <w:pPr>
              <w:pStyle w:val="78"/>
              <w:rPr>
                <w:rFonts w:cs="Times New Roman"/>
                <w:szCs w:val="21"/>
              </w:rPr>
            </w:pPr>
            <w:r>
              <w:rPr>
                <w:rFonts w:cs="Times New Roman"/>
                <w:szCs w:val="21"/>
              </w:rPr>
              <w:t>70.7(20℃)</w:t>
            </w:r>
          </w:p>
        </w:tc>
      </w:tr>
      <w:tr w14:paraId="2194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43E37873">
            <w:pPr>
              <w:pStyle w:val="78"/>
              <w:rPr>
                <w:rFonts w:cs="Times New Roman"/>
                <w:szCs w:val="21"/>
              </w:rPr>
            </w:pPr>
            <w:r>
              <w:rPr>
                <w:rFonts w:cs="Times New Roman"/>
                <w:szCs w:val="21"/>
              </w:rPr>
              <w:t>危险性类别</w:t>
            </w:r>
          </w:p>
        </w:tc>
        <w:tc>
          <w:tcPr>
            <w:tcW w:w="3969" w:type="dxa"/>
            <w:shd w:val="clear" w:color="000000" w:fill="FFFFFF"/>
            <w:vAlign w:val="center"/>
          </w:tcPr>
          <w:p w14:paraId="0890B111">
            <w:pPr>
              <w:pStyle w:val="78"/>
              <w:rPr>
                <w:rFonts w:cs="Times New Roman"/>
                <w:szCs w:val="21"/>
              </w:rPr>
            </w:pPr>
            <w:r>
              <w:rPr>
                <w:rFonts w:cs="Times New Roman"/>
                <w:szCs w:val="21"/>
              </w:rPr>
              <w:t>易燃气体,类别1,加压气体,</w:t>
            </w:r>
          </w:p>
        </w:tc>
        <w:tc>
          <w:tcPr>
            <w:tcW w:w="3969" w:type="dxa"/>
            <w:shd w:val="clear" w:color="000000" w:fill="FFFFFF"/>
            <w:vAlign w:val="center"/>
          </w:tcPr>
          <w:p w14:paraId="31E5921F">
            <w:pPr>
              <w:pStyle w:val="78"/>
              <w:rPr>
                <w:rFonts w:cs="Times New Roman"/>
                <w:szCs w:val="21"/>
              </w:rPr>
            </w:pPr>
            <w:r>
              <w:rPr>
                <w:rFonts w:cs="Times New Roman"/>
                <w:szCs w:val="21"/>
              </w:rPr>
              <w:t>易燃气体,类别1,加压气体,</w:t>
            </w:r>
          </w:p>
        </w:tc>
        <w:tc>
          <w:tcPr>
            <w:tcW w:w="3827" w:type="dxa"/>
            <w:shd w:val="clear" w:color="000000" w:fill="FFFFFF"/>
            <w:vAlign w:val="center"/>
          </w:tcPr>
          <w:p w14:paraId="4F238AE6">
            <w:pPr>
              <w:pStyle w:val="78"/>
              <w:rPr>
                <w:rFonts w:cs="Times New Roman"/>
                <w:szCs w:val="21"/>
              </w:rPr>
            </w:pPr>
            <w:r>
              <w:rPr>
                <w:rFonts w:cs="Times New Roman"/>
                <w:szCs w:val="21"/>
              </w:rPr>
              <w:t>易燃液体,类别1,特异性靶器官毒性-一次接触,类别3（麻醉效应）,吸入危害,类别1,危害水生环境-长期危害,类别3</w:t>
            </w:r>
          </w:p>
        </w:tc>
      </w:tr>
      <w:tr w14:paraId="4A18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57F351AA">
            <w:pPr>
              <w:pStyle w:val="78"/>
              <w:rPr>
                <w:rFonts w:cs="Times New Roman"/>
                <w:szCs w:val="21"/>
              </w:rPr>
            </w:pPr>
            <w:r>
              <w:rPr>
                <w:rFonts w:cs="Times New Roman"/>
                <w:szCs w:val="21"/>
              </w:rPr>
              <w:t>危险特性</w:t>
            </w:r>
          </w:p>
        </w:tc>
        <w:tc>
          <w:tcPr>
            <w:tcW w:w="3969" w:type="dxa"/>
            <w:shd w:val="clear" w:color="000000" w:fill="FFFFFF"/>
            <w:vAlign w:val="center"/>
          </w:tcPr>
          <w:p w14:paraId="2C90BDFA">
            <w:pPr>
              <w:pStyle w:val="78"/>
              <w:rPr>
                <w:rFonts w:cs="Times New Roman"/>
                <w:szCs w:val="21"/>
              </w:rPr>
            </w:pPr>
            <w:r>
              <w:rPr>
                <w:rFonts w:cs="Times New Roman"/>
                <w:szCs w:val="21"/>
              </w:rPr>
              <w:t>极易燃，与空气混合能形成爆炸性混合物。</w:t>
            </w:r>
          </w:p>
          <w:p w14:paraId="47D4E3C8">
            <w:pPr>
              <w:pStyle w:val="78"/>
              <w:rPr>
                <w:rFonts w:cs="Times New Roman"/>
                <w:szCs w:val="21"/>
              </w:rPr>
            </w:pPr>
            <w:r>
              <w:rPr>
                <w:rFonts w:cs="Times New Roman"/>
                <w:szCs w:val="21"/>
              </w:rPr>
              <w:t>与强氧化剂等禁配物接触，有发生火灾和爆炸的危险。</w:t>
            </w:r>
          </w:p>
        </w:tc>
        <w:tc>
          <w:tcPr>
            <w:tcW w:w="3969" w:type="dxa"/>
            <w:shd w:val="clear" w:color="000000" w:fill="FFFFFF"/>
            <w:vAlign w:val="center"/>
          </w:tcPr>
          <w:p w14:paraId="4D333FD4">
            <w:pPr>
              <w:pStyle w:val="78"/>
              <w:rPr>
                <w:rFonts w:cs="Times New Roman"/>
                <w:szCs w:val="21"/>
              </w:rPr>
            </w:pPr>
            <w:r>
              <w:rPr>
                <w:rFonts w:cs="Times New Roman"/>
                <w:szCs w:val="21"/>
              </w:rPr>
              <w:t>极易燃，与空气混合能形成爆炸性混合物。</w:t>
            </w:r>
          </w:p>
          <w:p w14:paraId="42248F7E">
            <w:pPr>
              <w:pStyle w:val="78"/>
              <w:rPr>
                <w:rFonts w:cs="Times New Roman"/>
                <w:szCs w:val="21"/>
              </w:rPr>
            </w:pPr>
            <w:r>
              <w:rPr>
                <w:rFonts w:cs="Times New Roman"/>
                <w:szCs w:val="21"/>
              </w:rPr>
              <w:t>与强氧化剂等禁配物接触，有发生火灾和爆炸的危险。</w:t>
            </w:r>
          </w:p>
        </w:tc>
        <w:tc>
          <w:tcPr>
            <w:tcW w:w="3827" w:type="dxa"/>
            <w:shd w:val="clear" w:color="000000" w:fill="FFFFFF"/>
            <w:vAlign w:val="center"/>
          </w:tcPr>
          <w:p w14:paraId="0FA1A8B2">
            <w:pPr>
              <w:pStyle w:val="78"/>
              <w:rPr>
                <w:rFonts w:cs="Times New Roman"/>
                <w:szCs w:val="21"/>
              </w:rPr>
            </w:pPr>
            <w:r>
              <w:rPr>
                <w:rFonts w:cs="Times New Roman"/>
                <w:szCs w:val="21"/>
              </w:rPr>
              <w:t>极易燃，其蒸气与空气混合，能形成爆炸性混合物。</w:t>
            </w:r>
          </w:p>
          <w:p w14:paraId="47D178EC">
            <w:pPr>
              <w:pStyle w:val="78"/>
              <w:rPr>
                <w:rFonts w:cs="Times New Roman"/>
                <w:szCs w:val="21"/>
              </w:rPr>
            </w:pPr>
            <w:r>
              <w:rPr>
                <w:rFonts w:cs="Times New Roman"/>
                <w:szCs w:val="21"/>
              </w:rPr>
              <w:t>与强氧化剂等禁配物接触，有发生火灾和爆炸的危险。高热下可能发生聚合。</w:t>
            </w:r>
          </w:p>
        </w:tc>
      </w:tr>
      <w:tr w14:paraId="50BF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379A8CA6">
            <w:pPr>
              <w:pStyle w:val="78"/>
              <w:rPr>
                <w:rFonts w:cs="Times New Roman"/>
                <w:szCs w:val="21"/>
              </w:rPr>
            </w:pPr>
            <w:r>
              <w:rPr>
                <w:rFonts w:cs="Times New Roman"/>
                <w:szCs w:val="21"/>
              </w:rPr>
              <w:t>禁忌物</w:t>
            </w:r>
          </w:p>
        </w:tc>
        <w:tc>
          <w:tcPr>
            <w:tcW w:w="3969" w:type="dxa"/>
            <w:shd w:val="clear" w:color="000000" w:fill="FFFFFF"/>
            <w:vAlign w:val="center"/>
          </w:tcPr>
          <w:p w14:paraId="3F1291B9">
            <w:pPr>
              <w:pStyle w:val="78"/>
              <w:rPr>
                <w:rFonts w:cs="Times New Roman"/>
                <w:szCs w:val="21"/>
              </w:rPr>
            </w:pPr>
            <w:r>
              <w:rPr>
                <w:rFonts w:cs="Times New Roman"/>
                <w:szCs w:val="21"/>
              </w:rPr>
              <w:t>强氧化剂、强酸、强碱、卤素。</w:t>
            </w:r>
          </w:p>
        </w:tc>
        <w:tc>
          <w:tcPr>
            <w:tcW w:w="3969" w:type="dxa"/>
            <w:shd w:val="clear" w:color="000000" w:fill="FFFFFF"/>
            <w:vAlign w:val="center"/>
          </w:tcPr>
          <w:p w14:paraId="466D42BE">
            <w:pPr>
              <w:pStyle w:val="78"/>
              <w:rPr>
                <w:rFonts w:cs="Times New Roman"/>
                <w:szCs w:val="21"/>
              </w:rPr>
            </w:pPr>
            <w:r>
              <w:rPr>
                <w:rFonts w:cs="Times New Roman"/>
                <w:szCs w:val="21"/>
              </w:rPr>
              <w:t>强氧化剂、强酸、过氧酸、卤素。</w:t>
            </w:r>
          </w:p>
        </w:tc>
        <w:tc>
          <w:tcPr>
            <w:tcW w:w="3827" w:type="dxa"/>
            <w:shd w:val="clear" w:color="000000" w:fill="FFFFFF"/>
            <w:vAlign w:val="center"/>
          </w:tcPr>
          <w:p w14:paraId="68A65960">
            <w:pPr>
              <w:pStyle w:val="78"/>
              <w:rPr>
                <w:rFonts w:cs="Times New Roman"/>
                <w:szCs w:val="21"/>
              </w:rPr>
            </w:pPr>
            <w:r>
              <w:rPr>
                <w:rFonts w:cs="Times New Roman"/>
                <w:szCs w:val="21"/>
              </w:rPr>
              <w:t>强氧化剂、酸类、卤代烃、卤素等。</w:t>
            </w:r>
          </w:p>
        </w:tc>
      </w:tr>
      <w:tr w14:paraId="0C06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60F82322">
            <w:pPr>
              <w:pStyle w:val="78"/>
              <w:rPr>
                <w:rFonts w:cs="Times New Roman"/>
                <w:szCs w:val="21"/>
              </w:rPr>
            </w:pPr>
            <w:r>
              <w:rPr>
                <w:rFonts w:cs="Times New Roman"/>
                <w:szCs w:val="21"/>
              </w:rPr>
              <w:t>毒性及健康危害</w:t>
            </w:r>
          </w:p>
        </w:tc>
        <w:tc>
          <w:tcPr>
            <w:tcW w:w="1559" w:type="dxa"/>
            <w:shd w:val="clear" w:color="000000" w:fill="FFFFFF"/>
            <w:vAlign w:val="center"/>
          </w:tcPr>
          <w:p w14:paraId="2A68B5C8">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0E1278C0">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：658000ppm（大鼠吸入，4h）</w:t>
            </w:r>
          </w:p>
        </w:tc>
        <w:tc>
          <w:tcPr>
            <w:tcW w:w="3969" w:type="dxa"/>
            <w:shd w:val="clear" w:color="000000" w:fill="FFFFFF"/>
            <w:vAlign w:val="center"/>
          </w:tcPr>
          <w:p w14:paraId="75AF0EFA">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：420000mg/m</w:t>
            </w:r>
            <w:r>
              <w:rPr>
                <w:rFonts w:cs="Times New Roman"/>
                <w:szCs w:val="21"/>
                <w:vertAlign w:val="superscript"/>
              </w:rPr>
              <w:t>3</w:t>
            </w:r>
            <w:r>
              <w:rPr>
                <w:rFonts w:cs="Times New Roman"/>
                <w:szCs w:val="21"/>
              </w:rPr>
              <w:t>（小鼠吸入，2h）</w:t>
            </w:r>
          </w:p>
        </w:tc>
        <w:tc>
          <w:tcPr>
            <w:tcW w:w="3827" w:type="dxa"/>
            <w:shd w:val="clear" w:color="000000" w:fill="FFFFFF"/>
            <w:vAlign w:val="center"/>
          </w:tcPr>
          <w:p w14:paraId="57DE739F">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：175000mg/m</w:t>
            </w:r>
            <w:r>
              <w:rPr>
                <w:rFonts w:cs="Times New Roman"/>
                <w:szCs w:val="21"/>
                <w:vertAlign w:val="superscript"/>
              </w:rPr>
              <w:t>3</w:t>
            </w:r>
            <w:r>
              <w:rPr>
                <w:rFonts w:cs="Times New Roman"/>
                <w:szCs w:val="21"/>
              </w:rPr>
              <w:t>（大鼠吸入，4h）；180000mg/m</w:t>
            </w:r>
            <w:r>
              <w:rPr>
                <w:rFonts w:cs="Times New Roman"/>
                <w:szCs w:val="21"/>
                <w:vertAlign w:val="superscript"/>
              </w:rPr>
              <w:t>3</w:t>
            </w:r>
            <w:r>
              <w:rPr>
                <w:rFonts w:cs="Times New Roman"/>
                <w:szCs w:val="21"/>
              </w:rPr>
              <w:t>（小鼠吸入，2h）</w:t>
            </w:r>
          </w:p>
        </w:tc>
      </w:tr>
      <w:tr w14:paraId="5340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6FEA7BA6">
            <w:pPr>
              <w:pStyle w:val="78"/>
              <w:rPr>
                <w:rFonts w:cs="Times New Roman"/>
                <w:szCs w:val="21"/>
              </w:rPr>
            </w:pPr>
          </w:p>
        </w:tc>
        <w:tc>
          <w:tcPr>
            <w:tcW w:w="1559" w:type="dxa"/>
            <w:shd w:val="clear" w:color="000000" w:fill="FFFFFF"/>
            <w:vAlign w:val="center"/>
          </w:tcPr>
          <w:p w14:paraId="119677FC">
            <w:pPr>
              <w:pStyle w:val="78"/>
              <w:rPr>
                <w:rFonts w:cs="Times New Roman"/>
                <w:szCs w:val="21"/>
              </w:rPr>
            </w:pPr>
            <w:r>
              <w:rPr>
                <w:rFonts w:cs="Times New Roman"/>
                <w:szCs w:val="21"/>
              </w:rPr>
              <w:t>中毒途径</w:t>
            </w:r>
          </w:p>
        </w:tc>
        <w:tc>
          <w:tcPr>
            <w:tcW w:w="3969" w:type="dxa"/>
            <w:shd w:val="clear" w:color="000000" w:fill="FFFFFF"/>
            <w:vAlign w:val="center"/>
          </w:tcPr>
          <w:p w14:paraId="5485A895">
            <w:pPr>
              <w:pStyle w:val="78"/>
              <w:rPr>
                <w:rFonts w:cs="Times New Roman"/>
                <w:szCs w:val="21"/>
              </w:rPr>
            </w:pPr>
            <w:r>
              <w:rPr>
                <w:rFonts w:cs="Times New Roman"/>
                <w:szCs w:val="21"/>
              </w:rPr>
              <w:t>吸入、食入、皮肤接触</w:t>
            </w:r>
          </w:p>
        </w:tc>
        <w:tc>
          <w:tcPr>
            <w:tcW w:w="3969" w:type="dxa"/>
            <w:shd w:val="clear" w:color="000000" w:fill="FFFFFF"/>
            <w:noWrap/>
            <w:vAlign w:val="center"/>
          </w:tcPr>
          <w:p w14:paraId="26A13226">
            <w:pPr>
              <w:pStyle w:val="78"/>
              <w:rPr>
                <w:rFonts w:cs="Times New Roman"/>
                <w:szCs w:val="21"/>
              </w:rPr>
            </w:pPr>
            <w:r>
              <w:rPr>
                <w:rFonts w:cs="Times New Roman"/>
                <w:szCs w:val="21"/>
              </w:rPr>
              <w:t>吸入、食入</w:t>
            </w:r>
          </w:p>
        </w:tc>
        <w:tc>
          <w:tcPr>
            <w:tcW w:w="3827" w:type="dxa"/>
            <w:shd w:val="clear" w:color="000000" w:fill="FFFFFF"/>
            <w:noWrap/>
            <w:vAlign w:val="center"/>
          </w:tcPr>
          <w:p w14:paraId="110DA35D">
            <w:pPr>
              <w:pStyle w:val="78"/>
              <w:rPr>
                <w:rFonts w:cs="Times New Roman"/>
                <w:szCs w:val="21"/>
              </w:rPr>
            </w:pPr>
            <w:r>
              <w:rPr>
                <w:rFonts w:cs="Times New Roman"/>
                <w:szCs w:val="21"/>
              </w:rPr>
              <w:t>吸入、皮肤接触</w:t>
            </w:r>
          </w:p>
        </w:tc>
      </w:tr>
      <w:tr w14:paraId="2FAD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CB10F19">
            <w:pPr>
              <w:pStyle w:val="78"/>
              <w:rPr>
                <w:rFonts w:cs="Times New Roman"/>
                <w:szCs w:val="21"/>
              </w:rPr>
            </w:pPr>
          </w:p>
        </w:tc>
        <w:tc>
          <w:tcPr>
            <w:tcW w:w="1559" w:type="dxa"/>
            <w:shd w:val="clear" w:color="000000" w:fill="FFFFFF"/>
            <w:vAlign w:val="center"/>
          </w:tcPr>
          <w:p w14:paraId="2F9D3E59">
            <w:pPr>
              <w:pStyle w:val="78"/>
              <w:rPr>
                <w:rFonts w:cs="Times New Roman"/>
                <w:szCs w:val="21"/>
              </w:rPr>
            </w:pPr>
            <w:r>
              <w:rPr>
                <w:rFonts w:cs="Times New Roman"/>
                <w:szCs w:val="21"/>
              </w:rPr>
              <w:t>健康危害</w:t>
            </w:r>
          </w:p>
        </w:tc>
        <w:tc>
          <w:tcPr>
            <w:tcW w:w="3969" w:type="dxa"/>
            <w:shd w:val="clear" w:color="000000" w:fill="FFFFFF"/>
            <w:vAlign w:val="center"/>
          </w:tcPr>
          <w:p w14:paraId="3E6DB75F">
            <w:pPr>
              <w:pStyle w:val="78"/>
              <w:rPr>
                <w:rFonts w:cs="Times New Roman"/>
                <w:szCs w:val="21"/>
              </w:rPr>
            </w:pPr>
            <w:r>
              <w:rPr>
                <w:rFonts w:cs="Times New Roman"/>
                <w:szCs w:val="21"/>
              </w:rPr>
              <w:t>高浓度有窒息和麻醉作用。急性中毒：主要症状有头晕、头痛、嗜睡和酒醉状态，严重者可昏迷。</w:t>
            </w:r>
            <w:r>
              <w:rPr>
                <w:rFonts w:cs="Times New Roman"/>
                <w:szCs w:val="21"/>
              </w:rPr>
              <w:br w:type="textWrapping"/>
            </w:r>
            <w:r>
              <w:rPr>
                <w:rFonts w:cs="Times New Roman"/>
                <w:szCs w:val="21"/>
              </w:rPr>
              <w:t>皮肤接触液态本品可引起冻伤。慢性影响：接触以丁烷为主的工人有头晕、头痛、睡眠不佳、疲倦等。</w:t>
            </w:r>
          </w:p>
        </w:tc>
        <w:tc>
          <w:tcPr>
            <w:tcW w:w="3969" w:type="dxa"/>
            <w:shd w:val="clear" w:color="000000" w:fill="FFFFFF"/>
            <w:vAlign w:val="center"/>
          </w:tcPr>
          <w:p w14:paraId="12208597">
            <w:pPr>
              <w:pStyle w:val="78"/>
              <w:rPr>
                <w:rFonts w:cs="Times New Roman"/>
                <w:szCs w:val="21"/>
              </w:rPr>
            </w:pPr>
            <w:r>
              <w:rPr>
                <w:rFonts w:cs="Times New Roman"/>
                <w:szCs w:val="21"/>
              </w:rPr>
              <w:t>有轻度麻醉和刺激作用，并可引起窒息。</w:t>
            </w:r>
            <w:r>
              <w:rPr>
                <w:rFonts w:cs="Times New Roman"/>
                <w:szCs w:val="21"/>
              </w:rPr>
              <w:br w:type="textWrapping"/>
            </w:r>
            <w:r>
              <w:rPr>
                <w:rFonts w:cs="Times New Roman"/>
                <w:szCs w:val="21"/>
              </w:rPr>
              <w:t>急性中毒:出现黏膜刺激症状、嗜睡、血压稍升高、心率增快。高浓度吸入可引起窒息、昏迷。皮肤直接接触液态本品可引起冻伤。慢性影响:长期接触以丁烯为主的混合性气体，工人有头痛、头晕、嗜睡或失眠、易兴奋、易疲倦、全身乏力、记忆力减退。有时有黏膜慢性刺激症状。</w:t>
            </w:r>
          </w:p>
        </w:tc>
        <w:tc>
          <w:tcPr>
            <w:tcW w:w="3827" w:type="dxa"/>
            <w:shd w:val="clear" w:color="000000" w:fill="FFFFFF"/>
            <w:vAlign w:val="center"/>
          </w:tcPr>
          <w:p w14:paraId="04B1AFAD">
            <w:pPr>
              <w:pStyle w:val="78"/>
              <w:rPr>
                <w:rFonts w:cs="Times New Roman"/>
                <w:szCs w:val="21"/>
              </w:rPr>
            </w:pPr>
            <w:r>
              <w:rPr>
                <w:rFonts w:cs="Times New Roman"/>
                <w:szCs w:val="21"/>
              </w:rPr>
              <w:t>本品有麻醉作用，对眼、呼吸道和皮肤有刺激性。吸入后引起头痛、头晕、恶心、虚弱、四肢无力等。液态本品吸入呼吸道可引起吸入性肺炎。</w:t>
            </w:r>
          </w:p>
        </w:tc>
      </w:tr>
      <w:tr w14:paraId="4C7B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1BF3287">
            <w:pPr>
              <w:pStyle w:val="78"/>
              <w:rPr>
                <w:rFonts w:cs="Times New Roman"/>
                <w:szCs w:val="21"/>
              </w:rPr>
            </w:pPr>
          </w:p>
        </w:tc>
        <w:tc>
          <w:tcPr>
            <w:tcW w:w="1559" w:type="dxa"/>
            <w:shd w:val="clear" w:color="000000" w:fill="FFFFFF"/>
            <w:noWrap/>
            <w:vAlign w:val="center"/>
          </w:tcPr>
          <w:p w14:paraId="3F021A3E">
            <w:pPr>
              <w:pStyle w:val="78"/>
              <w:rPr>
                <w:rFonts w:cs="Times New Roman"/>
                <w:szCs w:val="21"/>
              </w:rPr>
            </w:pPr>
            <w:r>
              <w:rPr>
                <w:rFonts w:cs="Times New Roman"/>
                <w:szCs w:val="21"/>
              </w:rPr>
              <w:t>环境危害</w:t>
            </w:r>
          </w:p>
        </w:tc>
        <w:tc>
          <w:tcPr>
            <w:tcW w:w="3969" w:type="dxa"/>
            <w:shd w:val="clear" w:color="000000" w:fill="FFFFFF"/>
            <w:vAlign w:val="center"/>
          </w:tcPr>
          <w:p w14:paraId="4EB59503">
            <w:pPr>
              <w:pStyle w:val="78"/>
              <w:rPr>
                <w:rFonts w:cs="Times New Roman"/>
                <w:szCs w:val="21"/>
              </w:rPr>
            </w:pPr>
            <w:r>
              <w:rPr>
                <w:rFonts w:cs="Times New Roman"/>
                <w:szCs w:val="21"/>
              </w:rPr>
              <w:t>对环境可能有害。</w:t>
            </w:r>
          </w:p>
        </w:tc>
        <w:tc>
          <w:tcPr>
            <w:tcW w:w="3969" w:type="dxa"/>
            <w:shd w:val="clear" w:color="000000" w:fill="FFFFFF"/>
            <w:vAlign w:val="center"/>
          </w:tcPr>
          <w:p w14:paraId="272281C9">
            <w:pPr>
              <w:pStyle w:val="78"/>
              <w:rPr>
                <w:rFonts w:cs="Times New Roman"/>
                <w:szCs w:val="21"/>
              </w:rPr>
            </w:pPr>
            <w:r>
              <w:rPr>
                <w:rFonts w:cs="Times New Roman"/>
                <w:szCs w:val="21"/>
              </w:rPr>
              <w:t>对环境可能有害。</w:t>
            </w:r>
          </w:p>
        </w:tc>
        <w:tc>
          <w:tcPr>
            <w:tcW w:w="3827" w:type="dxa"/>
            <w:shd w:val="clear" w:color="000000" w:fill="FFFFFF"/>
            <w:vAlign w:val="center"/>
          </w:tcPr>
          <w:p w14:paraId="71D9D2DC">
            <w:pPr>
              <w:pStyle w:val="78"/>
              <w:rPr>
                <w:rFonts w:cs="Times New Roman"/>
                <w:szCs w:val="21"/>
              </w:rPr>
            </w:pPr>
            <w:r>
              <w:rPr>
                <w:rFonts w:cs="Times New Roman"/>
                <w:szCs w:val="21"/>
              </w:rPr>
              <w:t>对水生生物有害并具有长期持续影响。</w:t>
            </w:r>
          </w:p>
        </w:tc>
      </w:tr>
      <w:tr w14:paraId="6A27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2CE45722">
            <w:pPr>
              <w:pStyle w:val="78"/>
              <w:rPr>
                <w:rFonts w:cs="Times New Roman"/>
                <w:szCs w:val="21"/>
              </w:rPr>
            </w:pPr>
            <w:r>
              <w:rPr>
                <w:rFonts w:cs="Times New Roman"/>
                <w:szCs w:val="21"/>
              </w:rPr>
              <w:t>应急措施</w:t>
            </w:r>
          </w:p>
        </w:tc>
        <w:tc>
          <w:tcPr>
            <w:tcW w:w="1559" w:type="dxa"/>
            <w:vMerge w:val="restart"/>
            <w:shd w:val="clear" w:color="000000" w:fill="FFFFFF"/>
            <w:noWrap/>
            <w:vAlign w:val="center"/>
          </w:tcPr>
          <w:p w14:paraId="4EEF8087">
            <w:pPr>
              <w:pStyle w:val="78"/>
              <w:rPr>
                <w:rFonts w:cs="Times New Roman"/>
                <w:szCs w:val="21"/>
              </w:rPr>
            </w:pPr>
            <w:r>
              <w:rPr>
                <w:rFonts w:cs="Times New Roman"/>
                <w:szCs w:val="21"/>
              </w:rPr>
              <w:t>急救措施</w:t>
            </w:r>
          </w:p>
        </w:tc>
        <w:tc>
          <w:tcPr>
            <w:tcW w:w="3969" w:type="dxa"/>
            <w:shd w:val="clear" w:color="000000" w:fill="FFFFFF"/>
            <w:vAlign w:val="center"/>
          </w:tcPr>
          <w:p w14:paraId="55229854">
            <w:pPr>
              <w:pStyle w:val="78"/>
              <w:rPr>
                <w:rFonts w:cs="Times New Roman"/>
                <w:szCs w:val="21"/>
              </w:rPr>
            </w:pPr>
            <w:r>
              <w:rPr>
                <w:rFonts w:cs="Times New Roman"/>
                <w:szCs w:val="21"/>
              </w:rPr>
              <w:t>迅速脱离现场至空气新鲜处。保持呼吸道通畅。如呼吸困难，给输氧。呼吸、心跳停止，立即进行心肺复苏术。就医。</w:t>
            </w:r>
          </w:p>
        </w:tc>
        <w:tc>
          <w:tcPr>
            <w:tcW w:w="3969" w:type="dxa"/>
            <w:shd w:val="clear" w:color="000000" w:fill="FFFFFF"/>
            <w:vAlign w:val="center"/>
          </w:tcPr>
          <w:p w14:paraId="2B3AADD3">
            <w:pPr>
              <w:pStyle w:val="78"/>
              <w:rPr>
                <w:rFonts w:cs="Times New Roman"/>
                <w:szCs w:val="21"/>
              </w:rPr>
            </w:pPr>
            <w:r>
              <w:rPr>
                <w:rFonts w:cs="Times New Roman"/>
                <w:szCs w:val="21"/>
              </w:rPr>
              <w:t>迅速脱离现场至空气新鲜处。保持呼吸道通畅。如呼吸困难，给输氧。呼吸、心跳停止，立即进行心肺复苏术。就医。</w:t>
            </w:r>
          </w:p>
        </w:tc>
        <w:tc>
          <w:tcPr>
            <w:tcW w:w="3827" w:type="dxa"/>
            <w:shd w:val="clear" w:color="000000" w:fill="FFFFFF"/>
            <w:vAlign w:val="center"/>
          </w:tcPr>
          <w:p w14:paraId="052B534B">
            <w:pPr>
              <w:pStyle w:val="78"/>
              <w:rPr>
                <w:rFonts w:cs="Times New Roman"/>
                <w:szCs w:val="21"/>
              </w:rPr>
            </w:pPr>
            <w:r>
              <w:rPr>
                <w:rFonts w:cs="Times New Roman"/>
                <w:szCs w:val="21"/>
              </w:rPr>
              <w:t>迅速脱离现场至空气新鲜处。保持呼吸道通畅。如呼吸困难，给输氧。呼吸、心跳停止，立即进行心肺复苏术。就医。</w:t>
            </w:r>
          </w:p>
        </w:tc>
      </w:tr>
      <w:tr w14:paraId="1B1B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99D7C2D">
            <w:pPr>
              <w:pStyle w:val="78"/>
              <w:rPr>
                <w:rFonts w:cs="Times New Roman"/>
                <w:szCs w:val="21"/>
              </w:rPr>
            </w:pPr>
          </w:p>
        </w:tc>
        <w:tc>
          <w:tcPr>
            <w:tcW w:w="1559" w:type="dxa"/>
            <w:vMerge w:val="continue"/>
            <w:vAlign w:val="center"/>
          </w:tcPr>
          <w:p w14:paraId="29B1C7EE">
            <w:pPr>
              <w:pStyle w:val="78"/>
              <w:rPr>
                <w:rFonts w:cs="Times New Roman"/>
                <w:szCs w:val="21"/>
              </w:rPr>
            </w:pPr>
          </w:p>
        </w:tc>
        <w:tc>
          <w:tcPr>
            <w:tcW w:w="3969" w:type="dxa"/>
            <w:shd w:val="clear" w:color="000000" w:fill="FFFFFF"/>
            <w:vAlign w:val="center"/>
          </w:tcPr>
          <w:p w14:paraId="244FB96C">
            <w:pPr>
              <w:pStyle w:val="78"/>
              <w:rPr>
                <w:rFonts w:cs="Times New Roman"/>
                <w:szCs w:val="21"/>
              </w:rPr>
            </w:pPr>
            <w:r>
              <w:rPr>
                <w:rFonts w:cs="Times New Roman"/>
                <w:szCs w:val="21"/>
              </w:rPr>
              <w:t>不会通过该途径接触。如发生冻伤，用温水（38℃～42℃）复温，忌用热水或辐射热，不要揉搓。就医。先用大量水冲洗几分钟（如可能易行，摘除隐形眼镜），然后就医。</w:t>
            </w:r>
          </w:p>
        </w:tc>
        <w:tc>
          <w:tcPr>
            <w:tcW w:w="3969" w:type="dxa"/>
            <w:shd w:val="clear" w:color="000000" w:fill="FFFFFF"/>
            <w:vAlign w:val="center"/>
          </w:tcPr>
          <w:p w14:paraId="21893469">
            <w:pPr>
              <w:pStyle w:val="78"/>
              <w:rPr>
                <w:rFonts w:cs="Times New Roman"/>
                <w:szCs w:val="21"/>
              </w:rPr>
            </w:pPr>
            <w:r>
              <w:rPr>
                <w:rFonts w:cs="Times New Roman"/>
                <w:szCs w:val="21"/>
              </w:rPr>
              <w:t>不会通过该途径接触。如发生冻伤，用温水（38℃～42℃）复温，忌用热水或辐射热，不要揉搓。就医。先用大量水冲洗几分钟（如可能易行，摘除隐形眼镜），然后就医。</w:t>
            </w:r>
          </w:p>
        </w:tc>
        <w:tc>
          <w:tcPr>
            <w:tcW w:w="3827" w:type="dxa"/>
            <w:shd w:val="clear" w:color="000000" w:fill="FFFFFF"/>
            <w:vAlign w:val="center"/>
          </w:tcPr>
          <w:p w14:paraId="27AC6142">
            <w:pPr>
              <w:pStyle w:val="78"/>
              <w:rPr>
                <w:rFonts w:cs="Times New Roman"/>
                <w:szCs w:val="21"/>
              </w:rPr>
            </w:pPr>
            <w:r>
              <w:rPr>
                <w:rFonts w:cs="Times New Roman"/>
                <w:szCs w:val="21"/>
              </w:rPr>
              <w:t>漱口，饮水。禁止催吐。就医。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食入：漱口，饮水。禁止催吐。就医。</w:t>
            </w:r>
          </w:p>
        </w:tc>
      </w:tr>
      <w:tr w14:paraId="5ACC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A8EDFD1">
            <w:pPr>
              <w:pStyle w:val="78"/>
              <w:rPr>
                <w:rFonts w:cs="Times New Roman"/>
                <w:szCs w:val="21"/>
              </w:rPr>
            </w:pPr>
          </w:p>
        </w:tc>
        <w:tc>
          <w:tcPr>
            <w:tcW w:w="1559" w:type="dxa"/>
            <w:shd w:val="clear" w:color="000000" w:fill="FFFFFF"/>
            <w:vAlign w:val="center"/>
          </w:tcPr>
          <w:p w14:paraId="762D1A9B">
            <w:pPr>
              <w:pStyle w:val="78"/>
              <w:rPr>
                <w:rFonts w:cs="Times New Roman"/>
                <w:szCs w:val="21"/>
              </w:rPr>
            </w:pPr>
            <w:r>
              <w:rPr>
                <w:rFonts w:cs="Times New Roman"/>
                <w:szCs w:val="21"/>
              </w:rPr>
              <w:t>泄漏应急处置</w:t>
            </w:r>
          </w:p>
        </w:tc>
        <w:tc>
          <w:tcPr>
            <w:tcW w:w="3969" w:type="dxa"/>
            <w:shd w:val="clear" w:color="000000" w:fill="FFFFFF"/>
            <w:vAlign w:val="center"/>
          </w:tcPr>
          <w:p w14:paraId="3B62A9AA">
            <w:pPr>
              <w:pStyle w:val="78"/>
              <w:rPr>
                <w:rFonts w:cs="Times New Roman"/>
                <w:szCs w:val="21"/>
              </w:rPr>
            </w:pPr>
            <w:r>
              <w:rPr>
                <w:rFonts w:cs="Times New Roman"/>
                <w:szCs w:val="21"/>
              </w:rPr>
              <w:t>隔离泄漏区直至气体散尽。</w:t>
            </w:r>
          </w:p>
        </w:tc>
        <w:tc>
          <w:tcPr>
            <w:tcW w:w="3969" w:type="dxa"/>
            <w:shd w:val="clear" w:color="000000" w:fill="FFFFFF"/>
            <w:vAlign w:val="center"/>
          </w:tcPr>
          <w:p w14:paraId="5313B440">
            <w:pPr>
              <w:pStyle w:val="78"/>
              <w:rPr>
                <w:rFonts w:cs="Times New Roman"/>
                <w:szCs w:val="21"/>
              </w:rPr>
            </w:pPr>
            <w:r>
              <w:rPr>
                <w:rFonts w:cs="Times New Roman"/>
                <w:szCs w:val="21"/>
              </w:rPr>
              <w:t>隔离泄漏区直至气体散尽。</w:t>
            </w:r>
          </w:p>
        </w:tc>
        <w:tc>
          <w:tcPr>
            <w:tcW w:w="3827" w:type="dxa"/>
            <w:shd w:val="clear" w:color="000000" w:fill="FFFFFF"/>
            <w:vAlign w:val="center"/>
          </w:tcPr>
          <w:p w14:paraId="35F6DEC1">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有限空间内的易燃性。用防爆泵转移至槽车或专用收集器内。</w:t>
            </w:r>
          </w:p>
        </w:tc>
      </w:tr>
      <w:tr w14:paraId="03A4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09832D3">
            <w:pPr>
              <w:pStyle w:val="78"/>
              <w:rPr>
                <w:rFonts w:cs="Times New Roman"/>
                <w:szCs w:val="21"/>
              </w:rPr>
            </w:pPr>
          </w:p>
        </w:tc>
        <w:tc>
          <w:tcPr>
            <w:tcW w:w="1559" w:type="dxa"/>
            <w:shd w:val="clear" w:color="000000" w:fill="FFFFFF"/>
            <w:noWrap/>
            <w:vAlign w:val="center"/>
          </w:tcPr>
          <w:p w14:paraId="19E2C735">
            <w:pPr>
              <w:pStyle w:val="78"/>
              <w:rPr>
                <w:rFonts w:cs="Times New Roman"/>
                <w:szCs w:val="21"/>
              </w:rPr>
            </w:pPr>
            <w:r>
              <w:rPr>
                <w:rFonts w:cs="Times New Roman"/>
                <w:szCs w:val="21"/>
              </w:rPr>
              <w:t>灭火方法</w:t>
            </w:r>
          </w:p>
        </w:tc>
        <w:tc>
          <w:tcPr>
            <w:tcW w:w="3969" w:type="dxa"/>
            <w:shd w:val="clear" w:color="000000" w:fill="FFFFFF"/>
            <w:vAlign w:val="center"/>
          </w:tcPr>
          <w:p w14:paraId="2C010E27">
            <w:pPr>
              <w:pStyle w:val="78"/>
              <w:rPr>
                <w:rFonts w:cs="Times New Roman"/>
                <w:szCs w:val="21"/>
              </w:rPr>
            </w:pPr>
            <w:r>
              <w:rPr>
                <w:rFonts w:cs="Times New Roman"/>
                <w:szCs w:val="21"/>
              </w:rPr>
              <w:t>切断气源。若不能切断气源，则不允许熄灭泄漏处的火焰。消防人员必须佩戴空气呼吸器、穿全身防火防毒服，在上风向灭火。尽可能将容器从火场移至空旷处。喷水保持火场容器冷却，直至灭火结束。</w:t>
            </w:r>
          </w:p>
        </w:tc>
        <w:tc>
          <w:tcPr>
            <w:tcW w:w="3969" w:type="dxa"/>
            <w:shd w:val="clear" w:color="000000" w:fill="FFFFFF"/>
            <w:vAlign w:val="center"/>
          </w:tcPr>
          <w:p w14:paraId="3F88B619">
            <w:pPr>
              <w:pStyle w:val="78"/>
              <w:rPr>
                <w:rFonts w:cs="Times New Roman"/>
                <w:szCs w:val="21"/>
              </w:rPr>
            </w:pPr>
            <w:r>
              <w:rPr>
                <w:rFonts w:cs="Times New Roman"/>
                <w:szCs w:val="21"/>
              </w:rPr>
              <w:t>切断气源。若不能切断气源，则不允许熄灭泄漏处的火焰。消防人员必须佩戴空气呼吸器、穿全身防火防毒服，在上风向灭火。尽可能将容器从火场移至空旷处。喷水保持火场容器冷却，直至灭火结束。</w:t>
            </w:r>
          </w:p>
        </w:tc>
        <w:tc>
          <w:tcPr>
            <w:tcW w:w="3827" w:type="dxa"/>
            <w:shd w:val="clear" w:color="000000" w:fill="FFFFFF"/>
            <w:vAlign w:val="center"/>
          </w:tcPr>
          <w:p w14:paraId="7ABEC54E">
            <w:pPr>
              <w:pStyle w:val="78"/>
              <w:rPr>
                <w:rFonts w:cs="Times New Roman"/>
                <w:szCs w:val="21"/>
              </w:rPr>
            </w:pPr>
            <w:r>
              <w:rPr>
                <w:rFonts w:cs="Times New Roman"/>
                <w:szCs w:val="21"/>
              </w:rPr>
              <w:t>消防人员须佩戴防毒面具、穿全身消防服，在上风向灭火。尽可能将容器从火场移至空旷处。喷水保持火场容器冷却，直至灭火结束。容器突然发出异常声音或出现异常现象，应立即撤离。用水灭火无效。</w:t>
            </w:r>
          </w:p>
        </w:tc>
      </w:tr>
      <w:tr w14:paraId="1280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4D81D354">
            <w:pPr>
              <w:pStyle w:val="78"/>
              <w:rPr>
                <w:rFonts w:cs="Times New Roman"/>
                <w:b/>
                <w:szCs w:val="21"/>
              </w:rPr>
            </w:pPr>
            <w:r>
              <w:rPr>
                <w:rFonts w:cs="Times New Roman"/>
                <w:b/>
                <w:szCs w:val="21"/>
              </w:rPr>
              <w:t>物质</w:t>
            </w:r>
          </w:p>
        </w:tc>
        <w:tc>
          <w:tcPr>
            <w:tcW w:w="3969" w:type="dxa"/>
            <w:shd w:val="clear" w:color="000000" w:fill="FFFFFF"/>
            <w:vAlign w:val="center"/>
          </w:tcPr>
          <w:p w14:paraId="089514E3">
            <w:pPr>
              <w:pStyle w:val="78"/>
              <w:rPr>
                <w:rFonts w:cs="Times New Roman"/>
                <w:b/>
                <w:szCs w:val="21"/>
              </w:rPr>
            </w:pPr>
            <w:r>
              <w:rPr>
                <w:rFonts w:cs="Times New Roman"/>
                <w:b/>
                <w:szCs w:val="21"/>
              </w:rPr>
              <w:t>C5烷烃</w:t>
            </w:r>
          </w:p>
        </w:tc>
        <w:tc>
          <w:tcPr>
            <w:tcW w:w="3969" w:type="dxa"/>
            <w:shd w:val="clear" w:color="000000" w:fill="FFFFFF"/>
            <w:vAlign w:val="center"/>
          </w:tcPr>
          <w:p w14:paraId="5A4EF3FF">
            <w:pPr>
              <w:pStyle w:val="78"/>
              <w:rPr>
                <w:rFonts w:cs="Times New Roman"/>
                <w:b/>
                <w:szCs w:val="21"/>
              </w:rPr>
            </w:pPr>
            <w:r>
              <w:rPr>
                <w:rFonts w:cs="Times New Roman"/>
                <w:b/>
                <w:szCs w:val="21"/>
              </w:rPr>
              <w:t>苯</w:t>
            </w:r>
          </w:p>
        </w:tc>
        <w:tc>
          <w:tcPr>
            <w:tcW w:w="3827" w:type="dxa"/>
            <w:shd w:val="clear" w:color="000000" w:fill="FFFFFF"/>
            <w:vAlign w:val="center"/>
          </w:tcPr>
          <w:p w14:paraId="21F36BEF">
            <w:pPr>
              <w:pStyle w:val="78"/>
              <w:rPr>
                <w:rFonts w:cs="Times New Roman"/>
                <w:b/>
                <w:szCs w:val="21"/>
              </w:rPr>
            </w:pPr>
            <w:r>
              <w:rPr>
                <w:rFonts w:cs="Times New Roman"/>
                <w:b/>
                <w:szCs w:val="21"/>
              </w:rPr>
              <w:t>C6烷烃</w:t>
            </w:r>
          </w:p>
        </w:tc>
      </w:tr>
      <w:tr w14:paraId="0D9F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649639D0">
            <w:pPr>
              <w:pStyle w:val="78"/>
              <w:rPr>
                <w:rFonts w:cs="Times New Roman"/>
                <w:szCs w:val="21"/>
              </w:rPr>
            </w:pPr>
            <w:r>
              <w:rPr>
                <w:rFonts w:cs="Times New Roman"/>
                <w:szCs w:val="21"/>
              </w:rPr>
              <w:t>物化性质</w:t>
            </w:r>
          </w:p>
        </w:tc>
        <w:tc>
          <w:tcPr>
            <w:tcW w:w="1559" w:type="dxa"/>
            <w:shd w:val="clear" w:color="000000" w:fill="FFFFFF"/>
            <w:vAlign w:val="center"/>
          </w:tcPr>
          <w:p w14:paraId="7234C856">
            <w:pPr>
              <w:pStyle w:val="78"/>
              <w:rPr>
                <w:rFonts w:cs="Times New Roman"/>
                <w:szCs w:val="21"/>
              </w:rPr>
            </w:pPr>
            <w:r>
              <w:rPr>
                <w:rFonts w:cs="Times New Roman"/>
                <w:szCs w:val="21"/>
              </w:rPr>
              <w:t>CAS号</w:t>
            </w:r>
          </w:p>
        </w:tc>
        <w:tc>
          <w:tcPr>
            <w:tcW w:w="3969" w:type="dxa"/>
            <w:shd w:val="clear" w:color="000000" w:fill="FFFFFF"/>
            <w:vAlign w:val="center"/>
          </w:tcPr>
          <w:p w14:paraId="6DF67B08">
            <w:pPr>
              <w:pStyle w:val="78"/>
              <w:rPr>
                <w:rFonts w:cs="Times New Roman"/>
                <w:szCs w:val="21"/>
              </w:rPr>
            </w:pPr>
            <w:r>
              <w:rPr>
                <w:rFonts w:cs="Times New Roman"/>
                <w:szCs w:val="21"/>
              </w:rPr>
              <w:t>109-66-0</w:t>
            </w:r>
          </w:p>
        </w:tc>
        <w:tc>
          <w:tcPr>
            <w:tcW w:w="3969" w:type="dxa"/>
            <w:shd w:val="clear" w:color="000000" w:fill="FFFFFF"/>
            <w:vAlign w:val="center"/>
          </w:tcPr>
          <w:p w14:paraId="23DAE269">
            <w:pPr>
              <w:pStyle w:val="78"/>
              <w:rPr>
                <w:rFonts w:cs="Times New Roman"/>
                <w:szCs w:val="21"/>
              </w:rPr>
            </w:pPr>
            <w:r>
              <w:rPr>
                <w:rFonts w:cs="Times New Roman"/>
                <w:szCs w:val="21"/>
              </w:rPr>
              <w:t>71-43-2</w:t>
            </w:r>
          </w:p>
        </w:tc>
        <w:tc>
          <w:tcPr>
            <w:tcW w:w="3827" w:type="dxa"/>
            <w:shd w:val="clear" w:color="000000" w:fill="FFFFFF"/>
            <w:vAlign w:val="center"/>
          </w:tcPr>
          <w:p w14:paraId="1F2C9D67">
            <w:pPr>
              <w:pStyle w:val="78"/>
              <w:rPr>
                <w:rFonts w:cs="Times New Roman"/>
                <w:szCs w:val="21"/>
              </w:rPr>
            </w:pPr>
            <w:r>
              <w:rPr>
                <w:rFonts w:cs="Times New Roman"/>
                <w:szCs w:val="21"/>
              </w:rPr>
              <w:t>110-82-7</w:t>
            </w:r>
          </w:p>
        </w:tc>
      </w:tr>
      <w:tr w14:paraId="55B9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2A530DA">
            <w:pPr>
              <w:pStyle w:val="78"/>
              <w:rPr>
                <w:rFonts w:cs="Times New Roman"/>
                <w:szCs w:val="21"/>
              </w:rPr>
            </w:pPr>
          </w:p>
        </w:tc>
        <w:tc>
          <w:tcPr>
            <w:tcW w:w="1559" w:type="dxa"/>
            <w:shd w:val="clear" w:color="000000" w:fill="FFFFFF"/>
            <w:vAlign w:val="center"/>
          </w:tcPr>
          <w:p w14:paraId="064FD93D">
            <w:pPr>
              <w:pStyle w:val="78"/>
              <w:rPr>
                <w:rFonts w:cs="Times New Roman"/>
                <w:szCs w:val="21"/>
              </w:rPr>
            </w:pPr>
            <w:r>
              <w:rPr>
                <w:rFonts w:cs="Times New Roman"/>
                <w:szCs w:val="21"/>
              </w:rPr>
              <w:t>中文名称/别名</w:t>
            </w:r>
          </w:p>
        </w:tc>
        <w:tc>
          <w:tcPr>
            <w:tcW w:w="3969" w:type="dxa"/>
            <w:shd w:val="clear" w:color="000000" w:fill="FFFFFF"/>
            <w:vAlign w:val="center"/>
          </w:tcPr>
          <w:p w14:paraId="404DBBEC">
            <w:pPr>
              <w:pStyle w:val="78"/>
              <w:rPr>
                <w:rFonts w:cs="Times New Roman"/>
                <w:szCs w:val="21"/>
              </w:rPr>
            </w:pPr>
            <w:r>
              <w:rPr>
                <w:rFonts w:cs="Times New Roman"/>
                <w:szCs w:val="21"/>
              </w:rPr>
              <w:t>正戊烷;戊基氢化物;戊烷</w:t>
            </w:r>
          </w:p>
        </w:tc>
        <w:tc>
          <w:tcPr>
            <w:tcW w:w="3969" w:type="dxa"/>
            <w:shd w:val="clear" w:color="000000" w:fill="FFFFFF"/>
            <w:vAlign w:val="center"/>
          </w:tcPr>
          <w:p w14:paraId="012F2082">
            <w:pPr>
              <w:pStyle w:val="78"/>
              <w:rPr>
                <w:rFonts w:cs="Times New Roman"/>
                <w:szCs w:val="21"/>
              </w:rPr>
            </w:pPr>
            <w:r>
              <w:rPr>
                <w:rFonts w:cs="Times New Roman"/>
                <w:szCs w:val="21"/>
              </w:rPr>
              <w:t>苯;纯苯</w:t>
            </w:r>
          </w:p>
        </w:tc>
        <w:tc>
          <w:tcPr>
            <w:tcW w:w="3827" w:type="dxa"/>
            <w:shd w:val="clear" w:color="000000" w:fill="FFFFFF"/>
            <w:vAlign w:val="center"/>
          </w:tcPr>
          <w:p w14:paraId="07FED18E">
            <w:pPr>
              <w:pStyle w:val="78"/>
              <w:rPr>
                <w:rFonts w:cs="Times New Roman"/>
                <w:szCs w:val="21"/>
              </w:rPr>
            </w:pPr>
            <w:r>
              <w:rPr>
                <w:rFonts w:cs="Times New Roman"/>
                <w:szCs w:val="21"/>
              </w:rPr>
              <w:t>环己烷;六氢化苯;己环烷;1,6-亚己基</w:t>
            </w:r>
          </w:p>
        </w:tc>
      </w:tr>
      <w:tr w14:paraId="6295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63F7F8C">
            <w:pPr>
              <w:pStyle w:val="78"/>
              <w:rPr>
                <w:rFonts w:cs="Times New Roman"/>
                <w:szCs w:val="21"/>
              </w:rPr>
            </w:pPr>
          </w:p>
        </w:tc>
        <w:tc>
          <w:tcPr>
            <w:tcW w:w="1559" w:type="dxa"/>
            <w:shd w:val="clear" w:color="000000" w:fill="FFFFFF"/>
            <w:vAlign w:val="center"/>
          </w:tcPr>
          <w:p w14:paraId="5D0D0901">
            <w:pPr>
              <w:pStyle w:val="78"/>
              <w:rPr>
                <w:rFonts w:cs="Times New Roman"/>
                <w:szCs w:val="21"/>
              </w:rPr>
            </w:pPr>
            <w:r>
              <w:rPr>
                <w:rFonts w:cs="Times New Roman"/>
                <w:szCs w:val="21"/>
              </w:rPr>
              <w:t>分子式</w:t>
            </w:r>
          </w:p>
        </w:tc>
        <w:tc>
          <w:tcPr>
            <w:tcW w:w="3969" w:type="dxa"/>
            <w:shd w:val="clear" w:color="000000" w:fill="FFFFFF"/>
            <w:noWrap/>
            <w:vAlign w:val="center"/>
          </w:tcPr>
          <w:p w14:paraId="581F61D3">
            <w:pPr>
              <w:pStyle w:val="78"/>
              <w:rPr>
                <w:rFonts w:cs="Times New Roman"/>
                <w:szCs w:val="21"/>
              </w:rPr>
            </w:pPr>
            <w:r>
              <w:rPr>
                <w:rFonts w:cs="Times New Roman"/>
                <w:szCs w:val="21"/>
              </w:rPr>
              <w:t>C</w:t>
            </w:r>
            <w:r>
              <w:rPr>
                <w:rFonts w:cs="Times New Roman"/>
                <w:szCs w:val="21"/>
                <w:vertAlign w:val="subscript"/>
              </w:rPr>
              <w:t>5</w:t>
            </w:r>
            <w:r>
              <w:rPr>
                <w:rFonts w:cs="Times New Roman"/>
                <w:szCs w:val="21"/>
              </w:rPr>
              <w:t>H</w:t>
            </w:r>
            <w:r>
              <w:rPr>
                <w:rFonts w:cs="Times New Roman"/>
                <w:szCs w:val="21"/>
                <w:vertAlign w:val="subscript"/>
              </w:rPr>
              <w:t>12</w:t>
            </w:r>
          </w:p>
        </w:tc>
        <w:tc>
          <w:tcPr>
            <w:tcW w:w="3969" w:type="dxa"/>
            <w:shd w:val="clear" w:color="000000" w:fill="FFFFFF"/>
            <w:noWrap/>
            <w:vAlign w:val="center"/>
          </w:tcPr>
          <w:p w14:paraId="46F8BC29">
            <w:pPr>
              <w:pStyle w:val="78"/>
              <w:rPr>
                <w:rFonts w:cs="Times New Roman"/>
                <w:szCs w:val="21"/>
              </w:rPr>
            </w:pPr>
            <w:r>
              <w:rPr>
                <w:rFonts w:cs="Times New Roman"/>
                <w:szCs w:val="21"/>
              </w:rPr>
              <w:t>C</w:t>
            </w:r>
            <w:r>
              <w:rPr>
                <w:rFonts w:cs="Times New Roman"/>
                <w:szCs w:val="21"/>
                <w:vertAlign w:val="subscript"/>
              </w:rPr>
              <w:t>6</w:t>
            </w:r>
            <w:r>
              <w:rPr>
                <w:rFonts w:cs="Times New Roman"/>
                <w:szCs w:val="21"/>
              </w:rPr>
              <w:t>H</w:t>
            </w:r>
            <w:r>
              <w:rPr>
                <w:rFonts w:cs="Times New Roman"/>
                <w:szCs w:val="21"/>
                <w:vertAlign w:val="subscript"/>
              </w:rPr>
              <w:t>6</w:t>
            </w:r>
          </w:p>
        </w:tc>
        <w:tc>
          <w:tcPr>
            <w:tcW w:w="3827" w:type="dxa"/>
            <w:shd w:val="clear" w:color="000000" w:fill="FFFFFF"/>
            <w:noWrap/>
            <w:vAlign w:val="center"/>
          </w:tcPr>
          <w:p w14:paraId="4F5748EF">
            <w:pPr>
              <w:pStyle w:val="78"/>
              <w:rPr>
                <w:rFonts w:cs="Times New Roman"/>
                <w:szCs w:val="21"/>
              </w:rPr>
            </w:pPr>
            <w:r>
              <w:rPr>
                <w:rFonts w:cs="Times New Roman"/>
                <w:szCs w:val="21"/>
              </w:rPr>
              <w:t>C</w:t>
            </w:r>
            <w:r>
              <w:rPr>
                <w:rFonts w:cs="Times New Roman"/>
                <w:szCs w:val="21"/>
                <w:vertAlign w:val="subscript"/>
              </w:rPr>
              <w:t>6</w:t>
            </w:r>
            <w:r>
              <w:rPr>
                <w:rFonts w:cs="Times New Roman"/>
                <w:szCs w:val="21"/>
              </w:rPr>
              <w:t>H</w:t>
            </w:r>
            <w:r>
              <w:rPr>
                <w:rFonts w:cs="Times New Roman"/>
                <w:szCs w:val="21"/>
                <w:vertAlign w:val="subscript"/>
              </w:rPr>
              <w:t>12</w:t>
            </w:r>
          </w:p>
        </w:tc>
      </w:tr>
      <w:tr w14:paraId="3CB1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B35191C">
            <w:pPr>
              <w:pStyle w:val="78"/>
              <w:rPr>
                <w:rFonts w:cs="Times New Roman"/>
                <w:szCs w:val="21"/>
              </w:rPr>
            </w:pPr>
          </w:p>
        </w:tc>
        <w:tc>
          <w:tcPr>
            <w:tcW w:w="1559" w:type="dxa"/>
            <w:shd w:val="clear" w:color="000000" w:fill="FFFFFF"/>
            <w:vAlign w:val="center"/>
          </w:tcPr>
          <w:p w14:paraId="2F110C68">
            <w:pPr>
              <w:pStyle w:val="78"/>
              <w:rPr>
                <w:rFonts w:cs="Times New Roman"/>
                <w:szCs w:val="21"/>
              </w:rPr>
            </w:pPr>
            <w:r>
              <w:rPr>
                <w:rFonts w:cs="Times New Roman"/>
                <w:szCs w:val="21"/>
              </w:rPr>
              <w:t>分子量</w:t>
            </w:r>
          </w:p>
        </w:tc>
        <w:tc>
          <w:tcPr>
            <w:tcW w:w="3969" w:type="dxa"/>
            <w:shd w:val="clear" w:color="000000" w:fill="FFFFFF"/>
            <w:noWrap/>
            <w:vAlign w:val="center"/>
          </w:tcPr>
          <w:p w14:paraId="3C15C554">
            <w:pPr>
              <w:pStyle w:val="78"/>
              <w:rPr>
                <w:rFonts w:cs="Times New Roman"/>
                <w:szCs w:val="21"/>
              </w:rPr>
            </w:pPr>
            <w:r>
              <w:rPr>
                <w:rFonts w:cs="Times New Roman"/>
                <w:szCs w:val="21"/>
              </w:rPr>
              <w:t>72.15</w:t>
            </w:r>
          </w:p>
        </w:tc>
        <w:tc>
          <w:tcPr>
            <w:tcW w:w="3969" w:type="dxa"/>
            <w:shd w:val="clear" w:color="000000" w:fill="FFFFFF"/>
            <w:noWrap/>
            <w:vAlign w:val="center"/>
          </w:tcPr>
          <w:p w14:paraId="2A3FEF4C">
            <w:pPr>
              <w:pStyle w:val="78"/>
              <w:rPr>
                <w:rFonts w:cs="Times New Roman"/>
                <w:szCs w:val="21"/>
              </w:rPr>
            </w:pPr>
            <w:r>
              <w:rPr>
                <w:rFonts w:cs="Times New Roman"/>
                <w:szCs w:val="21"/>
              </w:rPr>
              <w:t>78.11</w:t>
            </w:r>
          </w:p>
        </w:tc>
        <w:tc>
          <w:tcPr>
            <w:tcW w:w="3827" w:type="dxa"/>
            <w:shd w:val="clear" w:color="000000" w:fill="FFFFFF"/>
            <w:noWrap/>
            <w:vAlign w:val="center"/>
          </w:tcPr>
          <w:p w14:paraId="71CC10E5">
            <w:pPr>
              <w:pStyle w:val="78"/>
              <w:rPr>
                <w:rFonts w:cs="Times New Roman"/>
                <w:szCs w:val="21"/>
              </w:rPr>
            </w:pPr>
            <w:r>
              <w:rPr>
                <w:rFonts w:cs="Times New Roman"/>
                <w:szCs w:val="21"/>
              </w:rPr>
              <w:t>84.16</w:t>
            </w:r>
          </w:p>
        </w:tc>
      </w:tr>
      <w:tr w14:paraId="19AA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1A5D982">
            <w:pPr>
              <w:pStyle w:val="78"/>
              <w:rPr>
                <w:rFonts w:cs="Times New Roman"/>
                <w:szCs w:val="21"/>
              </w:rPr>
            </w:pPr>
          </w:p>
        </w:tc>
        <w:tc>
          <w:tcPr>
            <w:tcW w:w="1559" w:type="dxa"/>
            <w:shd w:val="clear" w:color="000000" w:fill="FFFFFF"/>
            <w:vAlign w:val="center"/>
          </w:tcPr>
          <w:p w14:paraId="02964711">
            <w:pPr>
              <w:pStyle w:val="78"/>
              <w:rPr>
                <w:rFonts w:cs="Times New Roman"/>
                <w:szCs w:val="21"/>
              </w:rPr>
            </w:pPr>
            <w:r>
              <w:rPr>
                <w:rFonts w:cs="Times New Roman"/>
                <w:szCs w:val="21"/>
              </w:rPr>
              <w:t>外观性状</w:t>
            </w:r>
          </w:p>
        </w:tc>
        <w:tc>
          <w:tcPr>
            <w:tcW w:w="3969" w:type="dxa"/>
            <w:shd w:val="clear" w:color="000000" w:fill="FFFFFF"/>
            <w:vAlign w:val="center"/>
          </w:tcPr>
          <w:p w14:paraId="5A310DF2">
            <w:pPr>
              <w:pStyle w:val="78"/>
              <w:rPr>
                <w:rFonts w:cs="Times New Roman"/>
                <w:szCs w:val="21"/>
              </w:rPr>
            </w:pPr>
            <w:r>
              <w:rPr>
                <w:rFonts w:cs="Times New Roman"/>
                <w:szCs w:val="21"/>
              </w:rPr>
              <w:t>无色液体，有微弱的薄荷香味。</w:t>
            </w:r>
          </w:p>
        </w:tc>
        <w:tc>
          <w:tcPr>
            <w:tcW w:w="3969" w:type="dxa"/>
            <w:shd w:val="clear" w:color="000000" w:fill="FFFFFF"/>
            <w:vAlign w:val="center"/>
          </w:tcPr>
          <w:p w14:paraId="26F0F4A7">
            <w:pPr>
              <w:pStyle w:val="78"/>
              <w:rPr>
                <w:rFonts w:cs="Times New Roman"/>
                <w:szCs w:val="21"/>
              </w:rPr>
            </w:pPr>
            <w:r>
              <w:rPr>
                <w:rFonts w:cs="Times New Roman"/>
                <w:szCs w:val="21"/>
              </w:rPr>
              <w:t>无色透明液体，有强烈芳香味。</w:t>
            </w:r>
          </w:p>
        </w:tc>
        <w:tc>
          <w:tcPr>
            <w:tcW w:w="3827" w:type="dxa"/>
            <w:shd w:val="clear" w:color="000000" w:fill="FFFFFF"/>
            <w:vAlign w:val="center"/>
          </w:tcPr>
          <w:p w14:paraId="04E67F31">
            <w:pPr>
              <w:pStyle w:val="78"/>
              <w:rPr>
                <w:rFonts w:cs="Times New Roman"/>
                <w:szCs w:val="21"/>
              </w:rPr>
            </w:pPr>
            <w:r>
              <w:rPr>
                <w:rFonts w:cs="Times New Roman"/>
                <w:szCs w:val="21"/>
              </w:rPr>
              <w:t>无色液体，有刺激性气味。</w:t>
            </w:r>
          </w:p>
        </w:tc>
      </w:tr>
      <w:tr w14:paraId="2564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01D32B5">
            <w:pPr>
              <w:pStyle w:val="78"/>
              <w:rPr>
                <w:rFonts w:cs="Times New Roman"/>
                <w:szCs w:val="21"/>
              </w:rPr>
            </w:pPr>
          </w:p>
        </w:tc>
        <w:tc>
          <w:tcPr>
            <w:tcW w:w="1559" w:type="dxa"/>
            <w:shd w:val="clear" w:color="000000" w:fill="FFFFFF"/>
            <w:vAlign w:val="center"/>
          </w:tcPr>
          <w:p w14:paraId="6B2F23BE">
            <w:pPr>
              <w:pStyle w:val="78"/>
              <w:rPr>
                <w:rFonts w:cs="Times New Roman"/>
                <w:szCs w:val="21"/>
              </w:rPr>
            </w:pPr>
            <w:r>
              <w:rPr>
                <w:rFonts w:cs="Times New Roman"/>
                <w:szCs w:val="21"/>
              </w:rPr>
              <w:t>沸点，℃</w:t>
            </w:r>
          </w:p>
        </w:tc>
        <w:tc>
          <w:tcPr>
            <w:tcW w:w="3969" w:type="dxa"/>
            <w:shd w:val="clear" w:color="000000" w:fill="FFFFFF"/>
            <w:vAlign w:val="center"/>
          </w:tcPr>
          <w:p w14:paraId="0A7B0FA3">
            <w:pPr>
              <w:pStyle w:val="78"/>
              <w:rPr>
                <w:rFonts w:cs="Times New Roman"/>
                <w:szCs w:val="21"/>
              </w:rPr>
            </w:pPr>
            <w:r>
              <w:rPr>
                <w:rFonts w:cs="Times New Roman"/>
                <w:szCs w:val="21"/>
              </w:rPr>
              <w:t>36.1</w:t>
            </w:r>
          </w:p>
        </w:tc>
        <w:tc>
          <w:tcPr>
            <w:tcW w:w="3969" w:type="dxa"/>
            <w:shd w:val="clear" w:color="000000" w:fill="FFFFFF"/>
            <w:vAlign w:val="center"/>
          </w:tcPr>
          <w:p w14:paraId="2E138B00">
            <w:pPr>
              <w:pStyle w:val="78"/>
              <w:rPr>
                <w:rFonts w:cs="Times New Roman"/>
                <w:szCs w:val="21"/>
              </w:rPr>
            </w:pPr>
            <w:r>
              <w:rPr>
                <w:rFonts w:cs="Times New Roman"/>
                <w:szCs w:val="21"/>
              </w:rPr>
              <w:t>80.1</w:t>
            </w:r>
          </w:p>
        </w:tc>
        <w:tc>
          <w:tcPr>
            <w:tcW w:w="3827" w:type="dxa"/>
            <w:shd w:val="clear" w:color="000000" w:fill="FFFFFF"/>
            <w:vAlign w:val="center"/>
          </w:tcPr>
          <w:p w14:paraId="3EC84DFA">
            <w:pPr>
              <w:pStyle w:val="78"/>
              <w:rPr>
                <w:rFonts w:cs="Times New Roman"/>
                <w:szCs w:val="21"/>
              </w:rPr>
            </w:pPr>
            <w:r>
              <w:rPr>
                <w:rFonts w:cs="Times New Roman"/>
                <w:szCs w:val="21"/>
              </w:rPr>
              <w:t>80.7</w:t>
            </w:r>
          </w:p>
        </w:tc>
      </w:tr>
      <w:tr w14:paraId="2A6B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0400E8A">
            <w:pPr>
              <w:pStyle w:val="78"/>
              <w:rPr>
                <w:rFonts w:cs="Times New Roman"/>
                <w:szCs w:val="21"/>
              </w:rPr>
            </w:pPr>
          </w:p>
        </w:tc>
        <w:tc>
          <w:tcPr>
            <w:tcW w:w="1559" w:type="dxa"/>
            <w:shd w:val="clear" w:color="000000" w:fill="FFFFFF"/>
            <w:vAlign w:val="center"/>
          </w:tcPr>
          <w:p w14:paraId="047A8267">
            <w:pPr>
              <w:pStyle w:val="78"/>
              <w:rPr>
                <w:rFonts w:cs="Times New Roman"/>
                <w:szCs w:val="21"/>
              </w:rPr>
            </w:pPr>
            <w:r>
              <w:rPr>
                <w:rFonts w:cs="Times New Roman"/>
                <w:szCs w:val="21"/>
              </w:rPr>
              <w:t>熔点，℃</w:t>
            </w:r>
          </w:p>
        </w:tc>
        <w:tc>
          <w:tcPr>
            <w:tcW w:w="3969" w:type="dxa"/>
            <w:shd w:val="clear" w:color="000000" w:fill="FFFFFF"/>
            <w:vAlign w:val="center"/>
          </w:tcPr>
          <w:p w14:paraId="6AE95AB8">
            <w:pPr>
              <w:pStyle w:val="78"/>
              <w:rPr>
                <w:rFonts w:cs="Times New Roman"/>
                <w:szCs w:val="21"/>
              </w:rPr>
            </w:pPr>
            <w:r>
              <w:rPr>
                <w:rFonts w:cs="Times New Roman"/>
                <w:szCs w:val="21"/>
              </w:rPr>
              <w:t>-129.8</w:t>
            </w:r>
          </w:p>
        </w:tc>
        <w:tc>
          <w:tcPr>
            <w:tcW w:w="3969" w:type="dxa"/>
            <w:shd w:val="clear" w:color="000000" w:fill="FFFFFF"/>
            <w:vAlign w:val="center"/>
          </w:tcPr>
          <w:p w14:paraId="154A329E">
            <w:pPr>
              <w:pStyle w:val="78"/>
              <w:rPr>
                <w:rFonts w:cs="Times New Roman"/>
                <w:szCs w:val="21"/>
              </w:rPr>
            </w:pPr>
            <w:r>
              <w:rPr>
                <w:rFonts w:cs="Times New Roman"/>
                <w:szCs w:val="21"/>
              </w:rPr>
              <w:t>5.5</w:t>
            </w:r>
          </w:p>
        </w:tc>
        <w:tc>
          <w:tcPr>
            <w:tcW w:w="3827" w:type="dxa"/>
            <w:shd w:val="clear" w:color="000000" w:fill="FFFFFF"/>
            <w:vAlign w:val="center"/>
          </w:tcPr>
          <w:p w14:paraId="5A848EEB">
            <w:pPr>
              <w:pStyle w:val="78"/>
              <w:rPr>
                <w:rFonts w:cs="Times New Roman"/>
                <w:szCs w:val="21"/>
              </w:rPr>
            </w:pPr>
            <w:r>
              <w:rPr>
                <w:rFonts w:cs="Times New Roman"/>
                <w:szCs w:val="21"/>
              </w:rPr>
              <w:t>6.47</w:t>
            </w:r>
          </w:p>
        </w:tc>
      </w:tr>
      <w:tr w14:paraId="116A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2674CD9">
            <w:pPr>
              <w:pStyle w:val="78"/>
              <w:rPr>
                <w:rFonts w:cs="Times New Roman"/>
                <w:szCs w:val="21"/>
              </w:rPr>
            </w:pPr>
          </w:p>
        </w:tc>
        <w:tc>
          <w:tcPr>
            <w:tcW w:w="1559" w:type="dxa"/>
            <w:shd w:val="clear" w:color="000000" w:fill="FFFFFF"/>
            <w:vAlign w:val="center"/>
          </w:tcPr>
          <w:p w14:paraId="4FFBDCED">
            <w:pPr>
              <w:pStyle w:val="78"/>
              <w:rPr>
                <w:rFonts w:cs="Times New Roman"/>
                <w:szCs w:val="21"/>
              </w:rPr>
            </w:pPr>
            <w:r>
              <w:rPr>
                <w:rFonts w:cs="Times New Roman"/>
                <w:szCs w:val="21"/>
              </w:rPr>
              <w:t>饱和蒸汽压，kPa</w:t>
            </w:r>
          </w:p>
        </w:tc>
        <w:tc>
          <w:tcPr>
            <w:tcW w:w="3969" w:type="dxa"/>
            <w:shd w:val="clear" w:color="000000" w:fill="FFFFFF"/>
            <w:vAlign w:val="center"/>
          </w:tcPr>
          <w:p w14:paraId="0C573D81">
            <w:pPr>
              <w:pStyle w:val="78"/>
              <w:rPr>
                <w:rFonts w:cs="Times New Roman"/>
                <w:szCs w:val="21"/>
              </w:rPr>
            </w:pPr>
            <w:r>
              <w:rPr>
                <w:rFonts w:cs="Times New Roman"/>
                <w:szCs w:val="21"/>
              </w:rPr>
              <w:t>53.32(18.5℃)</w:t>
            </w:r>
          </w:p>
        </w:tc>
        <w:tc>
          <w:tcPr>
            <w:tcW w:w="3969" w:type="dxa"/>
            <w:shd w:val="clear" w:color="000000" w:fill="FFFFFF"/>
            <w:vAlign w:val="center"/>
          </w:tcPr>
          <w:p w14:paraId="09DF3A56">
            <w:pPr>
              <w:pStyle w:val="78"/>
              <w:rPr>
                <w:rFonts w:cs="Times New Roman"/>
                <w:szCs w:val="21"/>
              </w:rPr>
            </w:pPr>
            <w:r>
              <w:rPr>
                <w:rFonts w:cs="Times New Roman"/>
                <w:szCs w:val="21"/>
              </w:rPr>
              <w:t>9.95(20℃)</w:t>
            </w:r>
          </w:p>
        </w:tc>
        <w:tc>
          <w:tcPr>
            <w:tcW w:w="3827" w:type="dxa"/>
            <w:shd w:val="clear" w:color="000000" w:fill="FFFFFF"/>
            <w:vAlign w:val="center"/>
          </w:tcPr>
          <w:p w14:paraId="53CD98C2">
            <w:pPr>
              <w:pStyle w:val="78"/>
              <w:rPr>
                <w:rFonts w:cs="Times New Roman"/>
                <w:szCs w:val="21"/>
              </w:rPr>
            </w:pPr>
            <w:r>
              <w:rPr>
                <w:rFonts w:cs="Times New Roman"/>
                <w:szCs w:val="21"/>
              </w:rPr>
              <w:t>12.7(20℃)</w:t>
            </w:r>
          </w:p>
        </w:tc>
      </w:tr>
      <w:tr w14:paraId="5352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308FC2A2">
            <w:pPr>
              <w:pStyle w:val="78"/>
              <w:rPr>
                <w:rFonts w:cs="Times New Roman"/>
                <w:szCs w:val="21"/>
              </w:rPr>
            </w:pPr>
            <w:r>
              <w:rPr>
                <w:rFonts w:cs="Times New Roman"/>
                <w:szCs w:val="21"/>
              </w:rPr>
              <w:t>危险性类别</w:t>
            </w:r>
          </w:p>
        </w:tc>
        <w:tc>
          <w:tcPr>
            <w:tcW w:w="3969" w:type="dxa"/>
            <w:shd w:val="clear" w:color="000000" w:fill="FFFFFF"/>
            <w:vAlign w:val="center"/>
          </w:tcPr>
          <w:p w14:paraId="162A8C02">
            <w:pPr>
              <w:pStyle w:val="78"/>
              <w:rPr>
                <w:rFonts w:cs="Times New Roman"/>
                <w:szCs w:val="21"/>
              </w:rPr>
            </w:pPr>
            <w:r>
              <w:rPr>
                <w:rFonts w:cs="Times New Roman"/>
                <w:szCs w:val="21"/>
              </w:rPr>
              <w:t>易燃液体,类别2,特异性靶器官毒性-一次接触,类别3（麻醉效应）,吸入危害,类别1,危害水生环境-急性危害,类别2</w:t>
            </w:r>
          </w:p>
        </w:tc>
        <w:tc>
          <w:tcPr>
            <w:tcW w:w="3969" w:type="dxa"/>
            <w:shd w:val="clear" w:color="000000" w:fill="FFFFFF"/>
            <w:vAlign w:val="center"/>
          </w:tcPr>
          <w:p w14:paraId="7949E351">
            <w:pPr>
              <w:pStyle w:val="78"/>
              <w:rPr>
                <w:rFonts w:cs="Times New Roman"/>
                <w:szCs w:val="21"/>
              </w:rPr>
            </w:pPr>
            <w:r>
              <w:rPr>
                <w:rFonts w:cs="Times New Roman"/>
                <w:szCs w:val="21"/>
              </w:rPr>
              <w:t>易燃液体,类别2,皮肤腐蚀/刺激,类别2,严重眼损伤/眼刺激,类别2,生殖细胞致突变性,类别1B,致癌性,类别1A,特异性靶器官毒性-反复接触,类别1,吸入危害,类别1,危害水生环境-急性危害,类别2,危害水生环境-长期危害,类别3</w:t>
            </w:r>
          </w:p>
        </w:tc>
        <w:tc>
          <w:tcPr>
            <w:tcW w:w="3827" w:type="dxa"/>
            <w:shd w:val="clear" w:color="000000" w:fill="FFFFFF"/>
            <w:vAlign w:val="center"/>
          </w:tcPr>
          <w:p w14:paraId="22A29C47">
            <w:pPr>
              <w:pStyle w:val="78"/>
              <w:rPr>
                <w:rFonts w:cs="Times New Roman"/>
                <w:szCs w:val="21"/>
              </w:rPr>
            </w:pPr>
            <w:r>
              <w:rPr>
                <w:rFonts w:cs="Times New Roman"/>
                <w:szCs w:val="21"/>
              </w:rPr>
              <w:t>易燃液体,类别2,皮肤腐蚀/刺激,类别2,特异性靶器官毒性-一次接触,类别3（麻醉效应）,吸入危害,类别1,危害水生环境-急性危害,类别1</w:t>
            </w:r>
          </w:p>
        </w:tc>
      </w:tr>
      <w:tr w14:paraId="473E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10D7CBC1">
            <w:pPr>
              <w:pStyle w:val="78"/>
              <w:rPr>
                <w:rFonts w:cs="Times New Roman"/>
                <w:szCs w:val="21"/>
              </w:rPr>
            </w:pPr>
            <w:r>
              <w:rPr>
                <w:rFonts w:cs="Times New Roman"/>
                <w:szCs w:val="21"/>
              </w:rPr>
              <w:t>危险特性</w:t>
            </w:r>
          </w:p>
        </w:tc>
        <w:tc>
          <w:tcPr>
            <w:tcW w:w="3969" w:type="dxa"/>
            <w:shd w:val="clear" w:color="000000" w:fill="FFFFFF"/>
            <w:vAlign w:val="center"/>
          </w:tcPr>
          <w:p w14:paraId="41B05719">
            <w:pPr>
              <w:pStyle w:val="78"/>
              <w:rPr>
                <w:rFonts w:cs="Times New Roman"/>
                <w:szCs w:val="21"/>
              </w:rPr>
            </w:pPr>
            <w:r>
              <w:rPr>
                <w:rFonts w:cs="Times New Roman"/>
                <w:szCs w:val="21"/>
              </w:rPr>
              <w:t>高度易燃，其蒸气与空气混合，能形成爆炸性混合物。</w:t>
            </w:r>
          </w:p>
          <w:p w14:paraId="250A2576">
            <w:pPr>
              <w:pStyle w:val="78"/>
              <w:rPr>
                <w:rFonts w:cs="Times New Roman"/>
                <w:szCs w:val="21"/>
              </w:rPr>
            </w:pPr>
            <w:r>
              <w:rPr>
                <w:rFonts w:cs="Times New Roman"/>
                <w:szCs w:val="21"/>
              </w:rPr>
              <w:t>与强氧化剂等禁配物接触，有发生火灾和爆炸的危险。</w:t>
            </w:r>
          </w:p>
        </w:tc>
        <w:tc>
          <w:tcPr>
            <w:tcW w:w="3969" w:type="dxa"/>
            <w:shd w:val="clear" w:color="000000" w:fill="FFFFFF"/>
            <w:vAlign w:val="center"/>
          </w:tcPr>
          <w:p w14:paraId="114BEF5F">
            <w:pPr>
              <w:pStyle w:val="78"/>
              <w:rPr>
                <w:rFonts w:cs="Times New Roman"/>
                <w:szCs w:val="21"/>
              </w:rPr>
            </w:pPr>
            <w:r>
              <w:rPr>
                <w:rFonts w:cs="Times New Roman"/>
                <w:szCs w:val="21"/>
              </w:rPr>
              <w:t>高度易燃，其蒸气与空气混合，能形成爆炸性混合物。</w:t>
            </w:r>
          </w:p>
          <w:p w14:paraId="292AB846">
            <w:pPr>
              <w:pStyle w:val="78"/>
              <w:rPr>
                <w:rFonts w:cs="Times New Roman"/>
                <w:szCs w:val="21"/>
              </w:rPr>
            </w:pPr>
            <w:r>
              <w:rPr>
                <w:rFonts w:cs="Times New Roman"/>
                <w:szCs w:val="21"/>
              </w:rPr>
              <w:t>与强氧化剂等禁配物接触，有发生火灾和爆炸的危险。</w:t>
            </w:r>
          </w:p>
        </w:tc>
        <w:tc>
          <w:tcPr>
            <w:tcW w:w="3827" w:type="dxa"/>
            <w:shd w:val="clear" w:color="000000" w:fill="FFFFFF"/>
            <w:vAlign w:val="center"/>
          </w:tcPr>
          <w:p w14:paraId="66EC2813">
            <w:pPr>
              <w:pStyle w:val="78"/>
              <w:rPr>
                <w:rFonts w:cs="Times New Roman"/>
                <w:szCs w:val="21"/>
              </w:rPr>
            </w:pPr>
            <w:r>
              <w:rPr>
                <w:rFonts w:cs="Times New Roman"/>
                <w:szCs w:val="21"/>
              </w:rPr>
              <w:t>高度易燃，其蒸气与空气混合，能形成爆炸性混合物。</w:t>
            </w:r>
          </w:p>
          <w:p w14:paraId="0CCA4828">
            <w:pPr>
              <w:pStyle w:val="78"/>
              <w:rPr>
                <w:rFonts w:cs="Times New Roman"/>
                <w:szCs w:val="21"/>
              </w:rPr>
            </w:pPr>
            <w:r>
              <w:rPr>
                <w:rFonts w:cs="Times New Roman"/>
                <w:szCs w:val="21"/>
              </w:rPr>
              <w:t>与强氧化剂等禁配物接触，有发生火灾和爆炸的危险。</w:t>
            </w:r>
          </w:p>
        </w:tc>
      </w:tr>
      <w:tr w14:paraId="3785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52F8FC7B">
            <w:pPr>
              <w:pStyle w:val="78"/>
              <w:rPr>
                <w:rFonts w:cs="Times New Roman"/>
                <w:szCs w:val="21"/>
              </w:rPr>
            </w:pPr>
            <w:r>
              <w:rPr>
                <w:rFonts w:cs="Times New Roman"/>
                <w:szCs w:val="21"/>
              </w:rPr>
              <w:t>禁忌物</w:t>
            </w:r>
          </w:p>
        </w:tc>
        <w:tc>
          <w:tcPr>
            <w:tcW w:w="3969" w:type="dxa"/>
            <w:shd w:val="clear" w:color="000000" w:fill="FFFFFF"/>
            <w:vAlign w:val="center"/>
          </w:tcPr>
          <w:p w14:paraId="34FAE59B">
            <w:pPr>
              <w:pStyle w:val="78"/>
              <w:rPr>
                <w:rFonts w:cs="Times New Roman"/>
                <w:szCs w:val="21"/>
              </w:rPr>
            </w:pPr>
            <w:r>
              <w:rPr>
                <w:rFonts w:cs="Times New Roman"/>
                <w:szCs w:val="21"/>
              </w:rPr>
              <w:t>强氧化剂、强酸、强碱、卤素。</w:t>
            </w:r>
          </w:p>
        </w:tc>
        <w:tc>
          <w:tcPr>
            <w:tcW w:w="3969" w:type="dxa"/>
            <w:shd w:val="clear" w:color="000000" w:fill="FFFFFF"/>
            <w:vAlign w:val="center"/>
          </w:tcPr>
          <w:p w14:paraId="18474CDE">
            <w:pPr>
              <w:pStyle w:val="78"/>
              <w:rPr>
                <w:rFonts w:cs="Times New Roman"/>
                <w:szCs w:val="21"/>
              </w:rPr>
            </w:pPr>
            <w:r>
              <w:rPr>
                <w:rFonts w:cs="Times New Roman"/>
                <w:szCs w:val="21"/>
              </w:rPr>
              <w:t>强氧化剂、强酸、强碱、卤素。</w:t>
            </w:r>
          </w:p>
        </w:tc>
        <w:tc>
          <w:tcPr>
            <w:tcW w:w="3827" w:type="dxa"/>
            <w:shd w:val="clear" w:color="000000" w:fill="FFFFFF"/>
            <w:vAlign w:val="center"/>
          </w:tcPr>
          <w:p w14:paraId="025CA729">
            <w:pPr>
              <w:pStyle w:val="78"/>
              <w:rPr>
                <w:rFonts w:cs="Times New Roman"/>
                <w:szCs w:val="21"/>
              </w:rPr>
            </w:pPr>
            <w:r>
              <w:rPr>
                <w:rFonts w:cs="Times New Roman"/>
                <w:szCs w:val="21"/>
              </w:rPr>
              <w:t>强氧化剂、强酸、强碱、卤素。</w:t>
            </w:r>
          </w:p>
        </w:tc>
      </w:tr>
      <w:tr w14:paraId="7AE2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179D8A3B">
            <w:pPr>
              <w:pStyle w:val="78"/>
              <w:rPr>
                <w:rFonts w:cs="Times New Roman"/>
                <w:szCs w:val="21"/>
              </w:rPr>
            </w:pPr>
            <w:r>
              <w:rPr>
                <w:rFonts w:cs="Times New Roman"/>
                <w:szCs w:val="21"/>
              </w:rPr>
              <w:t>毒性及健康危害</w:t>
            </w:r>
          </w:p>
        </w:tc>
        <w:tc>
          <w:tcPr>
            <w:tcW w:w="1559" w:type="dxa"/>
            <w:shd w:val="clear" w:color="000000" w:fill="FFFFFF"/>
            <w:vAlign w:val="center"/>
          </w:tcPr>
          <w:p w14:paraId="11CCCABC">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788A44D7">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：&gt;2000mg/kg（大鼠经口）；446mg/kg（小鼠静脉）</w:t>
            </w:r>
          </w:p>
          <w:p w14:paraId="6B7FF54C">
            <w:pPr>
              <w:pStyle w:val="78"/>
              <w:rPr>
                <w:rFonts w:cs="Times New Roman"/>
                <w:szCs w:val="21"/>
              </w:rPr>
            </w:pPr>
            <w:r>
              <w:rPr>
                <w:rFonts w:cs="Times New Roman"/>
                <w:szCs w:val="21"/>
              </w:rPr>
              <w:t>LC50：364g/m</w:t>
            </w:r>
            <w:r>
              <w:rPr>
                <w:rFonts w:cs="Times New Roman"/>
                <w:szCs w:val="21"/>
                <w:vertAlign w:val="superscript"/>
              </w:rPr>
              <w:t>3</w:t>
            </w:r>
            <w:r>
              <w:rPr>
                <w:rFonts w:cs="Times New Roman"/>
                <w:szCs w:val="21"/>
              </w:rPr>
              <w:t>（大鼠吸入，4h)</w:t>
            </w:r>
          </w:p>
        </w:tc>
        <w:tc>
          <w:tcPr>
            <w:tcW w:w="3969" w:type="dxa"/>
            <w:shd w:val="clear" w:color="000000" w:fill="FFFFFF"/>
            <w:vAlign w:val="center"/>
          </w:tcPr>
          <w:p w14:paraId="26F254EE">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：&gt;2000mg/kg（大鼠经口）；446mg/kg（小鼠静脉）</w:t>
            </w:r>
          </w:p>
          <w:p w14:paraId="39B0ECBA">
            <w:pPr>
              <w:pStyle w:val="78"/>
              <w:rPr>
                <w:rFonts w:cs="Times New Roman"/>
                <w:szCs w:val="21"/>
              </w:rPr>
            </w:pPr>
            <w:r>
              <w:rPr>
                <w:rFonts w:cs="Times New Roman"/>
                <w:szCs w:val="21"/>
              </w:rPr>
              <w:t>LC50：364g/m</w:t>
            </w:r>
            <w:r>
              <w:rPr>
                <w:rFonts w:cs="Times New Roman"/>
                <w:szCs w:val="21"/>
                <w:vertAlign w:val="superscript"/>
              </w:rPr>
              <w:t>3</w:t>
            </w:r>
            <w:r>
              <w:rPr>
                <w:rFonts w:cs="Times New Roman"/>
                <w:szCs w:val="21"/>
              </w:rPr>
              <w:t>（大鼠吸入，4h)</w:t>
            </w:r>
          </w:p>
        </w:tc>
        <w:tc>
          <w:tcPr>
            <w:tcW w:w="3827" w:type="dxa"/>
            <w:shd w:val="clear" w:color="000000" w:fill="FFFFFF"/>
            <w:vAlign w:val="center"/>
          </w:tcPr>
          <w:p w14:paraId="5376733C">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：12705mg/kg（大鼠经口）</w:t>
            </w:r>
          </w:p>
          <w:p w14:paraId="022FB292">
            <w:pPr>
              <w:pStyle w:val="78"/>
              <w:rPr>
                <w:rFonts w:cs="Times New Roman"/>
                <w:szCs w:val="21"/>
              </w:rPr>
            </w:pPr>
            <w:r>
              <w:rPr>
                <w:rFonts w:cs="Times New Roman"/>
                <w:szCs w:val="21"/>
              </w:rPr>
              <w:t>LD50：70000mg/m</w:t>
            </w:r>
            <w:r>
              <w:rPr>
                <w:rFonts w:cs="Times New Roman"/>
                <w:szCs w:val="21"/>
                <w:vertAlign w:val="superscript"/>
              </w:rPr>
              <w:t>3</w:t>
            </w:r>
            <w:r>
              <w:rPr>
                <w:rFonts w:cs="Times New Roman"/>
                <w:szCs w:val="21"/>
              </w:rPr>
              <w:t>（小鼠吸入，2h）</w:t>
            </w:r>
          </w:p>
        </w:tc>
      </w:tr>
      <w:tr w14:paraId="1778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51D78C6">
            <w:pPr>
              <w:pStyle w:val="78"/>
              <w:rPr>
                <w:rFonts w:cs="Times New Roman"/>
                <w:szCs w:val="21"/>
              </w:rPr>
            </w:pPr>
          </w:p>
        </w:tc>
        <w:tc>
          <w:tcPr>
            <w:tcW w:w="1559" w:type="dxa"/>
            <w:shd w:val="clear" w:color="000000" w:fill="FFFFFF"/>
            <w:vAlign w:val="center"/>
          </w:tcPr>
          <w:p w14:paraId="66AF19B8">
            <w:pPr>
              <w:pStyle w:val="78"/>
              <w:rPr>
                <w:rFonts w:cs="Times New Roman"/>
                <w:szCs w:val="21"/>
              </w:rPr>
            </w:pPr>
            <w:r>
              <w:rPr>
                <w:rFonts w:cs="Times New Roman"/>
                <w:szCs w:val="21"/>
              </w:rPr>
              <w:t>中毒途径</w:t>
            </w:r>
          </w:p>
        </w:tc>
        <w:tc>
          <w:tcPr>
            <w:tcW w:w="3969" w:type="dxa"/>
            <w:shd w:val="clear" w:color="000000" w:fill="FFFFFF"/>
            <w:noWrap/>
            <w:vAlign w:val="center"/>
          </w:tcPr>
          <w:p w14:paraId="667AA738">
            <w:pPr>
              <w:pStyle w:val="78"/>
              <w:rPr>
                <w:rFonts w:cs="Times New Roman"/>
                <w:szCs w:val="21"/>
              </w:rPr>
            </w:pPr>
            <w:r>
              <w:rPr>
                <w:rFonts w:cs="Times New Roman"/>
                <w:szCs w:val="21"/>
              </w:rPr>
              <w:t>吸入、食入</w:t>
            </w:r>
          </w:p>
        </w:tc>
        <w:tc>
          <w:tcPr>
            <w:tcW w:w="3969" w:type="dxa"/>
            <w:shd w:val="clear" w:color="000000" w:fill="FFFFFF"/>
            <w:noWrap/>
            <w:vAlign w:val="center"/>
          </w:tcPr>
          <w:p w14:paraId="0A6E0775">
            <w:pPr>
              <w:pStyle w:val="78"/>
              <w:rPr>
                <w:rFonts w:cs="Times New Roman"/>
                <w:szCs w:val="21"/>
              </w:rPr>
            </w:pPr>
            <w:r>
              <w:rPr>
                <w:rFonts w:cs="Times New Roman"/>
                <w:szCs w:val="21"/>
              </w:rPr>
              <w:t>吸入、食入</w:t>
            </w:r>
          </w:p>
        </w:tc>
        <w:tc>
          <w:tcPr>
            <w:tcW w:w="3827" w:type="dxa"/>
            <w:shd w:val="clear" w:color="000000" w:fill="FFFFFF"/>
            <w:noWrap/>
            <w:vAlign w:val="center"/>
          </w:tcPr>
          <w:p w14:paraId="3A20CD80">
            <w:pPr>
              <w:pStyle w:val="78"/>
              <w:rPr>
                <w:rFonts w:cs="Times New Roman"/>
                <w:szCs w:val="21"/>
              </w:rPr>
            </w:pPr>
            <w:r>
              <w:rPr>
                <w:rFonts w:cs="Times New Roman"/>
                <w:szCs w:val="21"/>
              </w:rPr>
              <w:t>吸入、食入</w:t>
            </w:r>
          </w:p>
        </w:tc>
      </w:tr>
      <w:tr w14:paraId="1B93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2AB1371">
            <w:pPr>
              <w:pStyle w:val="78"/>
              <w:rPr>
                <w:rFonts w:cs="Times New Roman"/>
                <w:szCs w:val="21"/>
              </w:rPr>
            </w:pPr>
          </w:p>
        </w:tc>
        <w:tc>
          <w:tcPr>
            <w:tcW w:w="1559" w:type="dxa"/>
            <w:shd w:val="clear" w:color="000000" w:fill="FFFFFF"/>
            <w:vAlign w:val="center"/>
          </w:tcPr>
          <w:p w14:paraId="78157824">
            <w:pPr>
              <w:pStyle w:val="78"/>
              <w:rPr>
                <w:rFonts w:cs="Times New Roman"/>
                <w:szCs w:val="21"/>
              </w:rPr>
            </w:pPr>
            <w:r>
              <w:rPr>
                <w:rFonts w:cs="Times New Roman"/>
                <w:szCs w:val="21"/>
              </w:rPr>
              <w:t>健康危害</w:t>
            </w:r>
          </w:p>
        </w:tc>
        <w:tc>
          <w:tcPr>
            <w:tcW w:w="3969" w:type="dxa"/>
            <w:shd w:val="clear" w:color="000000" w:fill="FFFFFF"/>
            <w:vAlign w:val="center"/>
          </w:tcPr>
          <w:p w14:paraId="6AAEEFB8">
            <w:pPr>
              <w:pStyle w:val="78"/>
              <w:rPr>
                <w:rFonts w:cs="Times New Roman"/>
                <w:szCs w:val="21"/>
              </w:rPr>
            </w:pPr>
            <w:r>
              <w:rPr>
                <w:rFonts w:cs="Times New Roman"/>
                <w:szCs w:val="21"/>
              </w:rPr>
              <w:t>高浓度可引起眼与呼吸道黏膜轻度刺激症状和麻醉状态，甚至意识丧失。液态本品吸入呼吸道可引起吸入性肺炎。</w:t>
            </w:r>
            <w:r>
              <w:rPr>
                <w:rFonts w:cs="Times New Roman"/>
                <w:szCs w:val="21"/>
              </w:rPr>
              <w:br w:type="textWrapping"/>
            </w:r>
            <w:r>
              <w:rPr>
                <w:rFonts w:cs="Times New Roman"/>
                <w:szCs w:val="21"/>
              </w:rPr>
              <w:t>慢性作用为眼和呼吸道的轻度刺激。可引起轻度皮炎。</w:t>
            </w:r>
          </w:p>
        </w:tc>
        <w:tc>
          <w:tcPr>
            <w:tcW w:w="3969" w:type="dxa"/>
            <w:shd w:val="clear" w:color="000000" w:fill="FFFFFF"/>
            <w:vAlign w:val="center"/>
          </w:tcPr>
          <w:p w14:paraId="542F5350">
            <w:pPr>
              <w:pStyle w:val="78"/>
              <w:rPr>
                <w:rFonts w:cs="Times New Roman"/>
                <w:szCs w:val="21"/>
              </w:rPr>
            </w:pPr>
            <w:r>
              <w:rPr>
                <w:rFonts w:cs="Times New Roman"/>
                <w:szCs w:val="21"/>
              </w:rPr>
              <w:t>高浓度可引起眼与呼吸道黏膜轻度刺激症状和麻醉状态，甚至意识丧失。液态本品吸入呼吸道可引起吸入性肺炎。</w:t>
            </w:r>
            <w:r>
              <w:rPr>
                <w:rFonts w:cs="Times New Roman"/>
                <w:szCs w:val="21"/>
              </w:rPr>
              <w:br w:type="textWrapping"/>
            </w:r>
            <w:r>
              <w:rPr>
                <w:rFonts w:cs="Times New Roman"/>
                <w:szCs w:val="21"/>
              </w:rPr>
              <w:t>慢性作用为眼和呼吸道的轻度刺激。可引起轻度皮炎。</w:t>
            </w:r>
          </w:p>
        </w:tc>
        <w:tc>
          <w:tcPr>
            <w:tcW w:w="3827" w:type="dxa"/>
            <w:shd w:val="clear" w:color="000000" w:fill="FFFFFF"/>
            <w:vAlign w:val="center"/>
          </w:tcPr>
          <w:p w14:paraId="369C0C5D">
            <w:pPr>
              <w:pStyle w:val="78"/>
              <w:rPr>
                <w:rFonts w:cs="Times New Roman"/>
                <w:szCs w:val="21"/>
              </w:rPr>
            </w:pPr>
            <w:r>
              <w:rPr>
                <w:rFonts w:cs="Times New Roman"/>
                <w:szCs w:val="21"/>
              </w:rPr>
              <w:t>对眼和上呼吸道有轻度刺激作用。持续吸入可引起头晕、恶心、倦睡和其他一些麻醉症状。液体污染皮肤可引起痒感。</w:t>
            </w:r>
          </w:p>
        </w:tc>
      </w:tr>
      <w:tr w14:paraId="04B3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6314724">
            <w:pPr>
              <w:pStyle w:val="78"/>
              <w:rPr>
                <w:rFonts w:cs="Times New Roman"/>
                <w:szCs w:val="21"/>
              </w:rPr>
            </w:pPr>
          </w:p>
        </w:tc>
        <w:tc>
          <w:tcPr>
            <w:tcW w:w="1559" w:type="dxa"/>
            <w:shd w:val="clear" w:color="000000" w:fill="FFFFFF"/>
            <w:noWrap/>
            <w:vAlign w:val="center"/>
          </w:tcPr>
          <w:p w14:paraId="5B83203F">
            <w:pPr>
              <w:pStyle w:val="78"/>
              <w:rPr>
                <w:rFonts w:cs="Times New Roman"/>
                <w:szCs w:val="21"/>
              </w:rPr>
            </w:pPr>
            <w:r>
              <w:rPr>
                <w:rFonts w:cs="Times New Roman"/>
                <w:szCs w:val="21"/>
              </w:rPr>
              <w:t>环境危害</w:t>
            </w:r>
          </w:p>
        </w:tc>
        <w:tc>
          <w:tcPr>
            <w:tcW w:w="3969" w:type="dxa"/>
            <w:shd w:val="clear" w:color="000000" w:fill="FFFFFF"/>
            <w:vAlign w:val="center"/>
          </w:tcPr>
          <w:p w14:paraId="5078E794">
            <w:pPr>
              <w:pStyle w:val="78"/>
              <w:rPr>
                <w:rFonts w:cs="Times New Roman"/>
                <w:szCs w:val="21"/>
              </w:rPr>
            </w:pPr>
            <w:r>
              <w:rPr>
                <w:rFonts w:cs="Times New Roman"/>
                <w:szCs w:val="21"/>
              </w:rPr>
              <w:t>对水生生物有毒。</w:t>
            </w:r>
          </w:p>
        </w:tc>
        <w:tc>
          <w:tcPr>
            <w:tcW w:w="3969" w:type="dxa"/>
            <w:shd w:val="clear" w:color="000000" w:fill="FFFFFF"/>
            <w:vAlign w:val="center"/>
          </w:tcPr>
          <w:p w14:paraId="4958F8AC">
            <w:pPr>
              <w:pStyle w:val="78"/>
              <w:rPr>
                <w:rFonts w:cs="Times New Roman"/>
                <w:szCs w:val="21"/>
              </w:rPr>
            </w:pPr>
            <w:r>
              <w:rPr>
                <w:rFonts w:cs="Times New Roman"/>
                <w:szCs w:val="21"/>
              </w:rPr>
              <w:t>对水生生物有毒。</w:t>
            </w:r>
          </w:p>
        </w:tc>
        <w:tc>
          <w:tcPr>
            <w:tcW w:w="3827" w:type="dxa"/>
            <w:shd w:val="clear" w:color="000000" w:fill="FFFFFF"/>
            <w:vAlign w:val="center"/>
          </w:tcPr>
          <w:p w14:paraId="7548CB81">
            <w:pPr>
              <w:pStyle w:val="78"/>
              <w:rPr>
                <w:rFonts w:cs="Times New Roman"/>
                <w:szCs w:val="21"/>
              </w:rPr>
            </w:pPr>
            <w:r>
              <w:rPr>
                <w:rFonts w:cs="Times New Roman"/>
                <w:szCs w:val="21"/>
              </w:rPr>
              <w:t>对水生生物毒性非常大。</w:t>
            </w:r>
          </w:p>
        </w:tc>
      </w:tr>
      <w:tr w14:paraId="7EC2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07597135">
            <w:pPr>
              <w:pStyle w:val="78"/>
              <w:rPr>
                <w:rFonts w:cs="Times New Roman"/>
                <w:szCs w:val="21"/>
              </w:rPr>
            </w:pPr>
            <w:r>
              <w:rPr>
                <w:rFonts w:cs="Times New Roman"/>
                <w:szCs w:val="21"/>
              </w:rPr>
              <w:t>应急措施</w:t>
            </w:r>
          </w:p>
        </w:tc>
        <w:tc>
          <w:tcPr>
            <w:tcW w:w="1559" w:type="dxa"/>
            <w:shd w:val="clear" w:color="000000" w:fill="FFFFFF"/>
            <w:noWrap/>
            <w:vAlign w:val="center"/>
          </w:tcPr>
          <w:p w14:paraId="0D58A0E0">
            <w:pPr>
              <w:pStyle w:val="78"/>
              <w:rPr>
                <w:rFonts w:cs="Times New Roman"/>
                <w:szCs w:val="21"/>
              </w:rPr>
            </w:pPr>
            <w:r>
              <w:rPr>
                <w:rFonts w:cs="Times New Roman"/>
                <w:szCs w:val="21"/>
              </w:rPr>
              <w:t>急救措施</w:t>
            </w:r>
          </w:p>
        </w:tc>
        <w:tc>
          <w:tcPr>
            <w:tcW w:w="3969" w:type="dxa"/>
            <w:shd w:val="clear" w:color="000000" w:fill="FFFFFF"/>
            <w:vAlign w:val="center"/>
          </w:tcPr>
          <w:p w14:paraId="1C2061B5">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漱口，饮水。禁止催吐。就医。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食入：漱口，饮水。禁止催吐。就医。</w:t>
            </w:r>
          </w:p>
        </w:tc>
        <w:tc>
          <w:tcPr>
            <w:tcW w:w="3969" w:type="dxa"/>
            <w:shd w:val="clear" w:color="000000" w:fill="FFFFFF"/>
            <w:vAlign w:val="center"/>
          </w:tcPr>
          <w:p w14:paraId="2151164D">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饮水，禁止催吐。就医。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食入：饮水，禁止催吐。就医。</w:t>
            </w:r>
          </w:p>
        </w:tc>
        <w:tc>
          <w:tcPr>
            <w:tcW w:w="3827" w:type="dxa"/>
            <w:shd w:val="clear" w:color="000000" w:fill="FFFFFF"/>
            <w:vAlign w:val="center"/>
          </w:tcPr>
          <w:p w14:paraId="3ED14EA1">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漱口，饮水。禁止催吐。就医。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食入：漱口，饮水。禁止催吐。就医。</w:t>
            </w:r>
          </w:p>
        </w:tc>
      </w:tr>
      <w:tr w14:paraId="3555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137052E">
            <w:pPr>
              <w:pStyle w:val="78"/>
              <w:rPr>
                <w:rFonts w:cs="Times New Roman"/>
                <w:szCs w:val="21"/>
              </w:rPr>
            </w:pPr>
          </w:p>
        </w:tc>
        <w:tc>
          <w:tcPr>
            <w:tcW w:w="1559" w:type="dxa"/>
            <w:shd w:val="clear" w:color="000000" w:fill="FFFFFF"/>
            <w:vAlign w:val="center"/>
          </w:tcPr>
          <w:p w14:paraId="36CE70D5">
            <w:pPr>
              <w:pStyle w:val="78"/>
              <w:rPr>
                <w:rFonts w:cs="Times New Roman"/>
                <w:szCs w:val="21"/>
              </w:rPr>
            </w:pPr>
            <w:r>
              <w:rPr>
                <w:rFonts w:cs="Times New Roman"/>
                <w:szCs w:val="21"/>
              </w:rPr>
              <w:t>泄漏应急处置</w:t>
            </w:r>
          </w:p>
        </w:tc>
        <w:tc>
          <w:tcPr>
            <w:tcW w:w="3969" w:type="dxa"/>
            <w:shd w:val="clear" w:color="000000" w:fill="FFFFFF"/>
            <w:vAlign w:val="center"/>
          </w:tcPr>
          <w:p w14:paraId="28CB5AEC">
            <w:pPr>
              <w:pStyle w:val="78"/>
              <w:rPr>
                <w:rFonts w:cs="Times New Roman"/>
                <w:szCs w:val="21"/>
              </w:rPr>
            </w:pPr>
            <w:r>
              <w:rPr>
                <w:rFonts w:cs="Times New Roman"/>
                <w:szCs w:val="21"/>
              </w:rPr>
              <w:t>小量泄漏：用砂土或其他不燃材料吸收。使用洁净的无火花工具收集吸收材料。大量泄漏：构筑围堤或挖坑收容。用砂土、惰性物质或蛭石吸收大量液体。用泡沫覆盖，减少蒸发。喷水雾能减少蒸发，但不能降低泄漏物在有限空间内的易燃性。用防爆泵转移至槽车或专用收集器内。</w:t>
            </w:r>
          </w:p>
        </w:tc>
        <w:tc>
          <w:tcPr>
            <w:tcW w:w="3969" w:type="dxa"/>
            <w:shd w:val="clear" w:color="000000" w:fill="FFFFFF"/>
            <w:vAlign w:val="center"/>
          </w:tcPr>
          <w:p w14:paraId="1C6BCFE0">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有限空间内的易燃性。用防爆泵转移至槽车或专用收集器内。</w:t>
            </w:r>
          </w:p>
        </w:tc>
        <w:tc>
          <w:tcPr>
            <w:tcW w:w="3827" w:type="dxa"/>
            <w:shd w:val="clear" w:color="000000" w:fill="FFFFFF"/>
            <w:vAlign w:val="center"/>
          </w:tcPr>
          <w:p w14:paraId="6F128A6E">
            <w:pPr>
              <w:pStyle w:val="78"/>
              <w:rPr>
                <w:rFonts w:cs="Times New Roman"/>
                <w:szCs w:val="21"/>
              </w:rPr>
            </w:pPr>
            <w:r>
              <w:rPr>
                <w:rFonts w:cs="Times New Roman"/>
                <w:szCs w:val="21"/>
              </w:rPr>
              <w:t>小量泄漏：用砂土或其他不燃材料吸收。使用洁净的无火花工具收集吸收材料。大量泄漏：构筑围堤或挖坑收容。用砂土、惰性物质或蛭石吸收大量液体。用泡沫覆盖，减少蒸发。喷水雾能减少蒸发，但不能降低泄漏物在有限空间内的易燃性。用防爆泵转移至槽车或专用收集器内。</w:t>
            </w:r>
          </w:p>
        </w:tc>
      </w:tr>
      <w:tr w14:paraId="486C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FAD2E13">
            <w:pPr>
              <w:pStyle w:val="78"/>
              <w:rPr>
                <w:rFonts w:cs="Times New Roman"/>
                <w:szCs w:val="21"/>
              </w:rPr>
            </w:pPr>
          </w:p>
        </w:tc>
        <w:tc>
          <w:tcPr>
            <w:tcW w:w="1559" w:type="dxa"/>
            <w:shd w:val="clear" w:color="000000" w:fill="FFFFFF"/>
            <w:noWrap/>
            <w:vAlign w:val="center"/>
          </w:tcPr>
          <w:p w14:paraId="21CD54E3">
            <w:pPr>
              <w:pStyle w:val="78"/>
              <w:rPr>
                <w:rFonts w:cs="Times New Roman"/>
                <w:szCs w:val="21"/>
              </w:rPr>
            </w:pPr>
            <w:r>
              <w:rPr>
                <w:rFonts w:cs="Times New Roman"/>
                <w:szCs w:val="21"/>
              </w:rPr>
              <w:t>灭火方法</w:t>
            </w:r>
          </w:p>
        </w:tc>
        <w:tc>
          <w:tcPr>
            <w:tcW w:w="3969" w:type="dxa"/>
            <w:shd w:val="clear" w:color="000000" w:fill="FFFFFF"/>
            <w:vAlign w:val="center"/>
          </w:tcPr>
          <w:p w14:paraId="5D3E54F7">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消防人员必须佩戴空气呼吸器、穿全身防火防毒服，在上风向灭火。喷水冷却容器，可能的话将容器从火场移至空旷处。容器突然发出异常声音或出现异常现象，应立即撤离。用水灭火无效。</w:t>
            </w:r>
          </w:p>
        </w:tc>
        <w:tc>
          <w:tcPr>
            <w:tcW w:w="3969" w:type="dxa"/>
            <w:shd w:val="clear" w:color="000000" w:fill="FFFFFF"/>
            <w:vAlign w:val="center"/>
          </w:tcPr>
          <w:p w14:paraId="3B4E7307">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消防人员必须佩戴空气呼吸器、穿全身防火防毒服，在上风向灭火。喷水冷却容器，可能的话将容器从火场移至空旷处。容器突然发出异常声音或出现异常现象，应立即撤离。用水灭火无效。</w:t>
            </w:r>
          </w:p>
        </w:tc>
        <w:tc>
          <w:tcPr>
            <w:tcW w:w="3827" w:type="dxa"/>
            <w:shd w:val="clear" w:color="000000" w:fill="FFFFFF"/>
            <w:vAlign w:val="center"/>
          </w:tcPr>
          <w:p w14:paraId="4B9FB194">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消防人员必须佩戴空气呼吸器、穿全身防火防毒服，在上风向灭火。喷水冷却容器，可能的话将容器从火场移至空旷处。容器突然发出异常声音或出现异常现象，应立即撤离。用水灭火无效。</w:t>
            </w:r>
          </w:p>
        </w:tc>
      </w:tr>
      <w:tr w14:paraId="63BE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7EBA32B1">
            <w:pPr>
              <w:pStyle w:val="78"/>
              <w:rPr>
                <w:rFonts w:cs="Times New Roman"/>
                <w:b/>
                <w:szCs w:val="21"/>
              </w:rPr>
            </w:pPr>
            <w:r>
              <w:rPr>
                <w:rFonts w:cs="Times New Roman"/>
                <w:b/>
                <w:szCs w:val="21"/>
              </w:rPr>
              <w:t>物质</w:t>
            </w:r>
          </w:p>
        </w:tc>
        <w:tc>
          <w:tcPr>
            <w:tcW w:w="3969" w:type="dxa"/>
            <w:shd w:val="clear" w:color="000000" w:fill="FFFFFF"/>
            <w:vAlign w:val="center"/>
          </w:tcPr>
          <w:p w14:paraId="4837B9DE">
            <w:pPr>
              <w:pStyle w:val="78"/>
              <w:rPr>
                <w:rFonts w:cs="Times New Roman"/>
                <w:b/>
                <w:szCs w:val="21"/>
              </w:rPr>
            </w:pPr>
            <w:r>
              <w:rPr>
                <w:rFonts w:cs="Times New Roman"/>
                <w:b/>
                <w:szCs w:val="21"/>
              </w:rPr>
              <w:t>C6烯烃</w:t>
            </w:r>
          </w:p>
        </w:tc>
        <w:tc>
          <w:tcPr>
            <w:tcW w:w="3969" w:type="dxa"/>
            <w:shd w:val="clear" w:color="000000" w:fill="FFFFFF"/>
            <w:vAlign w:val="center"/>
          </w:tcPr>
          <w:p w14:paraId="1CE2665F">
            <w:pPr>
              <w:pStyle w:val="78"/>
              <w:rPr>
                <w:rFonts w:cs="Times New Roman"/>
                <w:b/>
                <w:szCs w:val="21"/>
              </w:rPr>
            </w:pPr>
            <w:r>
              <w:rPr>
                <w:rFonts w:cs="Times New Roman"/>
                <w:b/>
                <w:szCs w:val="21"/>
              </w:rPr>
              <w:t>C7烷烃</w:t>
            </w:r>
          </w:p>
        </w:tc>
        <w:tc>
          <w:tcPr>
            <w:tcW w:w="3827" w:type="dxa"/>
            <w:shd w:val="clear" w:color="000000" w:fill="FFFFFF"/>
            <w:vAlign w:val="center"/>
          </w:tcPr>
          <w:p w14:paraId="347E137E">
            <w:pPr>
              <w:pStyle w:val="78"/>
              <w:rPr>
                <w:rFonts w:cs="Times New Roman"/>
                <w:b/>
                <w:szCs w:val="21"/>
              </w:rPr>
            </w:pPr>
            <w:r>
              <w:rPr>
                <w:rFonts w:cs="Times New Roman"/>
                <w:b/>
                <w:szCs w:val="21"/>
              </w:rPr>
              <w:t>C7烯烃</w:t>
            </w:r>
          </w:p>
        </w:tc>
      </w:tr>
      <w:tr w14:paraId="33B9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22F87824">
            <w:pPr>
              <w:pStyle w:val="78"/>
              <w:rPr>
                <w:rFonts w:cs="Times New Roman"/>
                <w:szCs w:val="21"/>
              </w:rPr>
            </w:pPr>
            <w:r>
              <w:rPr>
                <w:rFonts w:cs="Times New Roman"/>
                <w:szCs w:val="21"/>
              </w:rPr>
              <w:t>物化性质</w:t>
            </w:r>
          </w:p>
        </w:tc>
        <w:tc>
          <w:tcPr>
            <w:tcW w:w="1559" w:type="dxa"/>
            <w:shd w:val="clear" w:color="000000" w:fill="FFFFFF"/>
            <w:vAlign w:val="center"/>
          </w:tcPr>
          <w:p w14:paraId="3125C3BD">
            <w:pPr>
              <w:pStyle w:val="78"/>
              <w:rPr>
                <w:rFonts w:cs="Times New Roman"/>
                <w:szCs w:val="21"/>
              </w:rPr>
            </w:pPr>
            <w:r>
              <w:rPr>
                <w:rFonts w:cs="Times New Roman"/>
                <w:szCs w:val="21"/>
              </w:rPr>
              <w:t>CAS号</w:t>
            </w:r>
          </w:p>
        </w:tc>
        <w:tc>
          <w:tcPr>
            <w:tcW w:w="3969" w:type="dxa"/>
            <w:shd w:val="clear" w:color="000000" w:fill="FFFFFF"/>
            <w:vAlign w:val="center"/>
          </w:tcPr>
          <w:p w14:paraId="10D2E827">
            <w:pPr>
              <w:pStyle w:val="78"/>
              <w:rPr>
                <w:rFonts w:cs="Times New Roman"/>
                <w:szCs w:val="21"/>
              </w:rPr>
            </w:pPr>
            <w:r>
              <w:rPr>
                <w:rFonts w:cs="Times New Roman"/>
                <w:szCs w:val="21"/>
              </w:rPr>
              <w:t>110-83-8</w:t>
            </w:r>
          </w:p>
        </w:tc>
        <w:tc>
          <w:tcPr>
            <w:tcW w:w="3969" w:type="dxa"/>
            <w:shd w:val="clear" w:color="000000" w:fill="FFFFFF"/>
            <w:vAlign w:val="center"/>
          </w:tcPr>
          <w:p w14:paraId="0620E661">
            <w:pPr>
              <w:pStyle w:val="78"/>
              <w:rPr>
                <w:rFonts w:cs="Times New Roman"/>
                <w:szCs w:val="21"/>
              </w:rPr>
            </w:pPr>
            <w:r>
              <w:rPr>
                <w:rFonts w:cs="Times New Roman"/>
                <w:szCs w:val="21"/>
              </w:rPr>
              <w:t>142-82-5</w:t>
            </w:r>
          </w:p>
        </w:tc>
        <w:tc>
          <w:tcPr>
            <w:tcW w:w="3827" w:type="dxa"/>
            <w:shd w:val="clear" w:color="000000" w:fill="FFFFFF"/>
            <w:vAlign w:val="center"/>
          </w:tcPr>
          <w:p w14:paraId="3732D248">
            <w:pPr>
              <w:pStyle w:val="78"/>
              <w:rPr>
                <w:rFonts w:cs="Times New Roman"/>
                <w:szCs w:val="21"/>
              </w:rPr>
            </w:pPr>
            <w:r>
              <w:rPr>
                <w:rFonts w:cs="Times New Roman"/>
                <w:szCs w:val="21"/>
              </w:rPr>
              <w:t>592-76-7</w:t>
            </w:r>
          </w:p>
        </w:tc>
      </w:tr>
      <w:tr w14:paraId="58A4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FAF9883">
            <w:pPr>
              <w:pStyle w:val="78"/>
              <w:rPr>
                <w:rFonts w:cs="Times New Roman"/>
                <w:szCs w:val="21"/>
              </w:rPr>
            </w:pPr>
          </w:p>
        </w:tc>
        <w:tc>
          <w:tcPr>
            <w:tcW w:w="1559" w:type="dxa"/>
            <w:shd w:val="clear" w:color="000000" w:fill="FFFFFF"/>
            <w:vAlign w:val="center"/>
          </w:tcPr>
          <w:p w14:paraId="0E7ACDA8">
            <w:pPr>
              <w:pStyle w:val="78"/>
              <w:rPr>
                <w:rFonts w:cs="Times New Roman"/>
                <w:szCs w:val="21"/>
              </w:rPr>
            </w:pPr>
            <w:r>
              <w:rPr>
                <w:rFonts w:cs="Times New Roman"/>
                <w:szCs w:val="21"/>
              </w:rPr>
              <w:t>中文名称/别名</w:t>
            </w:r>
          </w:p>
        </w:tc>
        <w:tc>
          <w:tcPr>
            <w:tcW w:w="3969" w:type="dxa"/>
            <w:shd w:val="clear" w:color="000000" w:fill="FFFFFF"/>
            <w:vAlign w:val="center"/>
          </w:tcPr>
          <w:p w14:paraId="18306772">
            <w:pPr>
              <w:pStyle w:val="78"/>
              <w:rPr>
                <w:rFonts w:cs="Times New Roman"/>
                <w:szCs w:val="21"/>
              </w:rPr>
            </w:pPr>
            <w:r>
              <w:rPr>
                <w:rFonts w:cs="Times New Roman"/>
                <w:szCs w:val="21"/>
              </w:rPr>
              <w:t>环己烯;六亚萘基;四氢化苯</w:t>
            </w:r>
          </w:p>
        </w:tc>
        <w:tc>
          <w:tcPr>
            <w:tcW w:w="3969" w:type="dxa"/>
            <w:shd w:val="clear" w:color="000000" w:fill="FFFFFF"/>
            <w:vAlign w:val="center"/>
          </w:tcPr>
          <w:p w14:paraId="13FD49D9">
            <w:pPr>
              <w:pStyle w:val="78"/>
              <w:rPr>
                <w:rFonts w:cs="Times New Roman"/>
                <w:szCs w:val="21"/>
              </w:rPr>
            </w:pPr>
            <w:r>
              <w:rPr>
                <w:rFonts w:cs="Times New Roman"/>
                <w:szCs w:val="21"/>
              </w:rPr>
              <w:t>正庚烷;庚烷</w:t>
            </w:r>
          </w:p>
        </w:tc>
        <w:tc>
          <w:tcPr>
            <w:tcW w:w="3827" w:type="dxa"/>
            <w:shd w:val="clear" w:color="000000" w:fill="FFFFFF"/>
            <w:vAlign w:val="center"/>
          </w:tcPr>
          <w:p w14:paraId="7706BD9B">
            <w:pPr>
              <w:pStyle w:val="78"/>
              <w:rPr>
                <w:rFonts w:cs="Times New Roman"/>
                <w:szCs w:val="21"/>
              </w:rPr>
            </w:pPr>
            <w:r>
              <w:rPr>
                <w:rFonts w:cs="Times New Roman"/>
                <w:szCs w:val="21"/>
              </w:rPr>
              <w:t>1-庚烯;正庚烯</w:t>
            </w:r>
          </w:p>
        </w:tc>
      </w:tr>
      <w:tr w14:paraId="3D74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5ED2A9D">
            <w:pPr>
              <w:pStyle w:val="78"/>
              <w:rPr>
                <w:rFonts w:cs="Times New Roman"/>
                <w:szCs w:val="21"/>
              </w:rPr>
            </w:pPr>
          </w:p>
        </w:tc>
        <w:tc>
          <w:tcPr>
            <w:tcW w:w="1559" w:type="dxa"/>
            <w:shd w:val="clear" w:color="000000" w:fill="FFFFFF"/>
            <w:vAlign w:val="center"/>
          </w:tcPr>
          <w:p w14:paraId="3688A6B2">
            <w:pPr>
              <w:pStyle w:val="78"/>
              <w:rPr>
                <w:rFonts w:cs="Times New Roman"/>
                <w:szCs w:val="21"/>
              </w:rPr>
            </w:pPr>
            <w:r>
              <w:rPr>
                <w:rFonts w:cs="Times New Roman"/>
                <w:szCs w:val="21"/>
              </w:rPr>
              <w:t>分子式</w:t>
            </w:r>
          </w:p>
        </w:tc>
        <w:tc>
          <w:tcPr>
            <w:tcW w:w="3969" w:type="dxa"/>
            <w:shd w:val="clear" w:color="000000" w:fill="FFFFFF"/>
            <w:noWrap/>
            <w:vAlign w:val="center"/>
          </w:tcPr>
          <w:p w14:paraId="336FD674">
            <w:pPr>
              <w:pStyle w:val="78"/>
              <w:rPr>
                <w:rFonts w:cs="Times New Roman"/>
                <w:szCs w:val="21"/>
              </w:rPr>
            </w:pPr>
            <w:r>
              <w:rPr>
                <w:rFonts w:cs="Times New Roman"/>
                <w:szCs w:val="21"/>
              </w:rPr>
              <w:t>C</w:t>
            </w:r>
            <w:r>
              <w:rPr>
                <w:rFonts w:cs="Times New Roman"/>
                <w:szCs w:val="21"/>
                <w:vertAlign w:val="subscript"/>
              </w:rPr>
              <w:t>6</w:t>
            </w:r>
            <w:r>
              <w:rPr>
                <w:rFonts w:cs="Times New Roman"/>
                <w:szCs w:val="21"/>
              </w:rPr>
              <w:t>H</w:t>
            </w:r>
            <w:r>
              <w:rPr>
                <w:rFonts w:cs="Times New Roman"/>
                <w:szCs w:val="21"/>
                <w:vertAlign w:val="subscript"/>
              </w:rPr>
              <w:t>10</w:t>
            </w:r>
          </w:p>
        </w:tc>
        <w:tc>
          <w:tcPr>
            <w:tcW w:w="3969" w:type="dxa"/>
            <w:shd w:val="clear" w:color="000000" w:fill="FFFFFF"/>
            <w:noWrap/>
            <w:vAlign w:val="center"/>
          </w:tcPr>
          <w:p w14:paraId="6482E72C">
            <w:pPr>
              <w:pStyle w:val="78"/>
              <w:rPr>
                <w:rFonts w:cs="Times New Roman"/>
                <w:szCs w:val="21"/>
              </w:rPr>
            </w:pPr>
            <w:r>
              <w:rPr>
                <w:rFonts w:cs="Times New Roman"/>
                <w:szCs w:val="21"/>
              </w:rPr>
              <w:t>C</w:t>
            </w:r>
            <w:r>
              <w:rPr>
                <w:rFonts w:cs="Times New Roman"/>
                <w:szCs w:val="21"/>
                <w:vertAlign w:val="subscript"/>
              </w:rPr>
              <w:t>7</w:t>
            </w:r>
            <w:r>
              <w:rPr>
                <w:rFonts w:cs="Times New Roman"/>
                <w:szCs w:val="21"/>
              </w:rPr>
              <w:t>H</w:t>
            </w:r>
            <w:r>
              <w:rPr>
                <w:rFonts w:cs="Times New Roman"/>
                <w:szCs w:val="21"/>
                <w:vertAlign w:val="subscript"/>
              </w:rPr>
              <w:t>16</w:t>
            </w:r>
          </w:p>
        </w:tc>
        <w:tc>
          <w:tcPr>
            <w:tcW w:w="3827" w:type="dxa"/>
            <w:shd w:val="clear" w:color="000000" w:fill="FFFFFF"/>
            <w:noWrap/>
            <w:vAlign w:val="center"/>
          </w:tcPr>
          <w:p w14:paraId="0CEB6452">
            <w:pPr>
              <w:pStyle w:val="78"/>
              <w:rPr>
                <w:rFonts w:cs="Times New Roman"/>
                <w:szCs w:val="21"/>
              </w:rPr>
            </w:pPr>
            <w:r>
              <w:rPr>
                <w:rFonts w:cs="Times New Roman"/>
                <w:szCs w:val="21"/>
              </w:rPr>
              <w:t>C</w:t>
            </w:r>
            <w:r>
              <w:rPr>
                <w:rFonts w:cs="Times New Roman"/>
                <w:szCs w:val="21"/>
                <w:vertAlign w:val="subscript"/>
              </w:rPr>
              <w:t>7</w:t>
            </w:r>
            <w:r>
              <w:rPr>
                <w:rFonts w:cs="Times New Roman"/>
                <w:szCs w:val="21"/>
              </w:rPr>
              <w:t>H</w:t>
            </w:r>
            <w:r>
              <w:rPr>
                <w:rFonts w:cs="Times New Roman"/>
                <w:szCs w:val="21"/>
                <w:vertAlign w:val="subscript"/>
              </w:rPr>
              <w:t>14</w:t>
            </w:r>
          </w:p>
        </w:tc>
      </w:tr>
      <w:tr w14:paraId="1183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216929C">
            <w:pPr>
              <w:pStyle w:val="78"/>
              <w:rPr>
                <w:rFonts w:cs="Times New Roman"/>
                <w:szCs w:val="21"/>
              </w:rPr>
            </w:pPr>
          </w:p>
        </w:tc>
        <w:tc>
          <w:tcPr>
            <w:tcW w:w="1559" w:type="dxa"/>
            <w:shd w:val="clear" w:color="000000" w:fill="FFFFFF"/>
            <w:vAlign w:val="center"/>
          </w:tcPr>
          <w:p w14:paraId="27033800">
            <w:pPr>
              <w:pStyle w:val="78"/>
              <w:rPr>
                <w:rFonts w:cs="Times New Roman"/>
                <w:szCs w:val="21"/>
              </w:rPr>
            </w:pPr>
            <w:r>
              <w:rPr>
                <w:rFonts w:cs="Times New Roman"/>
                <w:szCs w:val="21"/>
              </w:rPr>
              <w:t>分子量</w:t>
            </w:r>
          </w:p>
        </w:tc>
        <w:tc>
          <w:tcPr>
            <w:tcW w:w="3969" w:type="dxa"/>
            <w:shd w:val="clear" w:color="000000" w:fill="FFFFFF"/>
            <w:noWrap/>
            <w:vAlign w:val="center"/>
          </w:tcPr>
          <w:p w14:paraId="41881CDC">
            <w:pPr>
              <w:pStyle w:val="78"/>
              <w:rPr>
                <w:rFonts w:cs="Times New Roman"/>
                <w:szCs w:val="21"/>
              </w:rPr>
            </w:pPr>
            <w:r>
              <w:rPr>
                <w:rFonts w:cs="Times New Roman"/>
                <w:szCs w:val="21"/>
              </w:rPr>
              <w:t>82.14</w:t>
            </w:r>
          </w:p>
        </w:tc>
        <w:tc>
          <w:tcPr>
            <w:tcW w:w="3969" w:type="dxa"/>
            <w:shd w:val="clear" w:color="000000" w:fill="FFFFFF"/>
            <w:noWrap/>
            <w:vAlign w:val="center"/>
          </w:tcPr>
          <w:p w14:paraId="1DC7FAFE">
            <w:pPr>
              <w:pStyle w:val="78"/>
              <w:rPr>
                <w:rFonts w:cs="Times New Roman"/>
                <w:szCs w:val="21"/>
              </w:rPr>
            </w:pPr>
            <w:r>
              <w:rPr>
                <w:rFonts w:cs="Times New Roman"/>
                <w:szCs w:val="21"/>
              </w:rPr>
              <w:t>100.2</w:t>
            </w:r>
          </w:p>
        </w:tc>
        <w:tc>
          <w:tcPr>
            <w:tcW w:w="3827" w:type="dxa"/>
            <w:shd w:val="clear" w:color="000000" w:fill="FFFFFF"/>
            <w:noWrap/>
            <w:vAlign w:val="center"/>
          </w:tcPr>
          <w:p w14:paraId="1BF4984D">
            <w:pPr>
              <w:pStyle w:val="78"/>
              <w:rPr>
                <w:rFonts w:cs="Times New Roman"/>
                <w:szCs w:val="21"/>
              </w:rPr>
            </w:pPr>
            <w:r>
              <w:rPr>
                <w:rFonts w:cs="Times New Roman"/>
                <w:szCs w:val="21"/>
              </w:rPr>
              <w:t>98.19</w:t>
            </w:r>
          </w:p>
        </w:tc>
      </w:tr>
      <w:tr w14:paraId="3DE4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B06F0E7">
            <w:pPr>
              <w:pStyle w:val="78"/>
              <w:rPr>
                <w:rFonts w:cs="Times New Roman"/>
                <w:szCs w:val="21"/>
              </w:rPr>
            </w:pPr>
          </w:p>
        </w:tc>
        <w:tc>
          <w:tcPr>
            <w:tcW w:w="1559" w:type="dxa"/>
            <w:shd w:val="clear" w:color="000000" w:fill="FFFFFF"/>
            <w:vAlign w:val="center"/>
          </w:tcPr>
          <w:p w14:paraId="5454CF3E">
            <w:pPr>
              <w:pStyle w:val="78"/>
              <w:rPr>
                <w:rFonts w:cs="Times New Roman"/>
                <w:szCs w:val="21"/>
              </w:rPr>
            </w:pPr>
            <w:r>
              <w:rPr>
                <w:rFonts w:cs="Times New Roman"/>
                <w:szCs w:val="21"/>
              </w:rPr>
              <w:t>外观性状</w:t>
            </w:r>
          </w:p>
        </w:tc>
        <w:tc>
          <w:tcPr>
            <w:tcW w:w="3969" w:type="dxa"/>
            <w:shd w:val="clear" w:color="000000" w:fill="FFFFFF"/>
            <w:vAlign w:val="center"/>
          </w:tcPr>
          <w:p w14:paraId="549F6B25">
            <w:pPr>
              <w:pStyle w:val="78"/>
              <w:rPr>
                <w:rFonts w:cs="Times New Roman"/>
                <w:szCs w:val="21"/>
              </w:rPr>
            </w:pPr>
            <w:r>
              <w:rPr>
                <w:rFonts w:cs="Times New Roman"/>
                <w:szCs w:val="21"/>
              </w:rPr>
              <w:t>无色透明液体，有特殊刺激性气味。</w:t>
            </w:r>
          </w:p>
        </w:tc>
        <w:tc>
          <w:tcPr>
            <w:tcW w:w="3969" w:type="dxa"/>
            <w:shd w:val="clear" w:color="000000" w:fill="FFFFFF"/>
            <w:vAlign w:val="center"/>
          </w:tcPr>
          <w:p w14:paraId="02DE3A52">
            <w:pPr>
              <w:pStyle w:val="78"/>
              <w:rPr>
                <w:rFonts w:cs="Times New Roman"/>
                <w:szCs w:val="21"/>
              </w:rPr>
            </w:pPr>
            <w:r>
              <w:rPr>
                <w:rFonts w:cs="Times New Roman"/>
                <w:szCs w:val="21"/>
              </w:rPr>
              <w:t>无色透明易挥发液体。</w:t>
            </w:r>
          </w:p>
        </w:tc>
        <w:tc>
          <w:tcPr>
            <w:tcW w:w="3827" w:type="dxa"/>
            <w:shd w:val="clear" w:color="000000" w:fill="FFFFFF"/>
            <w:vAlign w:val="center"/>
          </w:tcPr>
          <w:p w14:paraId="22700108">
            <w:pPr>
              <w:pStyle w:val="78"/>
              <w:rPr>
                <w:rFonts w:cs="Times New Roman"/>
                <w:szCs w:val="21"/>
              </w:rPr>
            </w:pPr>
            <w:r>
              <w:rPr>
                <w:rFonts w:cs="Times New Roman"/>
                <w:szCs w:val="21"/>
              </w:rPr>
              <w:t>无色透明液体。</w:t>
            </w:r>
          </w:p>
        </w:tc>
      </w:tr>
      <w:tr w14:paraId="6823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A8F3D0A">
            <w:pPr>
              <w:pStyle w:val="78"/>
              <w:rPr>
                <w:rFonts w:cs="Times New Roman"/>
                <w:szCs w:val="21"/>
              </w:rPr>
            </w:pPr>
          </w:p>
        </w:tc>
        <w:tc>
          <w:tcPr>
            <w:tcW w:w="1559" w:type="dxa"/>
            <w:shd w:val="clear" w:color="000000" w:fill="FFFFFF"/>
            <w:vAlign w:val="center"/>
          </w:tcPr>
          <w:p w14:paraId="642599B3">
            <w:pPr>
              <w:pStyle w:val="78"/>
              <w:rPr>
                <w:rFonts w:cs="Times New Roman"/>
                <w:szCs w:val="21"/>
              </w:rPr>
            </w:pPr>
            <w:r>
              <w:rPr>
                <w:rFonts w:cs="Times New Roman"/>
                <w:szCs w:val="21"/>
              </w:rPr>
              <w:t>沸点，℃</w:t>
            </w:r>
          </w:p>
        </w:tc>
        <w:tc>
          <w:tcPr>
            <w:tcW w:w="3969" w:type="dxa"/>
            <w:shd w:val="clear" w:color="000000" w:fill="FFFFFF"/>
            <w:vAlign w:val="center"/>
          </w:tcPr>
          <w:p w14:paraId="1186459E">
            <w:pPr>
              <w:pStyle w:val="78"/>
              <w:rPr>
                <w:rFonts w:cs="Times New Roman"/>
                <w:szCs w:val="21"/>
              </w:rPr>
            </w:pPr>
            <w:r>
              <w:rPr>
                <w:rFonts w:cs="Times New Roman"/>
                <w:szCs w:val="21"/>
              </w:rPr>
              <w:t>83.0</w:t>
            </w:r>
          </w:p>
        </w:tc>
        <w:tc>
          <w:tcPr>
            <w:tcW w:w="3969" w:type="dxa"/>
            <w:shd w:val="clear" w:color="000000" w:fill="FFFFFF"/>
            <w:vAlign w:val="center"/>
          </w:tcPr>
          <w:p w14:paraId="67296CDA">
            <w:pPr>
              <w:pStyle w:val="78"/>
              <w:rPr>
                <w:rFonts w:cs="Times New Roman"/>
                <w:szCs w:val="21"/>
              </w:rPr>
            </w:pPr>
            <w:r>
              <w:rPr>
                <w:rFonts w:cs="Times New Roman"/>
                <w:szCs w:val="21"/>
              </w:rPr>
              <w:t>98.5</w:t>
            </w:r>
          </w:p>
        </w:tc>
        <w:tc>
          <w:tcPr>
            <w:tcW w:w="3827" w:type="dxa"/>
            <w:shd w:val="clear" w:color="000000" w:fill="FFFFFF"/>
            <w:vAlign w:val="center"/>
          </w:tcPr>
          <w:p w14:paraId="3B41D8B6">
            <w:pPr>
              <w:pStyle w:val="78"/>
              <w:rPr>
                <w:rFonts w:cs="Times New Roman"/>
                <w:szCs w:val="21"/>
              </w:rPr>
            </w:pPr>
            <w:r>
              <w:rPr>
                <w:rFonts w:cs="Times New Roman"/>
                <w:szCs w:val="21"/>
              </w:rPr>
              <w:t>93.6</w:t>
            </w:r>
          </w:p>
        </w:tc>
      </w:tr>
      <w:tr w14:paraId="0C06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99A7764">
            <w:pPr>
              <w:pStyle w:val="78"/>
              <w:rPr>
                <w:rFonts w:cs="Times New Roman"/>
                <w:szCs w:val="21"/>
              </w:rPr>
            </w:pPr>
          </w:p>
        </w:tc>
        <w:tc>
          <w:tcPr>
            <w:tcW w:w="1559" w:type="dxa"/>
            <w:shd w:val="clear" w:color="000000" w:fill="FFFFFF"/>
            <w:vAlign w:val="center"/>
          </w:tcPr>
          <w:p w14:paraId="75E308D9">
            <w:pPr>
              <w:pStyle w:val="78"/>
              <w:rPr>
                <w:rFonts w:cs="Times New Roman"/>
                <w:szCs w:val="21"/>
              </w:rPr>
            </w:pPr>
            <w:r>
              <w:rPr>
                <w:rFonts w:cs="Times New Roman"/>
                <w:szCs w:val="21"/>
              </w:rPr>
              <w:t>熔点，℃</w:t>
            </w:r>
          </w:p>
        </w:tc>
        <w:tc>
          <w:tcPr>
            <w:tcW w:w="3969" w:type="dxa"/>
            <w:shd w:val="clear" w:color="000000" w:fill="FFFFFF"/>
            <w:vAlign w:val="center"/>
          </w:tcPr>
          <w:p w14:paraId="21D75EA6">
            <w:pPr>
              <w:pStyle w:val="78"/>
              <w:rPr>
                <w:rFonts w:cs="Times New Roman"/>
                <w:szCs w:val="21"/>
              </w:rPr>
            </w:pPr>
            <w:r>
              <w:rPr>
                <w:rFonts w:cs="Times New Roman"/>
                <w:szCs w:val="21"/>
              </w:rPr>
              <w:t>-104</w:t>
            </w:r>
          </w:p>
        </w:tc>
        <w:tc>
          <w:tcPr>
            <w:tcW w:w="3969" w:type="dxa"/>
            <w:shd w:val="clear" w:color="000000" w:fill="FFFFFF"/>
            <w:vAlign w:val="center"/>
          </w:tcPr>
          <w:p w14:paraId="5E56DCD8">
            <w:pPr>
              <w:pStyle w:val="78"/>
              <w:rPr>
                <w:rFonts w:cs="Times New Roman"/>
                <w:szCs w:val="21"/>
              </w:rPr>
            </w:pPr>
            <w:r>
              <w:rPr>
                <w:rFonts w:cs="Times New Roman"/>
                <w:szCs w:val="21"/>
              </w:rPr>
              <w:t>-90.5</w:t>
            </w:r>
          </w:p>
        </w:tc>
        <w:tc>
          <w:tcPr>
            <w:tcW w:w="3827" w:type="dxa"/>
            <w:shd w:val="clear" w:color="000000" w:fill="FFFFFF"/>
            <w:vAlign w:val="center"/>
          </w:tcPr>
          <w:p w14:paraId="456342CE">
            <w:pPr>
              <w:pStyle w:val="78"/>
              <w:rPr>
                <w:rFonts w:cs="Times New Roman"/>
                <w:szCs w:val="21"/>
              </w:rPr>
            </w:pPr>
            <w:r>
              <w:rPr>
                <w:rFonts w:cs="Times New Roman"/>
                <w:szCs w:val="21"/>
              </w:rPr>
              <w:t>-119.7</w:t>
            </w:r>
          </w:p>
        </w:tc>
      </w:tr>
      <w:tr w14:paraId="4AFE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65DBB66">
            <w:pPr>
              <w:pStyle w:val="78"/>
              <w:rPr>
                <w:rFonts w:cs="Times New Roman"/>
                <w:szCs w:val="21"/>
              </w:rPr>
            </w:pPr>
          </w:p>
        </w:tc>
        <w:tc>
          <w:tcPr>
            <w:tcW w:w="1559" w:type="dxa"/>
            <w:shd w:val="clear" w:color="000000" w:fill="FFFFFF"/>
            <w:vAlign w:val="center"/>
          </w:tcPr>
          <w:p w14:paraId="04EB2BAC">
            <w:pPr>
              <w:pStyle w:val="78"/>
              <w:rPr>
                <w:rFonts w:cs="Times New Roman"/>
                <w:szCs w:val="21"/>
              </w:rPr>
            </w:pPr>
            <w:r>
              <w:rPr>
                <w:rFonts w:cs="Times New Roman"/>
                <w:szCs w:val="21"/>
              </w:rPr>
              <w:t>饱和蒸汽压，kPa</w:t>
            </w:r>
          </w:p>
        </w:tc>
        <w:tc>
          <w:tcPr>
            <w:tcW w:w="3969" w:type="dxa"/>
            <w:shd w:val="clear" w:color="000000" w:fill="FFFFFF"/>
            <w:vAlign w:val="center"/>
          </w:tcPr>
          <w:p w14:paraId="4CF72373">
            <w:pPr>
              <w:pStyle w:val="78"/>
              <w:rPr>
                <w:rFonts w:cs="Times New Roman"/>
                <w:szCs w:val="21"/>
              </w:rPr>
            </w:pPr>
            <w:r>
              <w:rPr>
                <w:rFonts w:cs="Times New Roman"/>
                <w:szCs w:val="21"/>
              </w:rPr>
              <w:t>8.9(20℃)</w:t>
            </w:r>
          </w:p>
        </w:tc>
        <w:tc>
          <w:tcPr>
            <w:tcW w:w="3969" w:type="dxa"/>
            <w:shd w:val="clear" w:color="000000" w:fill="FFFFFF"/>
            <w:vAlign w:val="center"/>
          </w:tcPr>
          <w:p w14:paraId="4017D4EF">
            <w:pPr>
              <w:pStyle w:val="78"/>
              <w:rPr>
                <w:rFonts w:cs="Times New Roman"/>
                <w:szCs w:val="21"/>
              </w:rPr>
            </w:pPr>
            <w:r>
              <w:rPr>
                <w:rFonts w:cs="Times New Roman"/>
                <w:szCs w:val="21"/>
              </w:rPr>
              <w:t>6.36(25℃)</w:t>
            </w:r>
          </w:p>
        </w:tc>
        <w:tc>
          <w:tcPr>
            <w:tcW w:w="3827" w:type="dxa"/>
            <w:shd w:val="clear" w:color="000000" w:fill="FFFFFF"/>
            <w:vAlign w:val="center"/>
          </w:tcPr>
          <w:p w14:paraId="6D50ACB6">
            <w:pPr>
              <w:pStyle w:val="78"/>
              <w:rPr>
                <w:rFonts w:cs="Times New Roman"/>
                <w:szCs w:val="21"/>
              </w:rPr>
            </w:pPr>
            <w:r>
              <w:rPr>
                <w:rFonts w:cs="Times New Roman"/>
                <w:szCs w:val="21"/>
              </w:rPr>
              <w:t>13.4(37.7℃)</w:t>
            </w:r>
          </w:p>
        </w:tc>
      </w:tr>
      <w:tr w14:paraId="1CD4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2AD07132">
            <w:pPr>
              <w:pStyle w:val="78"/>
              <w:rPr>
                <w:rFonts w:cs="Times New Roman"/>
                <w:szCs w:val="21"/>
              </w:rPr>
            </w:pPr>
            <w:r>
              <w:rPr>
                <w:rFonts w:cs="Times New Roman"/>
                <w:szCs w:val="21"/>
              </w:rPr>
              <w:t>危险性类别</w:t>
            </w:r>
          </w:p>
        </w:tc>
        <w:tc>
          <w:tcPr>
            <w:tcW w:w="3969" w:type="dxa"/>
            <w:shd w:val="clear" w:color="000000" w:fill="FFFFFF"/>
            <w:vAlign w:val="center"/>
          </w:tcPr>
          <w:p w14:paraId="19934FA7">
            <w:pPr>
              <w:pStyle w:val="78"/>
              <w:rPr>
                <w:rFonts w:cs="Times New Roman"/>
                <w:szCs w:val="21"/>
              </w:rPr>
            </w:pPr>
            <w:r>
              <w:rPr>
                <w:rFonts w:cs="Times New Roman"/>
                <w:szCs w:val="21"/>
              </w:rPr>
              <w:t>易燃液体,类别2,严重眼损伤/眼刺激,类别2,特异性靶器官毒性-一次接触,类别3（呼吸道刺激，麻醉效应）,吸入危害,类别1,危害水生环境-急性危害,类别2,危害水生环境-长期危害,类别2</w:t>
            </w:r>
          </w:p>
        </w:tc>
        <w:tc>
          <w:tcPr>
            <w:tcW w:w="3969" w:type="dxa"/>
            <w:shd w:val="clear" w:color="000000" w:fill="FFFFFF"/>
            <w:vAlign w:val="center"/>
          </w:tcPr>
          <w:p w14:paraId="43636DE5">
            <w:pPr>
              <w:pStyle w:val="78"/>
              <w:rPr>
                <w:rFonts w:cs="Times New Roman"/>
                <w:szCs w:val="21"/>
              </w:rPr>
            </w:pPr>
            <w:r>
              <w:rPr>
                <w:rFonts w:cs="Times New Roman"/>
                <w:szCs w:val="21"/>
              </w:rPr>
              <w:t>易燃液体,类别2,皮肤腐蚀/刺激,类别2,特异性靶器官毒性-一次接触,类别3（麻醉效应）,吸入危害,类别1,危害水生环境-急性危害,类别1,危害水生环境-长期危害,类别1</w:t>
            </w:r>
          </w:p>
        </w:tc>
        <w:tc>
          <w:tcPr>
            <w:tcW w:w="3827" w:type="dxa"/>
            <w:shd w:val="clear" w:color="000000" w:fill="FFFFFF"/>
            <w:vAlign w:val="center"/>
          </w:tcPr>
          <w:p w14:paraId="587BB4D2">
            <w:pPr>
              <w:pStyle w:val="78"/>
              <w:rPr>
                <w:rFonts w:cs="Times New Roman"/>
                <w:szCs w:val="21"/>
              </w:rPr>
            </w:pPr>
            <w:r>
              <w:rPr>
                <w:rFonts w:cs="Times New Roman"/>
                <w:szCs w:val="21"/>
              </w:rPr>
              <w:t>易燃液体,类别2,特异性靶器官毒性-一次接触,类别3（麻醉效应）,吸入危害,类别1</w:t>
            </w:r>
          </w:p>
        </w:tc>
      </w:tr>
      <w:tr w14:paraId="2A01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26DD675A">
            <w:pPr>
              <w:pStyle w:val="78"/>
              <w:rPr>
                <w:rFonts w:cs="Times New Roman"/>
                <w:szCs w:val="21"/>
              </w:rPr>
            </w:pPr>
            <w:r>
              <w:rPr>
                <w:rFonts w:cs="Times New Roman"/>
                <w:szCs w:val="21"/>
              </w:rPr>
              <w:t>危险特性</w:t>
            </w:r>
          </w:p>
        </w:tc>
        <w:tc>
          <w:tcPr>
            <w:tcW w:w="3969" w:type="dxa"/>
            <w:shd w:val="clear" w:color="000000" w:fill="FFFFFF"/>
            <w:vAlign w:val="center"/>
          </w:tcPr>
          <w:p w14:paraId="16D2B699">
            <w:pPr>
              <w:pStyle w:val="78"/>
              <w:rPr>
                <w:rFonts w:cs="Times New Roman"/>
                <w:szCs w:val="21"/>
              </w:rPr>
            </w:pPr>
            <w:r>
              <w:rPr>
                <w:rFonts w:cs="Times New Roman"/>
                <w:szCs w:val="21"/>
              </w:rPr>
              <w:t>高度易燃，其蒸气与空气混合，能形成爆炸性混合物。</w:t>
            </w:r>
          </w:p>
          <w:p w14:paraId="2CB3C953">
            <w:pPr>
              <w:pStyle w:val="78"/>
              <w:rPr>
                <w:rFonts w:cs="Times New Roman"/>
                <w:szCs w:val="21"/>
              </w:rPr>
            </w:pPr>
            <w:r>
              <w:rPr>
                <w:rFonts w:cs="Times New Roman"/>
                <w:szCs w:val="21"/>
              </w:rPr>
              <w:t>与强氧化剂等禁配物接触，有发生火灾和爆炸的危险。长期储存下可能生成过氧化物。</w:t>
            </w:r>
          </w:p>
        </w:tc>
        <w:tc>
          <w:tcPr>
            <w:tcW w:w="3969" w:type="dxa"/>
            <w:shd w:val="clear" w:color="000000" w:fill="FFFFFF"/>
            <w:vAlign w:val="center"/>
          </w:tcPr>
          <w:p w14:paraId="083F4268">
            <w:pPr>
              <w:pStyle w:val="78"/>
              <w:rPr>
                <w:rFonts w:cs="Times New Roman"/>
                <w:szCs w:val="21"/>
              </w:rPr>
            </w:pPr>
            <w:r>
              <w:rPr>
                <w:rFonts w:cs="Times New Roman"/>
                <w:szCs w:val="21"/>
              </w:rPr>
              <w:t>高度易燃，其蒸气与空气混合，能形成爆炸性混合物。</w:t>
            </w:r>
          </w:p>
          <w:p w14:paraId="7DE34DAB">
            <w:pPr>
              <w:pStyle w:val="78"/>
              <w:rPr>
                <w:rFonts w:cs="Times New Roman"/>
                <w:szCs w:val="21"/>
              </w:rPr>
            </w:pPr>
            <w:r>
              <w:rPr>
                <w:rFonts w:cs="Times New Roman"/>
                <w:szCs w:val="21"/>
              </w:rPr>
              <w:t>与强氧化剂等禁配物接触，有发生火灾和爆炸的危险。</w:t>
            </w:r>
          </w:p>
        </w:tc>
        <w:tc>
          <w:tcPr>
            <w:tcW w:w="3827" w:type="dxa"/>
            <w:shd w:val="clear" w:color="000000" w:fill="FFFFFF"/>
            <w:vAlign w:val="center"/>
          </w:tcPr>
          <w:p w14:paraId="14279AAD">
            <w:pPr>
              <w:pStyle w:val="78"/>
              <w:rPr>
                <w:rFonts w:cs="Times New Roman"/>
                <w:szCs w:val="21"/>
              </w:rPr>
            </w:pPr>
            <w:r>
              <w:rPr>
                <w:rFonts w:cs="Times New Roman"/>
                <w:szCs w:val="21"/>
              </w:rPr>
              <w:t>高度易燃，其蒸气与空气混合，能形成爆炸性混合物。</w:t>
            </w:r>
          </w:p>
          <w:p w14:paraId="4E659492">
            <w:pPr>
              <w:pStyle w:val="78"/>
              <w:rPr>
                <w:rFonts w:cs="Times New Roman"/>
                <w:szCs w:val="21"/>
              </w:rPr>
            </w:pPr>
            <w:r>
              <w:rPr>
                <w:rFonts w:cs="Times New Roman"/>
                <w:szCs w:val="21"/>
              </w:rPr>
              <w:t>与强氧化剂等禁配物接触，有发生火灾和爆炸的危险。高热下发生聚合反应。</w:t>
            </w:r>
          </w:p>
        </w:tc>
      </w:tr>
      <w:tr w14:paraId="702F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17C91FC4">
            <w:pPr>
              <w:pStyle w:val="78"/>
              <w:rPr>
                <w:rFonts w:cs="Times New Roman"/>
                <w:szCs w:val="21"/>
              </w:rPr>
            </w:pPr>
            <w:r>
              <w:rPr>
                <w:rFonts w:cs="Times New Roman"/>
                <w:szCs w:val="21"/>
              </w:rPr>
              <w:t>禁忌物</w:t>
            </w:r>
          </w:p>
        </w:tc>
        <w:tc>
          <w:tcPr>
            <w:tcW w:w="3969" w:type="dxa"/>
            <w:shd w:val="clear" w:color="000000" w:fill="FFFFFF"/>
            <w:vAlign w:val="center"/>
          </w:tcPr>
          <w:p w14:paraId="19D4554F">
            <w:pPr>
              <w:pStyle w:val="78"/>
              <w:rPr>
                <w:rFonts w:cs="Times New Roman"/>
                <w:szCs w:val="21"/>
              </w:rPr>
            </w:pPr>
            <w:r>
              <w:rPr>
                <w:rFonts w:cs="Times New Roman"/>
                <w:szCs w:val="21"/>
              </w:rPr>
              <w:t>强氧化剂、酸类、卤代烃、卤素等。</w:t>
            </w:r>
          </w:p>
        </w:tc>
        <w:tc>
          <w:tcPr>
            <w:tcW w:w="3969" w:type="dxa"/>
            <w:shd w:val="clear" w:color="000000" w:fill="FFFFFF"/>
            <w:vAlign w:val="center"/>
          </w:tcPr>
          <w:p w14:paraId="01D96689">
            <w:pPr>
              <w:pStyle w:val="78"/>
              <w:rPr>
                <w:rFonts w:cs="Times New Roman"/>
                <w:szCs w:val="21"/>
              </w:rPr>
            </w:pPr>
            <w:r>
              <w:rPr>
                <w:rFonts w:cs="Times New Roman"/>
                <w:szCs w:val="21"/>
              </w:rPr>
              <w:t>强氧化剂、强酸、强碱、卤素。</w:t>
            </w:r>
          </w:p>
        </w:tc>
        <w:tc>
          <w:tcPr>
            <w:tcW w:w="3827" w:type="dxa"/>
            <w:shd w:val="clear" w:color="000000" w:fill="FFFFFF"/>
            <w:vAlign w:val="center"/>
          </w:tcPr>
          <w:p w14:paraId="0C3F370B">
            <w:pPr>
              <w:pStyle w:val="78"/>
              <w:rPr>
                <w:rFonts w:cs="Times New Roman"/>
                <w:szCs w:val="21"/>
              </w:rPr>
            </w:pPr>
            <w:r>
              <w:rPr>
                <w:rFonts w:cs="Times New Roman"/>
                <w:szCs w:val="21"/>
              </w:rPr>
              <w:t>强氧化剂、强酸、卤代烃、卤素。</w:t>
            </w:r>
          </w:p>
        </w:tc>
      </w:tr>
      <w:tr w14:paraId="6714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60C325E6">
            <w:pPr>
              <w:pStyle w:val="78"/>
              <w:rPr>
                <w:rFonts w:cs="Times New Roman"/>
                <w:szCs w:val="21"/>
              </w:rPr>
            </w:pPr>
            <w:r>
              <w:rPr>
                <w:rFonts w:cs="Times New Roman"/>
                <w:szCs w:val="21"/>
              </w:rPr>
              <w:t>毒性及健康危害</w:t>
            </w:r>
          </w:p>
        </w:tc>
        <w:tc>
          <w:tcPr>
            <w:tcW w:w="1559" w:type="dxa"/>
            <w:shd w:val="clear" w:color="000000" w:fill="FFFFFF"/>
            <w:vAlign w:val="center"/>
          </w:tcPr>
          <w:p w14:paraId="3991DCEB">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2BD50095">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：1300mg/kg（大鼠经口）</w:t>
            </w:r>
            <w:r>
              <w:rPr>
                <w:rFonts w:cs="Times New Roman"/>
                <w:szCs w:val="21"/>
              </w:rPr>
              <w:br w:type="textWrapping"/>
            </w:r>
            <w:r>
              <w:rPr>
                <w:rFonts w:cs="Times New Roman"/>
                <w:szCs w:val="21"/>
              </w:rPr>
              <w:t>LC</w:t>
            </w:r>
            <w:r>
              <w:rPr>
                <w:rFonts w:cs="Times New Roman"/>
                <w:szCs w:val="21"/>
                <w:vertAlign w:val="subscript"/>
              </w:rPr>
              <w:t>50</w:t>
            </w:r>
            <w:r>
              <w:rPr>
                <w:rFonts w:cs="Times New Roman"/>
                <w:szCs w:val="21"/>
              </w:rPr>
              <w:t>：50000mg/m</w:t>
            </w:r>
            <w:r>
              <w:rPr>
                <w:rFonts w:cs="Times New Roman"/>
                <w:szCs w:val="21"/>
                <w:vertAlign w:val="superscript"/>
              </w:rPr>
              <w:t>3</w:t>
            </w:r>
            <w:r>
              <w:rPr>
                <w:rFonts w:cs="Times New Roman"/>
                <w:szCs w:val="21"/>
              </w:rPr>
              <w:t>（大鼠吸入）</w:t>
            </w:r>
          </w:p>
        </w:tc>
        <w:tc>
          <w:tcPr>
            <w:tcW w:w="3969" w:type="dxa"/>
            <w:shd w:val="clear" w:color="000000" w:fill="FFFFFF"/>
            <w:vAlign w:val="center"/>
          </w:tcPr>
          <w:p w14:paraId="25842C79">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：222mg/kg（小鼠静脉）</w:t>
            </w:r>
            <w:r>
              <w:rPr>
                <w:rFonts w:cs="Times New Roman"/>
                <w:szCs w:val="21"/>
              </w:rPr>
              <w:br w:type="textWrapping"/>
            </w:r>
            <w:r>
              <w:rPr>
                <w:rFonts w:cs="Times New Roman"/>
                <w:szCs w:val="21"/>
              </w:rPr>
              <w:t>LC</w:t>
            </w:r>
            <w:r>
              <w:rPr>
                <w:rFonts w:cs="Times New Roman"/>
                <w:szCs w:val="21"/>
                <w:vertAlign w:val="subscript"/>
              </w:rPr>
              <w:t>50</w:t>
            </w:r>
            <w:r>
              <w:rPr>
                <w:rFonts w:cs="Times New Roman"/>
                <w:szCs w:val="21"/>
              </w:rPr>
              <w:t>：103g/m</w:t>
            </w:r>
            <w:r>
              <w:rPr>
                <w:rFonts w:cs="Times New Roman"/>
                <w:szCs w:val="21"/>
                <w:vertAlign w:val="superscript"/>
              </w:rPr>
              <w:t>3</w:t>
            </w:r>
            <w:r>
              <w:rPr>
                <w:rFonts w:cs="Times New Roman"/>
                <w:szCs w:val="21"/>
              </w:rPr>
              <w:t>（大鼠吸入，4h）</w:t>
            </w:r>
          </w:p>
        </w:tc>
        <w:tc>
          <w:tcPr>
            <w:tcW w:w="3827" w:type="dxa"/>
            <w:shd w:val="clear" w:color="000000" w:fill="FFFFFF"/>
            <w:vAlign w:val="center"/>
          </w:tcPr>
          <w:p w14:paraId="5AAAD75A">
            <w:pPr>
              <w:pStyle w:val="78"/>
              <w:rPr>
                <w:rFonts w:cs="Times New Roman"/>
                <w:szCs w:val="21"/>
              </w:rPr>
            </w:pPr>
            <w:r>
              <w:rPr>
                <w:rFonts w:cs="Times New Roman"/>
                <w:szCs w:val="21"/>
              </w:rPr>
              <w:t>TCLo：60g/m</w:t>
            </w:r>
            <w:r>
              <w:rPr>
                <w:rFonts w:cs="Times New Roman"/>
                <w:szCs w:val="21"/>
                <w:vertAlign w:val="superscript"/>
              </w:rPr>
              <w:t>3</w:t>
            </w:r>
            <w:r>
              <w:rPr>
                <w:rFonts w:cs="Times New Roman"/>
                <w:szCs w:val="21"/>
              </w:rPr>
              <w:t>（小鼠吸入，2h）</w:t>
            </w:r>
          </w:p>
        </w:tc>
      </w:tr>
      <w:tr w14:paraId="28EA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71D9D64">
            <w:pPr>
              <w:pStyle w:val="78"/>
              <w:rPr>
                <w:rFonts w:cs="Times New Roman"/>
                <w:szCs w:val="21"/>
              </w:rPr>
            </w:pPr>
          </w:p>
        </w:tc>
        <w:tc>
          <w:tcPr>
            <w:tcW w:w="1559" w:type="dxa"/>
            <w:shd w:val="clear" w:color="000000" w:fill="FFFFFF"/>
            <w:vAlign w:val="center"/>
          </w:tcPr>
          <w:p w14:paraId="662BCAC9">
            <w:pPr>
              <w:pStyle w:val="78"/>
              <w:rPr>
                <w:rFonts w:cs="Times New Roman"/>
                <w:szCs w:val="21"/>
              </w:rPr>
            </w:pPr>
            <w:r>
              <w:rPr>
                <w:rFonts w:cs="Times New Roman"/>
                <w:szCs w:val="21"/>
              </w:rPr>
              <w:t>中毒途径</w:t>
            </w:r>
          </w:p>
        </w:tc>
        <w:tc>
          <w:tcPr>
            <w:tcW w:w="3969" w:type="dxa"/>
            <w:shd w:val="clear" w:color="000000" w:fill="FFFFFF"/>
            <w:noWrap/>
            <w:vAlign w:val="center"/>
          </w:tcPr>
          <w:p w14:paraId="390F6978">
            <w:pPr>
              <w:pStyle w:val="78"/>
              <w:rPr>
                <w:rFonts w:cs="Times New Roman"/>
                <w:szCs w:val="21"/>
              </w:rPr>
            </w:pPr>
            <w:r>
              <w:rPr>
                <w:rFonts w:cs="Times New Roman"/>
                <w:szCs w:val="21"/>
              </w:rPr>
              <w:t>吸入、食入、皮肤接触</w:t>
            </w:r>
          </w:p>
        </w:tc>
        <w:tc>
          <w:tcPr>
            <w:tcW w:w="3969" w:type="dxa"/>
            <w:shd w:val="clear" w:color="000000" w:fill="FFFFFF"/>
            <w:noWrap/>
            <w:vAlign w:val="center"/>
          </w:tcPr>
          <w:p w14:paraId="1F4E0261">
            <w:pPr>
              <w:pStyle w:val="78"/>
              <w:rPr>
                <w:rFonts w:cs="Times New Roman"/>
                <w:szCs w:val="21"/>
              </w:rPr>
            </w:pPr>
            <w:r>
              <w:rPr>
                <w:rFonts w:cs="Times New Roman"/>
                <w:szCs w:val="21"/>
              </w:rPr>
              <w:t>吸入、皮肤接触</w:t>
            </w:r>
          </w:p>
        </w:tc>
        <w:tc>
          <w:tcPr>
            <w:tcW w:w="3827" w:type="dxa"/>
            <w:shd w:val="clear" w:color="000000" w:fill="FFFFFF"/>
            <w:noWrap/>
            <w:vAlign w:val="center"/>
          </w:tcPr>
          <w:p w14:paraId="0EBDF84A">
            <w:pPr>
              <w:pStyle w:val="78"/>
              <w:rPr>
                <w:rFonts w:cs="Times New Roman"/>
                <w:szCs w:val="21"/>
              </w:rPr>
            </w:pPr>
            <w:r>
              <w:rPr>
                <w:rFonts w:cs="Times New Roman"/>
                <w:szCs w:val="21"/>
              </w:rPr>
              <w:t>吸入</w:t>
            </w:r>
          </w:p>
        </w:tc>
      </w:tr>
      <w:tr w14:paraId="0173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9700D43">
            <w:pPr>
              <w:pStyle w:val="78"/>
              <w:rPr>
                <w:rFonts w:cs="Times New Roman"/>
                <w:szCs w:val="21"/>
              </w:rPr>
            </w:pPr>
          </w:p>
        </w:tc>
        <w:tc>
          <w:tcPr>
            <w:tcW w:w="1559" w:type="dxa"/>
            <w:shd w:val="clear" w:color="000000" w:fill="FFFFFF"/>
            <w:vAlign w:val="center"/>
          </w:tcPr>
          <w:p w14:paraId="3AB9996F">
            <w:pPr>
              <w:pStyle w:val="78"/>
              <w:rPr>
                <w:rFonts w:cs="Times New Roman"/>
                <w:szCs w:val="21"/>
              </w:rPr>
            </w:pPr>
            <w:r>
              <w:rPr>
                <w:rFonts w:cs="Times New Roman"/>
                <w:szCs w:val="21"/>
              </w:rPr>
              <w:t>健康危害</w:t>
            </w:r>
          </w:p>
        </w:tc>
        <w:tc>
          <w:tcPr>
            <w:tcW w:w="3969" w:type="dxa"/>
            <w:shd w:val="clear" w:color="000000" w:fill="FFFFFF"/>
            <w:vAlign w:val="center"/>
          </w:tcPr>
          <w:p w14:paraId="7D4005D8">
            <w:pPr>
              <w:pStyle w:val="78"/>
              <w:rPr>
                <w:rFonts w:cs="Times New Roman"/>
                <w:szCs w:val="21"/>
              </w:rPr>
            </w:pPr>
            <w:r>
              <w:rPr>
                <w:rFonts w:cs="Times New Roman"/>
                <w:szCs w:val="21"/>
              </w:rPr>
              <w:t>本品有麻醉作用，吸入后引起恶心、呕吐、头痛和神志丧失。对眼和皮肤有刺激性。</w:t>
            </w:r>
          </w:p>
        </w:tc>
        <w:tc>
          <w:tcPr>
            <w:tcW w:w="3969" w:type="dxa"/>
            <w:shd w:val="clear" w:color="000000" w:fill="FFFFFF"/>
            <w:vAlign w:val="center"/>
          </w:tcPr>
          <w:p w14:paraId="1C2D3D76">
            <w:pPr>
              <w:pStyle w:val="78"/>
              <w:rPr>
                <w:rFonts w:cs="Times New Roman"/>
                <w:szCs w:val="21"/>
              </w:rPr>
            </w:pPr>
            <w:r>
              <w:rPr>
                <w:rFonts w:cs="Times New Roman"/>
                <w:szCs w:val="21"/>
              </w:rPr>
              <w:t>本品有麻醉作用和刺激性。急性中毒：吸入本品蒸气可引起眩晕、恶心、厌食、欣快感和步态蹒跚，甚至出现意识丧失和木僵状态。对皮肤有轻度刺激性。液态本品吸入呼吸道可引起吸入性肺炎。慢性影响：长期接触可引起神经衰弱综合征。少数人有轻度中性白细胞减少，消化不良。</w:t>
            </w:r>
          </w:p>
        </w:tc>
        <w:tc>
          <w:tcPr>
            <w:tcW w:w="3827" w:type="dxa"/>
            <w:shd w:val="clear" w:color="000000" w:fill="FFFFFF"/>
            <w:vAlign w:val="center"/>
          </w:tcPr>
          <w:p w14:paraId="0E9B9370">
            <w:pPr>
              <w:pStyle w:val="78"/>
              <w:rPr>
                <w:rFonts w:cs="Times New Roman"/>
                <w:szCs w:val="21"/>
              </w:rPr>
            </w:pPr>
            <w:r>
              <w:rPr>
                <w:rFonts w:cs="Times New Roman"/>
                <w:szCs w:val="21"/>
              </w:rPr>
              <w:t>对动物有麻醉作用。</w:t>
            </w:r>
          </w:p>
        </w:tc>
      </w:tr>
      <w:tr w14:paraId="775E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8319928">
            <w:pPr>
              <w:pStyle w:val="78"/>
              <w:rPr>
                <w:rFonts w:cs="Times New Roman"/>
                <w:szCs w:val="21"/>
              </w:rPr>
            </w:pPr>
          </w:p>
        </w:tc>
        <w:tc>
          <w:tcPr>
            <w:tcW w:w="1559" w:type="dxa"/>
            <w:shd w:val="clear" w:color="000000" w:fill="FFFFFF"/>
            <w:noWrap/>
            <w:vAlign w:val="center"/>
          </w:tcPr>
          <w:p w14:paraId="01CD8A39">
            <w:pPr>
              <w:pStyle w:val="78"/>
              <w:rPr>
                <w:rFonts w:cs="Times New Roman"/>
                <w:szCs w:val="21"/>
              </w:rPr>
            </w:pPr>
            <w:r>
              <w:rPr>
                <w:rFonts w:cs="Times New Roman"/>
                <w:szCs w:val="21"/>
              </w:rPr>
              <w:t>环境危害</w:t>
            </w:r>
          </w:p>
        </w:tc>
        <w:tc>
          <w:tcPr>
            <w:tcW w:w="3969" w:type="dxa"/>
            <w:shd w:val="clear" w:color="000000" w:fill="FFFFFF"/>
            <w:vAlign w:val="center"/>
          </w:tcPr>
          <w:p w14:paraId="453C60DB">
            <w:pPr>
              <w:pStyle w:val="78"/>
              <w:rPr>
                <w:rFonts w:cs="Times New Roman"/>
                <w:szCs w:val="21"/>
              </w:rPr>
            </w:pPr>
            <w:r>
              <w:rPr>
                <w:rFonts w:cs="Times New Roman"/>
                <w:szCs w:val="21"/>
              </w:rPr>
              <w:t>对水生生物有毒并具有长期持续影响。</w:t>
            </w:r>
          </w:p>
        </w:tc>
        <w:tc>
          <w:tcPr>
            <w:tcW w:w="3969" w:type="dxa"/>
            <w:shd w:val="clear" w:color="000000" w:fill="FFFFFF"/>
            <w:vAlign w:val="center"/>
          </w:tcPr>
          <w:p w14:paraId="385C9B96">
            <w:pPr>
              <w:pStyle w:val="78"/>
              <w:rPr>
                <w:rFonts w:cs="Times New Roman"/>
                <w:szCs w:val="21"/>
              </w:rPr>
            </w:pPr>
            <w:r>
              <w:rPr>
                <w:rFonts w:cs="Times New Roman"/>
                <w:szCs w:val="21"/>
              </w:rPr>
              <w:t>对水生生物毒性非常大并具有长期持续影响。</w:t>
            </w:r>
          </w:p>
        </w:tc>
        <w:tc>
          <w:tcPr>
            <w:tcW w:w="3827" w:type="dxa"/>
            <w:shd w:val="clear" w:color="000000" w:fill="FFFFFF"/>
            <w:vAlign w:val="center"/>
          </w:tcPr>
          <w:p w14:paraId="53C994CB">
            <w:pPr>
              <w:pStyle w:val="78"/>
              <w:rPr>
                <w:rFonts w:cs="Times New Roman"/>
                <w:szCs w:val="21"/>
              </w:rPr>
            </w:pPr>
            <w:r>
              <w:rPr>
                <w:rFonts w:cs="Times New Roman"/>
                <w:szCs w:val="21"/>
              </w:rPr>
              <w:t>对环境可能有害。</w:t>
            </w:r>
          </w:p>
        </w:tc>
      </w:tr>
      <w:tr w14:paraId="626D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70CA4CD2">
            <w:pPr>
              <w:pStyle w:val="78"/>
              <w:rPr>
                <w:rFonts w:cs="Times New Roman"/>
                <w:szCs w:val="21"/>
              </w:rPr>
            </w:pPr>
            <w:r>
              <w:rPr>
                <w:rFonts w:cs="Times New Roman"/>
                <w:szCs w:val="21"/>
              </w:rPr>
              <w:t>应急措施</w:t>
            </w:r>
          </w:p>
        </w:tc>
        <w:tc>
          <w:tcPr>
            <w:tcW w:w="1559" w:type="dxa"/>
            <w:shd w:val="clear" w:color="000000" w:fill="FFFFFF"/>
            <w:noWrap/>
            <w:vAlign w:val="center"/>
          </w:tcPr>
          <w:p w14:paraId="1BF20D00">
            <w:pPr>
              <w:pStyle w:val="78"/>
              <w:rPr>
                <w:rFonts w:cs="Times New Roman"/>
                <w:szCs w:val="21"/>
              </w:rPr>
            </w:pPr>
            <w:r>
              <w:rPr>
                <w:rFonts w:cs="Times New Roman"/>
                <w:szCs w:val="21"/>
              </w:rPr>
              <w:t>急救措施</w:t>
            </w:r>
          </w:p>
        </w:tc>
        <w:tc>
          <w:tcPr>
            <w:tcW w:w="3969" w:type="dxa"/>
            <w:shd w:val="clear" w:color="000000" w:fill="FFFFFF"/>
            <w:vAlign w:val="center"/>
          </w:tcPr>
          <w:p w14:paraId="2FE98474">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漱口，饮水。禁止催吐。就医。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食入：漱口，饮水。禁止催吐。就医。</w:t>
            </w:r>
          </w:p>
        </w:tc>
        <w:tc>
          <w:tcPr>
            <w:tcW w:w="3969" w:type="dxa"/>
            <w:shd w:val="clear" w:color="000000" w:fill="FFFFFF"/>
            <w:vAlign w:val="center"/>
          </w:tcPr>
          <w:p w14:paraId="2C8B2C9C">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漱口，饮水。禁止催吐。就医。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食入：漱口，饮水。禁止催吐。就医。</w:t>
            </w:r>
          </w:p>
        </w:tc>
        <w:tc>
          <w:tcPr>
            <w:tcW w:w="3827" w:type="dxa"/>
            <w:shd w:val="clear" w:color="000000" w:fill="FFFFFF"/>
            <w:vAlign w:val="center"/>
          </w:tcPr>
          <w:p w14:paraId="723B27AC">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漱口，饮水。就医。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食入：漱口，饮水。就医。</w:t>
            </w:r>
          </w:p>
        </w:tc>
      </w:tr>
      <w:tr w14:paraId="2CFE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DD82A61">
            <w:pPr>
              <w:pStyle w:val="78"/>
              <w:rPr>
                <w:rFonts w:cs="Times New Roman"/>
                <w:szCs w:val="21"/>
              </w:rPr>
            </w:pPr>
          </w:p>
        </w:tc>
        <w:tc>
          <w:tcPr>
            <w:tcW w:w="1559" w:type="dxa"/>
            <w:shd w:val="clear" w:color="000000" w:fill="FFFFFF"/>
            <w:vAlign w:val="center"/>
          </w:tcPr>
          <w:p w14:paraId="58DE9C03">
            <w:pPr>
              <w:pStyle w:val="78"/>
              <w:rPr>
                <w:rFonts w:cs="Times New Roman"/>
                <w:szCs w:val="21"/>
              </w:rPr>
            </w:pPr>
            <w:r>
              <w:rPr>
                <w:rFonts w:cs="Times New Roman"/>
                <w:szCs w:val="21"/>
              </w:rPr>
              <w:t>泄漏应急处置</w:t>
            </w:r>
          </w:p>
        </w:tc>
        <w:tc>
          <w:tcPr>
            <w:tcW w:w="3969" w:type="dxa"/>
            <w:shd w:val="clear" w:color="000000" w:fill="FFFFFF"/>
            <w:vAlign w:val="center"/>
          </w:tcPr>
          <w:p w14:paraId="6F13F195">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有限空间内的易燃性。用防爆泵转移至槽车或专用收集器内。</w:t>
            </w:r>
          </w:p>
        </w:tc>
        <w:tc>
          <w:tcPr>
            <w:tcW w:w="3969" w:type="dxa"/>
            <w:shd w:val="clear" w:color="000000" w:fill="FFFFFF"/>
            <w:vAlign w:val="center"/>
          </w:tcPr>
          <w:p w14:paraId="6B27E0CE">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有限空间内的易燃性。用防爆泵转移至槽车或专用收集器内。</w:t>
            </w:r>
          </w:p>
        </w:tc>
        <w:tc>
          <w:tcPr>
            <w:tcW w:w="3827" w:type="dxa"/>
            <w:shd w:val="clear" w:color="000000" w:fill="FFFFFF"/>
            <w:vAlign w:val="center"/>
          </w:tcPr>
          <w:p w14:paraId="73E82C74">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限制性空间内的易燃性。用防爆泵转移至槽车或专用收集器内。</w:t>
            </w:r>
          </w:p>
        </w:tc>
      </w:tr>
      <w:tr w14:paraId="32BC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3FAB8CA">
            <w:pPr>
              <w:pStyle w:val="78"/>
              <w:rPr>
                <w:rFonts w:cs="Times New Roman"/>
                <w:szCs w:val="21"/>
              </w:rPr>
            </w:pPr>
          </w:p>
        </w:tc>
        <w:tc>
          <w:tcPr>
            <w:tcW w:w="1559" w:type="dxa"/>
            <w:shd w:val="clear" w:color="000000" w:fill="FFFFFF"/>
            <w:noWrap/>
            <w:vAlign w:val="center"/>
          </w:tcPr>
          <w:p w14:paraId="348FDE46">
            <w:pPr>
              <w:pStyle w:val="78"/>
              <w:rPr>
                <w:rFonts w:cs="Times New Roman"/>
                <w:szCs w:val="21"/>
              </w:rPr>
            </w:pPr>
            <w:r>
              <w:rPr>
                <w:rFonts w:cs="Times New Roman"/>
                <w:szCs w:val="21"/>
              </w:rPr>
              <w:t>灭火方法</w:t>
            </w:r>
          </w:p>
        </w:tc>
        <w:tc>
          <w:tcPr>
            <w:tcW w:w="3969" w:type="dxa"/>
            <w:shd w:val="clear" w:color="000000" w:fill="FFFFFF"/>
            <w:vAlign w:val="center"/>
          </w:tcPr>
          <w:p w14:paraId="0E4EE273">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消防人员必须佩戴空气呼吸器、穿全身防火防毒服，在上风向灭火。喷水冷却容器，可能的话将容器从火场移至空旷处。容器突然发出异常声音或出现异常现象，应立即撤离。用水灭火无效。</w:t>
            </w:r>
          </w:p>
        </w:tc>
        <w:tc>
          <w:tcPr>
            <w:tcW w:w="3969" w:type="dxa"/>
            <w:shd w:val="clear" w:color="000000" w:fill="FFFFFF"/>
            <w:vAlign w:val="center"/>
          </w:tcPr>
          <w:p w14:paraId="0352000A">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消防人员必须佩戴空气呼吸器、穿全身防火防毒服，在上风向灭火。喷水冷却容器，可能的话将容器从火场移至空旷处。容器突然发出异常声音或出现异常现象，应立即撤离。用水灭火无效。</w:t>
            </w:r>
          </w:p>
        </w:tc>
        <w:tc>
          <w:tcPr>
            <w:tcW w:w="3827" w:type="dxa"/>
            <w:shd w:val="clear" w:color="000000" w:fill="FFFFFF"/>
            <w:vAlign w:val="center"/>
          </w:tcPr>
          <w:p w14:paraId="7BD84430">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消防人员必须佩戴空气呼吸器、穿全身防火防毒服，在上风向灭火。喷水冷却容器，可能的话将容器从火场移至空旷处。容器突然发出异常声音或出现异常现象，应立即撤离。用水灭火无效。</w:t>
            </w:r>
          </w:p>
        </w:tc>
      </w:tr>
      <w:tr w14:paraId="6301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14EAC003">
            <w:pPr>
              <w:pStyle w:val="78"/>
              <w:rPr>
                <w:rFonts w:cs="Times New Roman"/>
                <w:b/>
                <w:szCs w:val="21"/>
              </w:rPr>
            </w:pPr>
            <w:r>
              <w:rPr>
                <w:rFonts w:cs="Times New Roman"/>
                <w:b/>
                <w:szCs w:val="21"/>
              </w:rPr>
              <w:t>物质</w:t>
            </w:r>
          </w:p>
        </w:tc>
        <w:tc>
          <w:tcPr>
            <w:tcW w:w="3969" w:type="dxa"/>
            <w:shd w:val="clear" w:color="000000" w:fill="FFFFFF"/>
            <w:vAlign w:val="center"/>
          </w:tcPr>
          <w:p w14:paraId="0CD4E18D">
            <w:pPr>
              <w:pStyle w:val="78"/>
              <w:rPr>
                <w:rFonts w:cs="Times New Roman"/>
                <w:b/>
                <w:szCs w:val="21"/>
              </w:rPr>
            </w:pPr>
            <w:r>
              <w:rPr>
                <w:rFonts w:cs="Times New Roman"/>
                <w:b/>
                <w:szCs w:val="21"/>
              </w:rPr>
              <w:t>甲苯</w:t>
            </w:r>
          </w:p>
        </w:tc>
        <w:tc>
          <w:tcPr>
            <w:tcW w:w="3969" w:type="dxa"/>
            <w:shd w:val="clear" w:color="000000" w:fill="FFFFFF"/>
            <w:vAlign w:val="center"/>
          </w:tcPr>
          <w:p w14:paraId="5DDD8303">
            <w:pPr>
              <w:pStyle w:val="78"/>
              <w:rPr>
                <w:rFonts w:cs="Times New Roman"/>
                <w:b/>
                <w:szCs w:val="21"/>
              </w:rPr>
            </w:pPr>
            <w:r>
              <w:rPr>
                <w:rFonts w:cs="Times New Roman"/>
                <w:b/>
                <w:szCs w:val="21"/>
              </w:rPr>
              <w:t>C8烷烃</w:t>
            </w:r>
          </w:p>
        </w:tc>
        <w:tc>
          <w:tcPr>
            <w:tcW w:w="3827" w:type="dxa"/>
            <w:shd w:val="clear" w:color="000000" w:fill="FFFFFF"/>
            <w:vAlign w:val="center"/>
          </w:tcPr>
          <w:p w14:paraId="15F7EB0D">
            <w:pPr>
              <w:pStyle w:val="78"/>
              <w:rPr>
                <w:rFonts w:cs="Times New Roman"/>
                <w:b/>
                <w:szCs w:val="21"/>
              </w:rPr>
            </w:pPr>
            <w:r>
              <w:rPr>
                <w:rFonts w:cs="Times New Roman"/>
                <w:b/>
                <w:szCs w:val="21"/>
              </w:rPr>
              <w:t>C8烯烃</w:t>
            </w:r>
          </w:p>
        </w:tc>
      </w:tr>
      <w:tr w14:paraId="166D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3970845B">
            <w:pPr>
              <w:pStyle w:val="78"/>
              <w:rPr>
                <w:rFonts w:cs="Times New Roman"/>
                <w:szCs w:val="21"/>
              </w:rPr>
            </w:pPr>
            <w:r>
              <w:rPr>
                <w:rFonts w:cs="Times New Roman"/>
                <w:szCs w:val="21"/>
              </w:rPr>
              <w:t>物化性质</w:t>
            </w:r>
          </w:p>
        </w:tc>
        <w:tc>
          <w:tcPr>
            <w:tcW w:w="1559" w:type="dxa"/>
            <w:shd w:val="clear" w:color="000000" w:fill="FFFFFF"/>
            <w:vAlign w:val="center"/>
          </w:tcPr>
          <w:p w14:paraId="2C926283">
            <w:pPr>
              <w:pStyle w:val="78"/>
              <w:rPr>
                <w:rFonts w:cs="Times New Roman"/>
                <w:szCs w:val="21"/>
              </w:rPr>
            </w:pPr>
            <w:r>
              <w:rPr>
                <w:rFonts w:cs="Times New Roman"/>
                <w:szCs w:val="21"/>
              </w:rPr>
              <w:t>CAS号</w:t>
            </w:r>
          </w:p>
        </w:tc>
        <w:tc>
          <w:tcPr>
            <w:tcW w:w="3969" w:type="dxa"/>
            <w:shd w:val="clear" w:color="000000" w:fill="FFFFFF"/>
            <w:vAlign w:val="center"/>
          </w:tcPr>
          <w:p w14:paraId="06DA1210">
            <w:pPr>
              <w:pStyle w:val="78"/>
              <w:rPr>
                <w:rFonts w:cs="Times New Roman"/>
                <w:szCs w:val="21"/>
              </w:rPr>
            </w:pPr>
            <w:r>
              <w:rPr>
                <w:rFonts w:cs="Times New Roman"/>
                <w:szCs w:val="21"/>
              </w:rPr>
              <w:t>108-88-3</w:t>
            </w:r>
          </w:p>
        </w:tc>
        <w:tc>
          <w:tcPr>
            <w:tcW w:w="3969" w:type="dxa"/>
            <w:shd w:val="clear" w:color="000000" w:fill="FFFFFF"/>
            <w:vAlign w:val="center"/>
          </w:tcPr>
          <w:p w14:paraId="76F39473">
            <w:pPr>
              <w:pStyle w:val="78"/>
              <w:rPr>
                <w:rFonts w:cs="Times New Roman"/>
                <w:szCs w:val="21"/>
              </w:rPr>
            </w:pPr>
            <w:r>
              <w:rPr>
                <w:rFonts w:cs="Times New Roman"/>
                <w:szCs w:val="21"/>
              </w:rPr>
              <w:t>26635-64-3</w:t>
            </w:r>
          </w:p>
        </w:tc>
        <w:tc>
          <w:tcPr>
            <w:tcW w:w="3827" w:type="dxa"/>
            <w:shd w:val="clear" w:color="000000" w:fill="FFFFFF"/>
            <w:vAlign w:val="center"/>
          </w:tcPr>
          <w:p w14:paraId="7992F928">
            <w:pPr>
              <w:pStyle w:val="78"/>
              <w:rPr>
                <w:rFonts w:cs="Times New Roman"/>
                <w:szCs w:val="21"/>
              </w:rPr>
            </w:pPr>
            <w:r>
              <w:rPr>
                <w:rFonts w:cs="Times New Roman"/>
                <w:szCs w:val="21"/>
              </w:rPr>
              <w:t>931-87-3</w:t>
            </w:r>
          </w:p>
        </w:tc>
      </w:tr>
      <w:tr w14:paraId="1989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17933FA">
            <w:pPr>
              <w:pStyle w:val="78"/>
              <w:rPr>
                <w:rFonts w:cs="Times New Roman"/>
                <w:szCs w:val="21"/>
              </w:rPr>
            </w:pPr>
          </w:p>
        </w:tc>
        <w:tc>
          <w:tcPr>
            <w:tcW w:w="1559" w:type="dxa"/>
            <w:shd w:val="clear" w:color="000000" w:fill="FFFFFF"/>
            <w:vAlign w:val="center"/>
          </w:tcPr>
          <w:p w14:paraId="21CBB0EC">
            <w:pPr>
              <w:pStyle w:val="78"/>
              <w:rPr>
                <w:rFonts w:cs="Times New Roman"/>
                <w:szCs w:val="21"/>
              </w:rPr>
            </w:pPr>
            <w:r>
              <w:rPr>
                <w:rFonts w:cs="Times New Roman"/>
                <w:szCs w:val="21"/>
              </w:rPr>
              <w:t>中文名称/别名</w:t>
            </w:r>
          </w:p>
        </w:tc>
        <w:tc>
          <w:tcPr>
            <w:tcW w:w="3969" w:type="dxa"/>
            <w:shd w:val="clear" w:color="000000" w:fill="FFFFFF"/>
            <w:vAlign w:val="center"/>
          </w:tcPr>
          <w:p w14:paraId="1E4F22EE">
            <w:pPr>
              <w:pStyle w:val="78"/>
              <w:rPr>
                <w:rFonts w:cs="Times New Roman"/>
                <w:szCs w:val="21"/>
              </w:rPr>
            </w:pPr>
            <w:r>
              <w:rPr>
                <w:rFonts w:cs="Times New Roman"/>
                <w:szCs w:val="21"/>
              </w:rPr>
              <w:t>甲苯;苯基甲烷;甲基苯</w:t>
            </w:r>
          </w:p>
        </w:tc>
        <w:tc>
          <w:tcPr>
            <w:tcW w:w="3969" w:type="dxa"/>
            <w:shd w:val="clear" w:color="000000" w:fill="FFFFFF"/>
            <w:vAlign w:val="center"/>
          </w:tcPr>
          <w:p w14:paraId="5CFBD798">
            <w:pPr>
              <w:pStyle w:val="78"/>
              <w:rPr>
                <w:rFonts w:cs="Times New Roman"/>
                <w:szCs w:val="21"/>
              </w:rPr>
            </w:pPr>
            <w:r>
              <w:rPr>
                <w:rFonts w:cs="Times New Roman"/>
                <w:szCs w:val="21"/>
              </w:rPr>
              <w:t>异辛烷</w:t>
            </w:r>
          </w:p>
        </w:tc>
        <w:tc>
          <w:tcPr>
            <w:tcW w:w="3827" w:type="dxa"/>
            <w:shd w:val="clear" w:color="000000" w:fill="FFFFFF"/>
            <w:vAlign w:val="center"/>
          </w:tcPr>
          <w:p w14:paraId="448ABD38">
            <w:pPr>
              <w:pStyle w:val="78"/>
              <w:rPr>
                <w:rFonts w:cs="Times New Roman"/>
                <w:szCs w:val="21"/>
              </w:rPr>
            </w:pPr>
            <w:r>
              <w:rPr>
                <w:rFonts w:cs="Times New Roman"/>
                <w:szCs w:val="21"/>
              </w:rPr>
              <w:t>环辛烯</w:t>
            </w:r>
          </w:p>
        </w:tc>
      </w:tr>
      <w:tr w14:paraId="2F1E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B0F20E4">
            <w:pPr>
              <w:pStyle w:val="78"/>
              <w:rPr>
                <w:rFonts w:cs="Times New Roman"/>
                <w:szCs w:val="21"/>
              </w:rPr>
            </w:pPr>
          </w:p>
        </w:tc>
        <w:tc>
          <w:tcPr>
            <w:tcW w:w="1559" w:type="dxa"/>
            <w:shd w:val="clear" w:color="000000" w:fill="FFFFFF"/>
            <w:vAlign w:val="center"/>
          </w:tcPr>
          <w:p w14:paraId="6E6DAFFB">
            <w:pPr>
              <w:pStyle w:val="78"/>
              <w:rPr>
                <w:rFonts w:cs="Times New Roman"/>
                <w:szCs w:val="21"/>
              </w:rPr>
            </w:pPr>
            <w:r>
              <w:rPr>
                <w:rFonts w:cs="Times New Roman"/>
                <w:szCs w:val="21"/>
              </w:rPr>
              <w:t>分子式</w:t>
            </w:r>
          </w:p>
        </w:tc>
        <w:tc>
          <w:tcPr>
            <w:tcW w:w="3969" w:type="dxa"/>
            <w:shd w:val="clear" w:color="000000" w:fill="FFFFFF"/>
            <w:noWrap/>
            <w:vAlign w:val="center"/>
          </w:tcPr>
          <w:p w14:paraId="01051245">
            <w:pPr>
              <w:pStyle w:val="78"/>
              <w:rPr>
                <w:rFonts w:cs="Times New Roman"/>
                <w:szCs w:val="21"/>
              </w:rPr>
            </w:pPr>
            <w:r>
              <w:rPr>
                <w:rFonts w:cs="Times New Roman"/>
                <w:szCs w:val="21"/>
              </w:rPr>
              <w:t>C</w:t>
            </w:r>
            <w:r>
              <w:rPr>
                <w:rFonts w:cs="Times New Roman"/>
                <w:szCs w:val="21"/>
                <w:vertAlign w:val="subscript"/>
              </w:rPr>
              <w:t>7</w:t>
            </w:r>
            <w:r>
              <w:rPr>
                <w:rFonts w:cs="Times New Roman"/>
                <w:szCs w:val="21"/>
              </w:rPr>
              <w:t>H</w:t>
            </w:r>
            <w:r>
              <w:rPr>
                <w:rFonts w:cs="Times New Roman"/>
                <w:szCs w:val="21"/>
                <w:vertAlign w:val="subscript"/>
              </w:rPr>
              <w:t>8</w:t>
            </w:r>
          </w:p>
        </w:tc>
        <w:tc>
          <w:tcPr>
            <w:tcW w:w="3969" w:type="dxa"/>
            <w:shd w:val="clear" w:color="000000" w:fill="FFFFFF"/>
            <w:noWrap/>
            <w:vAlign w:val="center"/>
          </w:tcPr>
          <w:p w14:paraId="3A9A8BB4">
            <w:pPr>
              <w:pStyle w:val="78"/>
              <w:rPr>
                <w:rFonts w:cs="Times New Roman"/>
                <w:szCs w:val="21"/>
              </w:rPr>
            </w:pPr>
            <w:r>
              <w:rPr>
                <w:rFonts w:cs="Times New Roman"/>
                <w:szCs w:val="21"/>
              </w:rPr>
              <w:t>C</w:t>
            </w:r>
            <w:r>
              <w:rPr>
                <w:rFonts w:cs="Times New Roman"/>
                <w:szCs w:val="21"/>
                <w:vertAlign w:val="subscript"/>
              </w:rPr>
              <w:t>8</w:t>
            </w:r>
            <w:r>
              <w:rPr>
                <w:rFonts w:cs="Times New Roman"/>
                <w:szCs w:val="21"/>
              </w:rPr>
              <w:t>H</w:t>
            </w:r>
            <w:r>
              <w:rPr>
                <w:rFonts w:cs="Times New Roman"/>
                <w:szCs w:val="21"/>
                <w:vertAlign w:val="subscript"/>
              </w:rPr>
              <w:t>18</w:t>
            </w:r>
          </w:p>
        </w:tc>
        <w:tc>
          <w:tcPr>
            <w:tcW w:w="3827" w:type="dxa"/>
            <w:shd w:val="clear" w:color="000000" w:fill="FFFFFF"/>
            <w:noWrap/>
            <w:vAlign w:val="center"/>
          </w:tcPr>
          <w:p w14:paraId="55EE396E">
            <w:pPr>
              <w:pStyle w:val="78"/>
              <w:rPr>
                <w:rFonts w:cs="Times New Roman"/>
                <w:szCs w:val="21"/>
              </w:rPr>
            </w:pPr>
            <w:r>
              <w:rPr>
                <w:rFonts w:cs="Times New Roman"/>
                <w:szCs w:val="21"/>
              </w:rPr>
              <w:t>C</w:t>
            </w:r>
            <w:r>
              <w:rPr>
                <w:rFonts w:cs="Times New Roman"/>
                <w:szCs w:val="21"/>
                <w:vertAlign w:val="subscript"/>
              </w:rPr>
              <w:t>8</w:t>
            </w:r>
            <w:r>
              <w:rPr>
                <w:rFonts w:cs="Times New Roman"/>
                <w:szCs w:val="21"/>
              </w:rPr>
              <w:t>H</w:t>
            </w:r>
            <w:r>
              <w:rPr>
                <w:rFonts w:cs="Times New Roman"/>
                <w:szCs w:val="21"/>
                <w:vertAlign w:val="subscript"/>
              </w:rPr>
              <w:t>14</w:t>
            </w:r>
          </w:p>
        </w:tc>
      </w:tr>
      <w:tr w14:paraId="047F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E5A8E9A">
            <w:pPr>
              <w:pStyle w:val="78"/>
              <w:rPr>
                <w:rFonts w:cs="Times New Roman"/>
                <w:szCs w:val="21"/>
              </w:rPr>
            </w:pPr>
          </w:p>
        </w:tc>
        <w:tc>
          <w:tcPr>
            <w:tcW w:w="1559" w:type="dxa"/>
            <w:shd w:val="clear" w:color="000000" w:fill="FFFFFF"/>
            <w:vAlign w:val="center"/>
          </w:tcPr>
          <w:p w14:paraId="631D84E8">
            <w:pPr>
              <w:pStyle w:val="78"/>
              <w:rPr>
                <w:rFonts w:cs="Times New Roman"/>
                <w:szCs w:val="21"/>
              </w:rPr>
            </w:pPr>
            <w:r>
              <w:rPr>
                <w:rFonts w:cs="Times New Roman"/>
                <w:szCs w:val="21"/>
              </w:rPr>
              <w:t>分子量</w:t>
            </w:r>
          </w:p>
        </w:tc>
        <w:tc>
          <w:tcPr>
            <w:tcW w:w="3969" w:type="dxa"/>
            <w:shd w:val="clear" w:color="000000" w:fill="FFFFFF"/>
            <w:noWrap/>
            <w:vAlign w:val="center"/>
          </w:tcPr>
          <w:p w14:paraId="7E80A5BF">
            <w:pPr>
              <w:pStyle w:val="78"/>
              <w:rPr>
                <w:rFonts w:cs="Times New Roman"/>
                <w:szCs w:val="21"/>
              </w:rPr>
            </w:pPr>
            <w:r>
              <w:rPr>
                <w:rFonts w:cs="Times New Roman"/>
                <w:szCs w:val="21"/>
              </w:rPr>
              <w:t>92.14</w:t>
            </w:r>
          </w:p>
        </w:tc>
        <w:tc>
          <w:tcPr>
            <w:tcW w:w="3969" w:type="dxa"/>
            <w:shd w:val="clear" w:color="000000" w:fill="FFFFFF"/>
            <w:noWrap/>
            <w:vAlign w:val="center"/>
          </w:tcPr>
          <w:p w14:paraId="28639F0D">
            <w:pPr>
              <w:pStyle w:val="78"/>
              <w:rPr>
                <w:rFonts w:cs="Times New Roman"/>
                <w:szCs w:val="21"/>
              </w:rPr>
            </w:pPr>
            <w:r>
              <w:rPr>
                <w:rFonts w:cs="Times New Roman"/>
                <w:szCs w:val="21"/>
              </w:rPr>
              <w:t>114.23</w:t>
            </w:r>
          </w:p>
        </w:tc>
        <w:tc>
          <w:tcPr>
            <w:tcW w:w="3827" w:type="dxa"/>
            <w:shd w:val="clear" w:color="000000" w:fill="FFFFFF"/>
            <w:noWrap/>
            <w:vAlign w:val="center"/>
          </w:tcPr>
          <w:p w14:paraId="10D98992">
            <w:pPr>
              <w:pStyle w:val="78"/>
              <w:rPr>
                <w:rFonts w:cs="Times New Roman"/>
                <w:szCs w:val="21"/>
              </w:rPr>
            </w:pPr>
            <w:r>
              <w:rPr>
                <w:rFonts w:cs="Times New Roman"/>
                <w:szCs w:val="21"/>
              </w:rPr>
              <w:t>110.2</w:t>
            </w:r>
          </w:p>
        </w:tc>
      </w:tr>
      <w:tr w14:paraId="4230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6127DAF">
            <w:pPr>
              <w:pStyle w:val="78"/>
              <w:rPr>
                <w:rFonts w:cs="Times New Roman"/>
                <w:szCs w:val="21"/>
              </w:rPr>
            </w:pPr>
          </w:p>
        </w:tc>
        <w:tc>
          <w:tcPr>
            <w:tcW w:w="1559" w:type="dxa"/>
            <w:shd w:val="clear" w:color="000000" w:fill="FFFFFF"/>
            <w:vAlign w:val="center"/>
          </w:tcPr>
          <w:p w14:paraId="2E6C7931">
            <w:pPr>
              <w:pStyle w:val="78"/>
              <w:rPr>
                <w:rFonts w:cs="Times New Roman"/>
                <w:szCs w:val="21"/>
              </w:rPr>
            </w:pPr>
            <w:r>
              <w:rPr>
                <w:rFonts w:cs="Times New Roman"/>
                <w:szCs w:val="21"/>
              </w:rPr>
              <w:t>外观性状</w:t>
            </w:r>
          </w:p>
        </w:tc>
        <w:tc>
          <w:tcPr>
            <w:tcW w:w="3969" w:type="dxa"/>
            <w:shd w:val="clear" w:color="000000" w:fill="FFFFFF"/>
            <w:vAlign w:val="center"/>
          </w:tcPr>
          <w:p w14:paraId="127225BE">
            <w:pPr>
              <w:pStyle w:val="78"/>
              <w:rPr>
                <w:rFonts w:cs="Times New Roman"/>
                <w:szCs w:val="21"/>
              </w:rPr>
            </w:pPr>
            <w:r>
              <w:rPr>
                <w:rFonts w:cs="Times New Roman"/>
                <w:szCs w:val="21"/>
              </w:rPr>
              <w:t>无色透明液体，有类似苯的芳香气味。</w:t>
            </w:r>
          </w:p>
        </w:tc>
        <w:tc>
          <w:tcPr>
            <w:tcW w:w="3969" w:type="dxa"/>
            <w:shd w:val="clear" w:color="000000" w:fill="FFFFFF"/>
            <w:vAlign w:val="center"/>
          </w:tcPr>
          <w:p w14:paraId="401EB4CD">
            <w:pPr>
              <w:pStyle w:val="78"/>
              <w:rPr>
                <w:rFonts w:cs="Times New Roman"/>
                <w:szCs w:val="21"/>
              </w:rPr>
            </w:pPr>
            <w:r>
              <w:rPr>
                <w:rFonts w:cs="Times New Roman"/>
                <w:szCs w:val="21"/>
              </w:rPr>
              <w:t>液体。</w:t>
            </w:r>
          </w:p>
        </w:tc>
        <w:tc>
          <w:tcPr>
            <w:tcW w:w="3827" w:type="dxa"/>
            <w:shd w:val="clear" w:color="000000" w:fill="FFFFFF"/>
            <w:vAlign w:val="center"/>
          </w:tcPr>
          <w:p w14:paraId="750B00F3">
            <w:pPr>
              <w:pStyle w:val="78"/>
              <w:rPr>
                <w:rFonts w:cs="Times New Roman"/>
                <w:szCs w:val="21"/>
              </w:rPr>
            </w:pPr>
            <w:r>
              <w:rPr>
                <w:rFonts w:cs="Times New Roman"/>
                <w:szCs w:val="21"/>
              </w:rPr>
              <w:t>无色液体。</w:t>
            </w:r>
          </w:p>
        </w:tc>
      </w:tr>
      <w:tr w14:paraId="708A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407BE29">
            <w:pPr>
              <w:pStyle w:val="78"/>
              <w:rPr>
                <w:rFonts w:cs="Times New Roman"/>
                <w:szCs w:val="21"/>
              </w:rPr>
            </w:pPr>
          </w:p>
        </w:tc>
        <w:tc>
          <w:tcPr>
            <w:tcW w:w="1559" w:type="dxa"/>
            <w:shd w:val="clear" w:color="000000" w:fill="FFFFFF"/>
            <w:vAlign w:val="center"/>
          </w:tcPr>
          <w:p w14:paraId="481707F5">
            <w:pPr>
              <w:pStyle w:val="78"/>
              <w:rPr>
                <w:rFonts w:cs="Times New Roman"/>
                <w:szCs w:val="21"/>
              </w:rPr>
            </w:pPr>
            <w:r>
              <w:rPr>
                <w:rFonts w:cs="Times New Roman"/>
                <w:szCs w:val="21"/>
              </w:rPr>
              <w:t>沸点，℃</w:t>
            </w:r>
          </w:p>
        </w:tc>
        <w:tc>
          <w:tcPr>
            <w:tcW w:w="3969" w:type="dxa"/>
            <w:shd w:val="clear" w:color="000000" w:fill="FFFFFF"/>
            <w:vAlign w:val="center"/>
          </w:tcPr>
          <w:p w14:paraId="36990C69">
            <w:pPr>
              <w:pStyle w:val="78"/>
              <w:rPr>
                <w:rFonts w:cs="Times New Roman"/>
                <w:szCs w:val="21"/>
              </w:rPr>
            </w:pPr>
            <w:r>
              <w:rPr>
                <w:rFonts w:cs="Times New Roman"/>
                <w:szCs w:val="21"/>
              </w:rPr>
              <w:t>110.6</w:t>
            </w:r>
          </w:p>
        </w:tc>
        <w:tc>
          <w:tcPr>
            <w:tcW w:w="3969" w:type="dxa"/>
            <w:shd w:val="clear" w:color="000000" w:fill="FFFFFF"/>
            <w:vAlign w:val="center"/>
          </w:tcPr>
          <w:p w14:paraId="287DD9C9">
            <w:pPr>
              <w:pStyle w:val="78"/>
              <w:rPr>
                <w:rFonts w:cs="Times New Roman"/>
                <w:szCs w:val="21"/>
              </w:rPr>
            </w:pPr>
            <w:r>
              <w:rPr>
                <w:rFonts w:cs="Times New Roman"/>
                <w:szCs w:val="21"/>
              </w:rPr>
              <w:t>99.2(100kPa)</w:t>
            </w:r>
          </w:p>
        </w:tc>
        <w:tc>
          <w:tcPr>
            <w:tcW w:w="3827" w:type="dxa"/>
            <w:shd w:val="clear" w:color="000000" w:fill="FFFFFF"/>
            <w:vAlign w:val="center"/>
          </w:tcPr>
          <w:p w14:paraId="7F18ABFD">
            <w:pPr>
              <w:pStyle w:val="78"/>
              <w:rPr>
                <w:rFonts w:cs="Times New Roman"/>
                <w:szCs w:val="21"/>
              </w:rPr>
            </w:pPr>
            <w:r>
              <w:rPr>
                <w:rFonts w:cs="Times New Roman"/>
                <w:szCs w:val="21"/>
              </w:rPr>
              <w:t>138～146</w:t>
            </w:r>
          </w:p>
        </w:tc>
      </w:tr>
      <w:tr w14:paraId="2840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F1AA42E">
            <w:pPr>
              <w:pStyle w:val="78"/>
              <w:rPr>
                <w:rFonts w:cs="Times New Roman"/>
                <w:szCs w:val="21"/>
              </w:rPr>
            </w:pPr>
          </w:p>
        </w:tc>
        <w:tc>
          <w:tcPr>
            <w:tcW w:w="1559" w:type="dxa"/>
            <w:shd w:val="clear" w:color="000000" w:fill="FFFFFF"/>
            <w:vAlign w:val="center"/>
          </w:tcPr>
          <w:p w14:paraId="5C194510">
            <w:pPr>
              <w:pStyle w:val="78"/>
              <w:rPr>
                <w:rFonts w:cs="Times New Roman"/>
                <w:szCs w:val="21"/>
              </w:rPr>
            </w:pPr>
            <w:r>
              <w:rPr>
                <w:rFonts w:cs="Times New Roman"/>
                <w:szCs w:val="21"/>
              </w:rPr>
              <w:t>熔点，℃</w:t>
            </w:r>
          </w:p>
        </w:tc>
        <w:tc>
          <w:tcPr>
            <w:tcW w:w="3969" w:type="dxa"/>
            <w:shd w:val="clear" w:color="000000" w:fill="FFFFFF"/>
            <w:vAlign w:val="center"/>
          </w:tcPr>
          <w:p w14:paraId="507B542C">
            <w:pPr>
              <w:pStyle w:val="78"/>
              <w:rPr>
                <w:rFonts w:cs="Times New Roman"/>
                <w:szCs w:val="21"/>
              </w:rPr>
            </w:pPr>
            <w:r>
              <w:rPr>
                <w:rFonts w:cs="Times New Roman"/>
                <w:szCs w:val="21"/>
              </w:rPr>
              <w:t>-94.9</w:t>
            </w:r>
          </w:p>
        </w:tc>
        <w:tc>
          <w:tcPr>
            <w:tcW w:w="3969" w:type="dxa"/>
            <w:shd w:val="clear" w:color="000000" w:fill="FFFFFF"/>
            <w:vAlign w:val="center"/>
          </w:tcPr>
          <w:p w14:paraId="26590243">
            <w:pPr>
              <w:pStyle w:val="78"/>
              <w:rPr>
                <w:rFonts w:cs="Times New Roman"/>
                <w:szCs w:val="21"/>
              </w:rPr>
            </w:pPr>
            <w:r>
              <w:rPr>
                <w:rFonts w:cs="Times New Roman"/>
                <w:szCs w:val="21"/>
              </w:rPr>
              <w:t>/</w:t>
            </w:r>
          </w:p>
        </w:tc>
        <w:tc>
          <w:tcPr>
            <w:tcW w:w="3827" w:type="dxa"/>
            <w:shd w:val="clear" w:color="000000" w:fill="FFFFFF"/>
            <w:vAlign w:val="center"/>
          </w:tcPr>
          <w:p w14:paraId="3FB89BDB">
            <w:pPr>
              <w:pStyle w:val="78"/>
              <w:rPr>
                <w:rFonts w:cs="Times New Roman"/>
                <w:szCs w:val="21"/>
              </w:rPr>
            </w:pPr>
            <w:r>
              <w:rPr>
                <w:rFonts w:cs="Times New Roman"/>
                <w:szCs w:val="21"/>
              </w:rPr>
              <w:t>-12～-16</w:t>
            </w:r>
          </w:p>
        </w:tc>
      </w:tr>
      <w:tr w14:paraId="6AFF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A5BE262">
            <w:pPr>
              <w:pStyle w:val="78"/>
              <w:rPr>
                <w:rFonts w:cs="Times New Roman"/>
                <w:szCs w:val="21"/>
              </w:rPr>
            </w:pPr>
          </w:p>
        </w:tc>
        <w:tc>
          <w:tcPr>
            <w:tcW w:w="1559" w:type="dxa"/>
            <w:shd w:val="clear" w:color="000000" w:fill="FFFFFF"/>
            <w:vAlign w:val="center"/>
          </w:tcPr>
          <w:p w14:paraId="72088C36">
            <w:pPr>
              <w:pStyle w:val="78"/>
              <w:rPr>
                <w:rFonts w:cs="Times New Roman"/>
                <w:szCs w:val="21"/>
              </w:rPr>
            </w:pPr>
            <w:r>
              <w:rPr>
                <w:rFonts w:cs="Times New Roman"/>
                <w:szCs w:val="21"/>
              </w:rPr>
              <w:t>饱和蒸汽压，kPa</w:t>
            </w:r>
          </w:p>
        </w:tc>
        <w:tc>
          <w:tcPr>
            <w:tcW w:w="3969" w:type="dxa"/>
            <w:shd w:val="clear" w:color="000000" w:fill="FFFFFF"/>
            <w:vAlign w:val="center"/>
          </w:tcPr>
          <w:p w14:paraId="4CF7DFD0">
            <w:pPr>
              <w:pStyle w:val="78"/>
              <w:rPr>
                <w:rFonts w:cs="Times New Roman"/>
                <w:szCs w:val="21"/>
              </w:rPr>
            </w:pPr>
            <w:r>
              <w:rPr>
                <w:rFonts w:cs="Times New Roman"/>
                <w:szCs w:val="21"/>
              </w:rPr>
              <w:t>3.8(25℃)</w:t>
            </w:r>
          </w:p>
        </w:tc>
        <w:tc>
          <w:tcPr>
            <w:tcW w:w="3969" w:type="dxa"/>
            <w:shd w:val="clear" w:color="000000" w:fill="FFFFFF"/>
            <w:vAlign w:val="center"/>
          </w:tcPr>
          <w:p w14:paraId="5C52137D">
            <w:pPr>
              <w:pStyle w:val="78"/>
              <w:rPr>
                <w:rFonts w:cs="Times New Roman"/>
                <w:szCs w:val="21"/>
              </w:rPr>
            </w:pPr>
            <w:r>
              <w:rPr>
                <w:rFonts w:cs="Times New Roman"/>
                <w:szCs w:val="21"/>
              </w:rPr>
              <w:t>/</w:t>
            </w:r>
          </w:p>
        </w:tc>
        <w:tc>
          <w:tcPr>
            <w:tcW w:w="3827" w:type="dxa"/>
            <w:shd w:val="clear" w:color="000000" w:fill="FFFFFF"/>
            <w:vAlign w:val="center"/>
          </w:tcPr>
          <w:p w14:paraId="53C295F3">
            <w:pPr>
              <w:pStyle w:val="78"/>
              <w:rPr>
                <w:rFonts w:cs="Times New Roman"/>
                <w:szCs w:val="21"/>
              </w:rPr>
            </w:pPr>
            <w:r>
              <w:rPr>
                <w:rFonts w:cs="Times New Roman"/>
                <w:szCs w:val="21"/>
              </w:rPr>
              <w:t>0.8(20℃)</w:t>
            </w:r>
          </w:p>
        </w:tc>
      </w:tr>
      <w:tr w14:paraId="54D2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635B3B9F">
            <w:pPr>
              <w:pStyle w:val="78"/>
              <w:rPr>
                <w:rFonts w:cs="Times New Roman"/>
                <w:szCs w:val="21"/>
              </w:rPr>
            </w:pPr>
            <w:r>
              <w:rPr>
                <w:rFonts w:cs="Times New Roman"/>
                <w:szCs w:val="21"/>
              </w:rPr>
              <w:t>危险性类别</w:t>
            </w:r>
          </w:p>
        </w:tc>
        <w:tc>
          <w:tcPr>
            <w:tcW w:w="3969" w:type="dxa"/>
            <w:shd w:val="clear" w:color="000000" w:fill="FFFFFF"/>
            <w:vAlign w:val="center"/>
          </w:tcPr>
          <w:p w14:paraId="3E0B1E66">
            <w:pPr>
              <w:pStyle w:val="78"/>
              <w:rPr>
                <w:rFonts w:cs="Times New Roman"/>
                <w:szCs w:val="21"/>
              </w:rPr>
            </w:pPr>
            <w:r>
              <w:rPr>
                <w:rFonts w:cs="Times New Roman"/>
                <w:szCs w:val="21"/>
              </w:rPr>
              <w:t>易燃液体,类别2,皮肤腐蚀/刺激,类别2,生殖毒性,类别2,特异性靶器官毒性-一次接触,类别3（麻醉效应）,特异性靶器官毒性-反复接触,类别2*,吸入危害,类别1,危害水生环境-急性危害,类别2,危害水生环境-长期危害,类别3</w:t>
            </w:r>
          </w:p>
        </w:tc>
        <w:tc>
          <w:tcPr>
            <w:tcW w:w="3969" w:type="dxa"/>
            <w:shd w:val="clear" w:color="000000" w:fill="FFFFFF"/>
            <w:vAlign w:val="center"/>
          </w:tcPr>
          <w:p w14:paraId="4B9A0E83">
            <w:pPr>
              <w:pStyle w:val="78"/>
              <w:rPr>
                <w:rFonts w:cs="Times New Roman"/>
                <w:szCs w:val="21"/>
              </w:rPr>
            </w:pPr>
            <w:r>
              <w:rPr>
                <w:rFonts w:cs="Times New Roman"/>
                <w:szCs w:val="21"/>
              </w:rPr>
              <w:t>易燃液体,类别2,皮肤腐蚀/刺激,类别2,特异性靶器官毒性-一次接触,类别3（麻醉效应）,吸入危害,类别1,危害水生环境-急性危害,类别1,危害水生环境-长期危害,类别1</w:t>
            </w:r>
          </w:p>
        </w:tc>
        <w:tc>
          <w:tcPr>
            <w:tcW w:w="3827" w:type="dxa"/>
            <w:shd w:val="clear" w:color="000000" w:fill="FFFFFF"/>
            <w:vAlign w:val="center"/>
          </w:tcPr>
          <w:p w14:paraId="702BA129">
            <w:pPr>
              <w:pStyle w:val="78"/>
              <w:rPr>
                <w:rFonts w:cs="Times New Roman"/>
                <w:szCs w:val="21"/>
              </w:rPr>
            </w:pPr>
            <w:r>
              <w:rPr>
                <w:rFonts w:cs="Times New Roman"/>
                <w:szCs w:val="21"/>
              </w:rPr>
              <w:t>易燃液体,类别3,危害水生环境-急性危害,类别1,危害水生环境-长期危害,类别1</w:t>
            </w:r>
          </w:p>
        </w:tc>
      </w:tr>
      <w:tr w14:paraId="0C45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2F3CCF48">
            <w:pPr>
              <w:pStyle w:val="78"/>
              <w:rPr>
                <w:rFonts w:cs="Times New Roman"/>
                <w:szCs w:val="21"/>
              </w:rPr>
            </w:pPr>
            <w:r>
              <w:rPr>
                <w:rFonts w:cs="Times New Roman"/>
                <w:szCs w:val="21"/>
              </w:rPr>
              <w:t>危险特性</w:t>
            </w:r>
          </w:p>
        </w:tc>
        <w:tc>
          <w:tcPr>
            <w:tcW w:w="3969" w:type="dxa"/>
            <w:shd w:val="clear" w:color="000000" w:fill="FFFFFF"/>
            <w:vAlign w:val="center"/>
          </w:tcPr>
          <w:p w14:paraId="4AE8CD54">
            <w:pPr>
              <w:pStyle w:val="78"/>
              <w:rPr>
                <w:rFonts w:cs="Times New Roman"/>
                <w:szCs w:val="21"/>
              </w:rPr>
            </w:pPr>
            <w:r>
              <w:rPr>
                <w:rFonts w:cs="Times New Roman"/>
                <w:szCs w:val="21"/>
              </w:rPr>
              <w:t>高度易燃，其蒸气与空气混合，能形成爆炸性混合物。</w:t>
            </w:r>
          </w:p>
          <w:p w14:paraId="6019F6FD">
            <w:pPr>
              <w:pStyle w:val="78"/>
              <w:rPr>
                <w:rFonts w:cs="Times New Roman"/>
                <w:szCs w:val="21"/>
              </w:rPr>
            </w:pPr>
            <w:r>
              <w:rPr>
                <w:rFonts w:cs="Times New Roman"/>
                <w:szCs w:val="21"/>
              </w:rPr>
              <w:t>与强氧化剂等禁配物接触，有发生火灾和爆炸的危险。</w:t>
            </w:r>
          </w:p>
        </w:tc>
        <w:tc>
          <w:tcPr>
            <w:tcW w:w="3969" w:type="dxa"/>
            <w:shd w:val="clear" w:color="000000" w:fill="FFFFFF"/>
            <w:vAlign w:val="center"/>
          </w:tcPr>
          <w:p w14:paraId="5F254231">
            <w:pPr>
              <w:pStyle w:val="78"/>
              <w:rPr>
                <w:rFonts w:cs="Times New Roman"/>
                <w:szCs w:val="21"/>
              </w:rPr>
            </w:pPr>
            <w:r>
              <w:rPr>
                <w:rFonts w:cs="Times New Roman"/>
                <w:szCs w:val="21"/>
              </w:rPr>
              <w:t>高度易燃液体和蒸气。</w:t>
            </w:r>
          </w:p>
          <w:p w14:paraId="33693C6D">
            <w:pPr>
              <w:pStyle w:val="78"/>
              <w:rPr>
                <w:rFonts w:cs="Times New Roman"/>
                <w:szCs w:val="21"/>
              </w:rPr>
            </w:pPr>
            <w:r>
              <w:rPr>
                <w:rFonts w:cs="Times New Roman"/>
                <w:szCs w:val="21"/>
              </w:rPr>
              <w:t>与强氧化剂接触，有发生火灾和爆炸的危险。</w:t>
            </w:r>
          </w:p>
        </w:tc>
        <w:tc>
          <w:tcPr>
            <w:tcW w:w="3827" w:type="dxa"/>
            <w:shd w:val="clear" w:color="000000" w:fill="FFFFFF"/>
            <w:vAlign w:val="center"/>
          </w:tcPr>
          <w:p w14:paraId="673FE747">
            <w:pPr>
              <w:pStyle w:val="78"/>
              <w:rPr>
                <w:rFonts w:cs="Times New Roman"/>
                <w:szCs w:val="21"/>
              </w:rPr>
            </w:pPr>
            <w:r>
              <w:rPr>
                <w:rFonts w:cs="Times New Roman"/>
                <w:szCs w:val="21"/>
              </w:rPr>
              <w:t>易燃，其蒸气与空气混合，能形成爆炸性混合物。</w:t>
            </w:r>
          </w:p>
          <w:p w14:paraId="19988C27">
            <w:pPr>
              <w:pStyle w:val="78"/>
              <w:rPr>
                <w:rFonts w:cs="Times New Roman"/>
                <w:szCs w:val="21"/>
              </w:rPr>
            </w:pPr>
            <w:r>
              <w:rPr>
                <w:rFonts w:cs="Times New Roman"/>
                <w:szCs w:val="21"/>
              </w:rPr>
              <w:t>与强氧化剂等禁配物接触，有发生火灾和爆炸的危险。高热下发生聚合。</w:t>
            </w:r>
          </w:p>
        </w:tc>
      </w:tr>
      <w:tr w14:paraId="594E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5CFC5E3E">
            <w:pPr>
              <w:pStyle w:val="78"/>
              <w:rPr>
                <w:rFonts w:cs="Times New Roman"/>
                <w:szCs w:val="21"/>
              </w:rPr>
            </w:pPr>
            <w:r>
              <w:rPr>
                <w:rFonts w:cs="Times New Roman"/>
                <w:szCs w:val="21"/>
              </w:rPr>
              <w:t>禁忌物</w:t>
            </w:r>
          </w:p>
        </w:tc>
        <w:tc>
          <w:tcPr>
            <w:tcW w:w="3969" w:type="dxa"/>
            <w:shd w:val="clear" w:color="000000" w:fill="FFFFFF"/>
            <w:vAlign w:val="center"/>
          </w:tcPr>
          <w:p w14:paraId="58B856E0">
            <w:pPr>
              <w:pStyle w:val="78"/>
              <w:rPr>
                <w:rFonts w:cs="Times New Roman"/>
                <w:szCs w:val="21"/>
              </w:rPr>
            </w:pPr>
            <w:r>
              <w:rPr>
                <w:rFonts w:cs="Times New Roman"/>
                <w:szCs w:val="21"/>
              </w:rPr>
              <w:t>强氧化剂、酸类、卤素等。</w:t>
            </w:r>
          </w:p>
        </w:tc>
        <w:tc>
          <w:tcPr>
            <w:tcW w:w="3969" w:type="dxa"/>
            <w:shd w:val="clear" w:color="000000" w:fill="FFFFFF"/>
            <w:vAlign w:val="center"/>
          </w:tcPr>
          <w:p w14:paraId="32E9ADDC">
            <w:pPr>
              <w:pStyle w:val="78"/>
              <w:rPr>
                <w:rFonts w:cs="Times New Roman"/>
                <w:szCs w:val="21"/>
              </w:rPr>
            </w:pPr>
            <w:r>
              <w:rPr>
                <w:rFonts w:cs="Times New Roman"/>
                <w:szCs w:val="21"/>
              </w:rPr>
              <w:t>氧化剂、卤素。</w:t>
            </w:r>
          </w:p>
        </w:tc>
        <w:tc>
          <w:tcPr>
            <w:tcW w:w="3827" w:type="dxa"/>
            <w:shd w:val="clear" w:color="000000" w:fill="FFFFFF"/>
            <w:vAlign w:val="center"/>
          </w:tcPr>
          <w:p w14:paraId="49BFACA2">
            <w:pPr>
              <w:pStyle w:val="78"/>
              <w:rPr>
                <w:rFonts w:cs="Times New Roman"/>
                <w:szCs w:val="21"/>
              </w:rPr>
            </w:pPr>
            <w:r>
              <w:rPr>
                <w:rFonts w:cs="Times New Roman"/>
                <w:szCs w:val="21"/>
              </w:rPr>
              <w:t>强氧化剂、酸类、卤代烃、卤素等。</w:t>
            </w:r>
          </w:p>
        </w:tc>
      </w:tr>
      <w:tr w14:paraId="7D63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39C0EE3F">
            <w:pPr>
              <w:pStyle w:val="78"/>
              <w:rPr>
                <w:rFonts w:cs="Times New Roman"/>
                <w:szCs w:val="21"/>
              </w:rPr>
            </w:pPr>
            <w:r>
              <w:rPr>
                <w:rFonts w:cs="Times New Roman"/>
                <w:szCs w:val="21"/>
              </w:rPr>
              <w:t>毒性及健康危害</w:t>
            </w:r>
          </w:p>
        </w:tc>
        <w:tc>
          <w:tcPr>
            <w:tcW w:w="1559" w:type="dxa"/>
            <w:shd w:val="clear" w:color="000000" w:fill="FFFFFF"/>
            <w:vAlign w:val="center"/>
          </w:tcPr>
          <w:p w14:paraId="3980BE7B">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1B183520">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：636mg/kg（大鼠经口）；12124mg/kg（兔经皮）</w:t>
            </w:r>
            <w:r>
              <w:rPr>
                <w:rFonts w:cs="Times New Roman"/>
                <w:szCs w:val="21"/>
              </w:rPr>
              <w:br w:type="textWrapping"/>
            </w:r>
            <w:r>
              <w:rPr>
                <w:rFonts w:cs="Times New Roman"/>
                <w:szCs w:val="21"/>
              </w:rPr>
              <w:t>LC</w:t>
            </w:r>
            <w:r>
              <w:rPr>
                <w:rFonts w:cs="Times New Roman"/>
                <w:szCs w:val="21"/>
                <w:vertAlign w:val="subscript"/>
              </w:rPr>
              <w:t>50</w:t>
            </w:r>
            <w:r>
              <w:rPr>
                <w:rFonts w:cs="Times New Roman"/>
                <w:szCs w:val="21"/>
              </w:rPr>
              <w:t>：49g/m</w:t>
            </w:r>
            <w:r>
              <w:rPr>
                <w:rFonts w:cs="Times New Roman"/>
                <w:szCs w:val="21"/>
                <w:vertAlign w:val="superscript"/>
              </w:rPr>
              <w:t>3</w:t>
            </w:r>
            <w:r>
              <w:rPr>
                <w:rFonts w:cs="Times New Roman"/>
                <w:szCs w:val="21"/>
              </w:rPr>
              <w:t>（大鼠吸入，4h）；30g/m</w:t>
            </w:r>
            <w:r>
              <w:rPr>
                <w:rFonts w:cs="Times New Roman"/>
                <w:szCs w:val="21"/>
                <w:vertAlign w:val="superscript"/>
              </w:rPr>
              <w:t>3</w:t>
            </w:r>
            <w:r>
              <w:rPr>
                <w:rFonts w:cs="Times New Roman"/>
                <w:szCs w:val="21"/>
              </w:rPr>
              <w:t>（小鼠吸入，2h）</w:t>
            </w:r>
          </w:p>
        </w:tc>
        <w:tc>
          <w:tcPr>
            <w:tcW w:w="3969" w:type="dxa"/>
            <w:shd w:val="clear" w:color="000000" w:fill="FFFFFF"/>
            <w:vAlign w:val="center"/>
          </w:tcPr>
          <w:p w14:paraId="0ABAC832">
            <w:pPr>
              <w:pStyle w:val="78"/>
              <w:rPr>
                <w:rFonts w:cs="Times New Roman"/>
                <w:szCs w:val="21"/>
              </w:rPr>
            </w:pPr>
            <w:r>
              <w:rPr>
                <w:rFonts w:cs="Times New Roman"/>
                <w:szCs w:val="21"/>
              </w:rPr>
              <w:t>/</w:t>
            </w:r>
          </w:p>
        </w:tc>
        <w:tc>
          <w:tcPr>
            <w:tcW w:w="3827" w:type="dxa"/>
            <w:shd w:val="clear" w:color="000000" w:fill="FFFFFF"/>
            <w:vAlign w:val="center"/>
          </w:tcPr>
          <w:p w14:paraId="3A9EE927">
            <w:pPr>
              <w:pStyle w:val="78"/>
              <w:rPr>
                <w:rFonts w:cs="Times New Roman"/>
                <w:szCs w:val="21"/>
              </w:rPr>
            </w:pPr>
            <w:r>
              <w:rPr>
                <w:rFonts w:cs="Times New Roman"/>
                <w:szCs w:val="21"/>
              </w:rPr>
              <w:t>无资料。</w:t>
            </w:r>
          </w:p>
        </w:tc>
      </w:tr>
      <w:tr w14:paraId="75CE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63872201">
            <w:pPr>
              <w:pStyle w:val="78"/>
              <w:rPr>
                <w:rFonts w:cs="Times New Roman"/>
                <w:szCs w:val="21"/>
              </w:rPr>
            </w:pPr>
          </w:p>
        </w:tc>
        <w:tc>
          <w:tcPr>
            <w:tcW w:w="1559" w:type="dxa"/>
            <w:shd w:val="clear" w:color="000000" w:fill="FFFFFF"/>
            <w:vAlign w:val="center"/>
          </w:tcPr>
          <w:p w14:paraId="523075C6">
            <w:pPr>
              <w:pStyle w:val="78"/>
              <w:rPr>
                <w:rFonts w:cs="Times New Roman"/>
                <w:szCs w:val="21"/>
              </w:rPr>
            </w:pPr>
            <w:r>
              <w:rPr>
                <w:rFonts w:cs="Times New Roman"/>
                <w:szCs w:val="21"/>
              </w:rPr>
              <w:t>中毒途径</w:t>
            </w:r>
          </w:p>
        </w:tc>
        <w:tc>
          <w:tcPr>
            <w:tcW w:w="3969" w:type="dxa"/>
            <w:shd w:val="clear" w:color="000000" w:fill="FFFFFF"/>
            <w:noWrap/>
            <w:vAlign w:val="center"/>
          </w:tcPr>
          <w:p w14:paraId="28231EF9">
            <w:pPr>
              <w:pStyle w:val="78"/>
              <w:rPr>
                <w:rFonts w:cs="Times New Roman"/>
                <w:szCs w:val="21"/>
              </w:rPr>
            </w:pPr>
            <w:r>
              <w:rPr>
                <w:rFonts w:cs="Times New Roman"/>
                <w:szCs w:val="21"/>
              </w:rPr>
              <w:t>皮肤接触、吸入、食入</w:t>
            </w:r>
          </w:p>
        </w:tc>
        <w:tc>
          <w:tcPr>
            <w:tcW w:w="3969" w:type="dxa"/>
            <w:shd w:val="clear" w:color="000000" w:fill="FFFFFF"/>
            <w:noWrap/>
            <w:vAlign w:val="center"/>
          </w:tcPr>
          <w:p w14:paraId="6667FB77">
            <w:pPr>
              <w:pStyle w:val="78"/>
              <w:rPr>
                <w:rFonts w:cs="Times New Roman"/>
                <w:szCs w:val="21"/>
              </w:rPr>
            </w:pPr>
            <w:r>
              <w:rPr>
                <w:rFonts w:cs="Times New Roman"/>
                <w:szCs w:val="21"/>
              </w:rPr>
              <w:t>皮肤接触、食入、吸入</w:t>
            </w:r>
          </w:p>
        </w:tc>
        <w:tc>
          <w:tcPr>
            <w:tcW w:w="3827" w:type="dxa"/>
            <w:shd w:val="clear" w:color="000000" w:fill="FFFFFF"/>
            <w:noWrap/>
            <w:vAlign w:val="center"/>
          </w:tcPr>
          <w:p w14:paraId="3E26E93C">
            <w:pPr>
              <w:pStyle w:val="78"/>
              <w:rPr>
                <w:rFonts w:cs="Times New Roman"/>
                <w:szCs w:val="21"/>
              </w:rPr>
            </w:pPr>
            <w:r>
              <w:rPr>
                <w:rFonts w:cs="Times New Roman"/>
                <w:szCs w:val="21"/>
              </w:rPr>
              <w:t>吸入、皮肤接触</w:t>
            </w:r>
          </w:p>
        </w:tc>
      </w:tr>
      <w:tr w14:paraId="1A09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CB5D4B8">
            <w:pPr>
              <w:pStyle w:val="78"/>
              <w:rPr>
                <w:rFonts w:cs="Times New Roman"/>
                <w:szCs w:val="21"/>
              </w:rPr>
            </w:pPr>
          </w:p>
        </w:tc>
        <w:tc>
          <w:tcPr>
            <w:tcW w:w="1559" w:type="dxa"/>
            <w:shd w:val="clear" w:color="000000" w:fill="FFFFFF"/>
            <w:vAlign w:val="center"/>
          </w:tcPr>
          <w:p w14:paraId="36AE5051">
            <w:pPr>
              <w:pStyle w:val="78"/>
              <w:rPr>
                <w:rFonts w:cs="Times New Roman"/>
                <w:szCs w:val="21"/>
              </w:rPr>
            </w:pPr>
            <w:r>
              <w:rPr>
                <w:rFonts w:cs="Times New Roman"/>
                <w:szCs w:val="21"/>
              </w:rPr>
              <w:t>健康危害</w:t>
            </w:r>
          </w:p>
        </w:tc>
        <w:tc>
          <w:tcPr>
            <w:tcW w:w="3969" w:type="dxa"/>
            <w:shd w:val="clear" w:color="000000" w:fill="FFFFFF"/>
            <w:vAlign w:val="center"/>
          </w:tcPr>
          <w:p w14:paraId="584BF31D">
            <w:pPr>
              <w:pStyle w:val="78"/>
              <w:rPr>
                <w:rFonts w:cs="Times New Roman"/>
                <w:szCs w:val="21"/>
              </w:rPr>
            </w:pPr>
            <w:r>
              <w:rPr>
                <w:rFonts w:cs="Times New Roman"/>
                <w:szCs w:val="21"/>
              </w:rPr>
              <w:t>对皮肤、黏膜有刺激性，对中枢神经系统有麻醉作用。急性中毒：短时间内吸入较高浓度本品表现为中枢神经系统麻醉作用，出现头晕、头痛、恶心、呕吐、胸闷、四肢无力、步态蹒跚、意识模糊。重症者可有躁动、抽搐、昏迷。呼吸道和眼结膜可有明显刺激症状。液体吸入肺内可引起肺炎、肺水肿和肺出血。可出现明显的心脏损害。液态本品吸入呼吸道可引起吸入性肺炎。慢性影响：长期接触可发生神经衰弱综合征，肝肿大，女工月经异常等。皮肤干燥、皲裂、皮炎。</w:t>
            </w:r>
          </w:p>
        </w:tc>
        <w:tc>
          <w:tcPr>
            <w:tcW w:w="3969" w:type="dxa"/>
            <w:shd w:val="clear" w:color="000000" w:fill="FFFFFF"/>
            <w:vAlign w:val="center"/>
          </w:tcPr>
          <w:p w14:paraId="74BA8882">
            <w:pPr>
              <w:pStyle w:val="78"/>
              <w:rPr>
                <w:rFonts w:cs="Times New Roman"/>
                <w:szCs w:val="21"/>
              </w:rPr>
            </w:pPr>
            <w:r>
              <w:rPr>
                <w:rFonts w:cs="Times New Roman"/>
                <w:szCs w:val="21"/>
              </w:rPr>
              <w:t>造成皮肤刺激，可能引起昏昏欲睡或眩晕，吞咽及进入呼吸道可能致命。</w:t>
            </w:r>
          </w:p>
        </w:tc>
        <w:tc>
          <w:tcPr>
            <w:tcW w:w="3827" w:type="dxa"/>
            <w:shd w:val="clear" w:color="000000" w:fill="FFFFFF"/>
            <w:vAlign w:val="center"/>
          </w:tcPr>
          <w:p w14:paraId="3313CF6D">
            <w:pPr>
              <w:pStyle w:val="78"/>
              <w:rPr>
                <w:rFonts w:cs="Times New Roman"/>
                <w:szCs w:val="21"/>
              </w:rPr>
            </w:pPr>
            <w:r>
              <w:rPr>
                <w:rFonts w:cs="Times New Roman"/>
                <w:szCs w:val="21"/>
              </w:rPr>
              <w:t>本品属脂环族烃类，该类物质具有麻醉和中枢神经抑制作用，对皮肤有刺激性和脱脂作用。</w:t>
            </w:r>
          </w:p>
        </w:tc>
      </w:tr>
      <w:tr w14:paraId="3CB3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0FBE36E">
            <w:pPr>
              <w:pStyle w:val="78"/>
              <w:rPr>
                <w:rFonts w:cs="Times New Roman"/>
                <w:szCs w:val="21"/>
              </w:rPr>
            </w:pPr>
          </w:p>
        </w:tc>
        <w:tc>
          <w:tcPr>
            <w:tcW w:w="1559" w:type="dxa"/>
            <w:shd w:val="clear" w:color="000000" w:fill="FFFFFF"/>
            <w:noWrap/>
            <w:vAlign w:val="center"/>
          </w:tcPr>
          <w:p w14:paraId="0A50F69D">
            <w:pPr>
              <w:pStyle w:val="78"/>
              <w:rPr>
                <w:rFonts w:cs="Times New Roman"/>
                <w:szCs w:val="21"/>
              </w:rPr>
            </w:pPr>
            <w:r>
              <w:rPr>
                <w:rFonts w:cs="Times New Roman"/>
                <w:szCs w:val="21"/>
              </w:rPr>
              <w:t>环境危害</w:t>
            </w:r>
          </w:p>
        </w:tc>
        <w:tc>
          <w:tcPr>
            <w:tcW w:w="3969" w:type="dxa"/>
            <w:shd w:val="clear" w:color="000000" w:fill="FFFFFF"/>
            <w:vAlign w:val="center"/>
          </w:tcPr>
          <w:p w14:paraId="5F119E0E">
            <w:pPr>
              <w:pStyle w:val="78"/>
              <w:rPr>
                <w:rFonts w:cs="Times New Roman"/>
                <w:szCs w:val="21"/>
              </w:rPr>
            </w:pPr>
            <w:r>
              <w:rPr>
                <w:rFonts w:cs="Times New Roman"/>
                <w:szCs w:val="21"/>
              </w:rPr>
              <w:t>对水生生物有害并具有长期持续影响。</w:t>
            </w:r>
          </w:p>
        </w:tc>
        <w:tc>
          <w:tcPr>
            <w:tcW w:w="3969" w:type="dxa"/>
            <w:shd w:val="clear" w:color="000000" w:fill="FFFFFF"/>
            <w:vAlign w:val="center"/>
          </w:tcPr>
          <w:p w14:paraId="41E961B1">
            <w:pPr>
              <w:pStyle w:val="78"/>
              <w:rPr>
                <w:rFonts w:cs="Times New Roman"/>
                <w:szCs w:val="21"/>
              </w:rPr>
            </w:pPr>
            <w:r>
              <w:rPr>
                <w:rFonts w:cs="Times New Roman"/>
                <w:szCs w:val="21"/>
              </w:rPr>
              <w:t>/</w:t>
            </w:r>
          </w:p>
        </w:tc>
        <w:tc>
          <w:tcPr>
            <w:tcW w:w="3827" w:type="dxa"/>
            <w:shd w:val="clear" w:color="000000" w:fill="FFFFFF"/>
            <w:vAlign w:val="center"/>
          </w:tcPr>
          <w:p w14:paraId="31559EA4">
            <w:pPr>
              <w:pStyle w:val="78"/>
              <w:rPr>
                <w:rFonts w:cs="Times New Roman"/>
                <w:szCs w:val="21"/>
              </w:rPr>
            </w:pPr>
            <w:r>
              <w:rPr>
                <w:rFonts w:cs="Times New Roman"/>
                <w:szCs w:val="21"/>
              </w:rPr>
              <w:t>对水生生物毒性非常大并具有长期持续影响。</w:t>
            </w:r>
          </w:p>
        </w:tc>
      </w:tr>
      <w:tr w14:paraId="04B3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566CC7F4">
            <w:pPr>
              <w:pStyle w:val="78"/>
              <w:rPr>
                <w:rFonts w:cs="Times New Roman"/>
                <w:szCs w:val="21"/>
              </w:rPr>
            </w:pPr>
            <w:r>
              <w:rPr>
                <w:rFonts w:cs="Times New Roman"/>
                <w:szCs w:val="21"/>
              </w:rPr>
              <w:t>应急措施</w:t>
            </w:r>
          </w:p>
        </w:tc>
        <w:tc>
          <w:tcPr>
            <w:tcW w:w="1559" w:type="dxa"/>
            <w:shd w:val="clear" w:color="000000" w:fill="FFFFFF"/>
            <w:noWrap/>
            <w:vAlign w:val="center"/>
          </w:tcPr>
          <w:p w14:paraId="263FB15C">
            <w:pPr>
              <w:pStyle w:val="78"/>
              <w:rPr>
                <w:rFonts w:cs="Times New Roman"/>
                <w:szCs w:val="21"/>
              </w:rPr>
            </w:pPr>
            <w:r>
              <w:rPr>
                <w:rFonts w:cs="Times New Roman"/>
                <w:szCs w:val="21"/>
              </w:rPr>
              <w:t>急救措施</w:t>
            </w:r>
          </w:p>
        </w:tc>
        <w:tc>
          <w:tcPr>
            <w:tcW w:w="3969" w:type="dxa"/>
            <w:shd w:val="clear" w:color="000000" w:fill="FFFFFF"/>
            <w:vAlign w:val="center"/>
          </w:tcPr>
          <w:p w14:paraId="7483E877">
            <w:pPr>
              <w:pStyle w:val="78"/>
              <w:rPr>
                <w:rFonts w:cs="Times New Roman"/>
                <w:szCs w:val="21"/>
              </w:rPr>
            </w:pPr>
            <w:r>
              <w:rPr>
                <w:rFonts w:cs="Times New Roman"/>
                <w:szCs w:val="21"/>
              </w:rPr>
              <w:t>迅速脱离现场至空气新鲜处。保持呼吸道通畅。如呼吸困难，给吸氧。如呼吸心跳停止，立即行心肺复苏术。就医。</w:t>
            </w:r>
            <w:r>
              <w:rPr>
                <w:rFonts w:cs="Times New Roman"/>
                <w:szCs w:val="21"/>
              </w:rPr>
              <w:br w:type="textWrapping"/>
            </w:r>
            <w:r>
              <w:rPr>
                <w:rFonts w:cs="Times New Roman"/>
                <w:szCs w:val="21"/>
              </w:rPr>
              <w:t>漱口，饮水。禁止催吐。就医。</w:t>
            </w:r>
            <w:r>
              <w:rPr>
                <w:rFonts w:cs="Times New Roman"/>
                <w:szCs w:val="21"/>
              </w:rPr>
              <w:br w:type="textWrapping"/>
            </w:r>
            <w:r>
              <w:rPr>
                <w:rFonts w:cs="Times New Roman"/>
                <w:szCs w:val="21"/>
              </w:rPr>
              <w:t>立即脱去污染衣着，用肥皂水或清水彻底冲洗。就医。</w:t>
            </w:r>
            <w:r>
              <w:rPr>
                <w:rFonts w:cs="Times New Roman"/>
                <w:szCs w:val="21"/>
              </w:rPr>
              <w:br w:type="textWrapping"/>
            </w:r>
            <w:r>
              <w:rPr>
                <w:rFonts w:cs="Times New Roman"/>
                <w:szCs w:val="21"/>
              </w:rPr>
              <w:t>分开眼睑，用清水或生理盐水冲洗。就医。</w:t>
            </w:r>
            <w:r>
              <w:rPr>
                <w:rFonts w:cs="Times New Roman"/>
                <w:szCs w:val="21"/>
              </w:rPr>
              <w:br w:type="textWrapping"/>
            </w:r>
            <w:r>
              <w:rPr>
                <w:rFonts w:cs="Times New Roman"/>
                <w:szCs w:val="21"/>
              </w:rPr>
              <w:t>食入：漱口，饮水。禁止催吐。就医。</w:t>
            </w:r>
          </w:p>
        </w:tc>
        <w:tc>
          <w:tcPr>
            <w:tcW w:w="3969" w:type="dxa"/>
            <w:shd w:val="clear" w:color="000000" w:fill="FFFFFF"/>
            <w:vAlign w:val="center"/>
          </w:tcPr>
          <w:p w14:paraId="037A1977">
            <w:pPr>
              <w:pStyle w:val="78"/>
              <w:rPr>
                <w:rFonts w:cs="Times New Roman"/>
                <w:szCs w:val="21"/>
              </w:rPr>
            </w:pPr>
            <w:r>
              <w:rPr>
                <w:rFonts w:cs="Times New Roman"/>
                <w:szCs w:val="21"/>
              </w:rPr>
              <w:t>迅速脱离现场至空气新鲜处。保持呼吸道通畅。如呼吸困难，给输氧。呼吸、心跳停止，立即进行心肺复苏术。就医。用水漱口,禁止催吐。给饮牛奶或蛋清。就医立即脱去污染的衣着,用流动清水彻底冲洗至少15min。就医。立即分开眼睑,用流动清水或生理盐水彻底冲洗至少15min。就医。</w:t>
            </w:r>
          </w:p>
        </w:tc>
        <w:tc>
          <w:tcPr>
            <w:tcW w:w="3827" w:type="dxa"/>
            <w:shd w:val="clear" w:color="000000" w:fill="FFFFFF"/>
            <w:vAlign w:val="center"/>
          </w:tcPr>
          <w:p w14:paraId="7E2FA3FF">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漱口，饮水。就医。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食入：漱口，饮水。就医。</w:t>
            </w:r>
          </w:p>
        </w:tc>
      </w:tr>
      <w:tr w14:paraId="758C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2CBBFF3">
            <w:pPr>
              <w:pStyle w:val="78"/>
              <w:rPr>
                <w:rFonts w:cs="Times New Roman"/>
                <w:szCs w:val="21"/>
              </w:rPr>
            </w:pPr>
          </w:p>
        </w:tc>
        <w:tc>
          <w:tcPr>
            <w:tcW w:w="1559" w:type="dxa"/>
            <w:shd w:val="clear" w:color="000000" w:fill="FFFFFF"/>
            <w:vAlign w:val="center"/>
          </w:tcPr>
          <w:p w14:paraId="0D8FC8EA">
            <w:pPr>
              <w:pStyle w:val="78"/>
              <w:rPr>
                <w:rFonts w:cs="Times New Roman"/>
                <w:szCs w:val="21"/>
              </w:rPr>
            </w:pPr>
            <w:r>
              <w:rPr>
                <w:rFonts w:cs="Times New Roman"/>
                <w:szCs w:val="21"/>
              </w:rPr>
              <w:t>泄漏应急处置</w:t>
            </w:r>
          </w:p>
        </w:tc>
        <w:tc>
          <w:tcPr>
            <w:tcW w:w="3969" w:type="dxa"/>
            <w:shd w:val="clear" w:color="000000" w:fill="FFFFFF"/>
            <w:vAlign w:val="center"/>
          </w:tcPr>
          <w:p w14:paraId="601B6164">
            <w:pPr>
              <w:pStyle w:val="78"/>
              <w:rPr>
                <w:rFonts w:cs="Times New Roman"/>
                <w:szCs w:val="21"/>
              </w:rPr>
            </w:pPr>
            <w:r>
              <w:rPr>
                <w:rFonts w:cs="Times New Roman"/>
                <w:szCs w:val="21"/>
              </w:rPr>
              <w:t>小量泄漏：用砂土或其他不燃材料吸收。使用洁净的无火花工具收集吸收材料。大量泄漏：构筑围堤或挖坑收容。用砂土、惰性物质或蛭石吸收大量液体。用泡沫覆盖，减少蒸发。喷水雾能减少蒸发，但不能降低泄漏物在有限空间内的易燃性。用防爆泵转移至槽车或专用收集器内。</w:t>
            </w:r>
          </w:p>
        </w:tc>
        <w:tc>
          <w:tcPr>
            <w:tcW w:w="3969" w:type="dxa"/>
            <w:shd w:val="clear" w:color="000000" w:fill="FFFFFF"/>
            <w:vAlign w:val="center"/>
          </w:tcPr>
          <w:p w14:paraId="157435DD">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小量泄漏:用砂土或其他不燃材料吸收。使用洁净的无火花工具收集吸收材料。大量泄漏:构筑围堤或挖坑收容。用泡沫覆盖,减少蒸发。用防爆泵转移至槽车或专用收集器内。</w:t>
            </w:r>
          </w:p>
        </w:tc>
        <w:tc>
          <w:tcPr>
            <w:tcW w:w="3827" w:type="dxa"/>
            <w:shd w:val="clear" w:color="000000" w:fill="FFFFFF"/>
            <w:vAlign w:val="center"/>
          </w:tcPr>
          <w:p w14:paraId="26430E6B">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有限空间内的易燃性。用防爆泵转移至槽车或专用收集器内。</w:t>
            </w:r>
          </w:p>
        </w:tc>
      </w:tr>
      <w:tr w14:paraId="51CE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7E14152">
            <w:pPr>
              <w:pStyle w:val="78"/>
              <w:rPr>
                <w:rFonts w:cs="Times New Roman"/>
                <w:szCs w:val="21"/>
              </w:rPr>
            </w:pPr>
          </w:p>
        </w:tc>
        <w:tc>
          <w:tcPr>
            <w:tcW w:w="1559" w:type="dxa"/>
            <w:shd w:val="clear" w:color="000000" w:fill="FFFFFF"/>
            <w:noWrap/>
            <w:vAlign w:val="center"/>
          </w:tcPr>
          <w:p w14:paraId="5793C5B9">
            <w:pPr>
              <w:pStyle w:val="78"/>
              <w:rPr>
                <w:rFonts w:cs="Times New Roman"/>
                <w:szCs w:val="21"/>
              </w:rPr>
            </w:pPr>
            <w:r>
              <w:rPr>
                <w:rFonts w:cs="Times New Roman"/>
                <w:szCs w:val="21"/>
              </w:rPr>
              <w:t>灭火方法</w:t>
            </w:r>
          </w:p>
        </w:tc>
        <w:tc>
          <w:tcPr>
            <w:tcW w:w="3969" w:type="dxa"/>
            <w:shd w:val="clear" w:color="000000" w:fill="FFFFFF"/>
            <w:vAlign w:val="center"/>
          </w:tcPr>
          <w:p w14:paraId="5B15295D">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w:t>
            </w:r>
          </w:p>
        </w:tc>
        <w:tc>
          <w:tcPr>
            <w:tcW w:w="3969" w:type="dxa"/>
            <w:shd w:val="clear" w:color="000000" w:fill="FFFFFF"/>
            <w:vAlign w:val="center"/>
          </w:tcPr>
          <w:p w14:paraId="55E0C8D9">
            <w:pPr>
              <w:pStyle w:val="78"/>
              <w:rPr>
                <w:rFonts w:cs="Times New Roman"/>
                <w:szCs w:val="21"/>
              </w:rPr>
            </w:pPr>
            <w:r>
              <w:rPr>
                <w:rFonts w:cs="Times New Roman"/>
                <w:szCs w:val="21"/>
              </w:rPr>
              <w:t>消防人员必须佩戴正压式消防空气呼吸器，可能接触化学品的应穿消防员一级化学防护服。根据化学品性质选择适用的灭火剂，在上风向灭火。疏散位于下风向的人员。在火灾区域设置围堰。喷水冷却容器，可能的话将容器从火场移至空旷处。在灭火同时必须注意计算可能发生沸溢、喷溅的时间和观察是否有沸溢、喷溅的征兆。处在火场中的容器若已变色或从安全泄压装置中产生异常声音，必须马上撤离。尽量使用低压灭火剂流或雾状水，避免化学品溅出。盛装容器材质不能与泄漏化学品发生反应。宜调制相应的中和剂进行稀释中和。</w:t>
            </w:r>
          </w:p>
        </w:tc>
        <w:tc>
          <w:tcPr>
            <w:tcW w:w="3827" w:type="dxa"/>
            <w:shd w:val="clear" w:color="000000" w:fill="FFFFFF"/>
            <w:vAlign w:val="center"/>
          </w:tcPr>
          <w:p w14:paraId="2B861489">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w:t>
            </w:r>
          </w:p>
        </w:tc>
      </w:tr>
      <w:tr w14:paraId="38F6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7C334BB1">
            <w:pPr>
              <w:pStyle w:val="78"/>
              <w:rPr>
                <w:rFonts w:cs="Times New Roman"/>
                <w:b/>
                <w:szCs w:val="21"/>
              </w:rPr>
            </w:pPr>
            <w:r>
              <w:rPr>
                <w:rFonts w:cs="Times New Roman"/>
                <w:b/>
                <w:szCs w:val="21"/>
              </w:rPr>
              <w:t>物质</w:t>
            </w:r>
          </w:p>
        </w:tc>
        <w:tc>
          <w:tcPr>
            <w:tcW w:w="3969" w:type="dxa"/>
            <w:shd w:val="clear" w:color="000000" w:fill="FFFFFF"/>
            <w:vAlign w:val="center"/>
          </w:tcPr>
          <w:p w14:paraId="56EBB278">
            <w:pPr>
              <w:pStyle w:val="78"/>
              <w:rPr>
                <w:rFonts w:cs="Times New Roman"/>
                <w:b/>
                <w:szCs w:val="21"/>
              </w:rPr>
            </w:pPr>
            <w:r>
              <w:rPr>
                <w:rFonts w:cs="Times New Roman"/>
                <w:b/>
                <w:szCs w:val="21"/>
              </w:rPr>
              <w:t>二甲苯</w:t>
            </w:r>
          </w:p>
        </w:tc>
        <w:tc>
          <w:tcPr>
            <w:tcW w:w="3969" w:type="dxa"/>
            <w:shd w:val="clear" w:color="000000" w:fill="FFFFFF"/>
            <w:vAlign w:val="center"/>
          </w:tcPr>
          <w:p w14:paraId="2B2A9876">
            <w:pPr>
              <w:pStyle w:val="78"/>
              <w:rPr>
                <w:rFonts w:cs="Times New Roman"/>
                <w:b/>
                <w:szCs w:val="21"/>
              </w:rPr>
            </w:pPr>
            <w:r>
              <w:rPr>
                <w:rFonts w:cs="Times New Roman"/>
                <w:b/>
                <w:szCs w:val="21"/>
              </w:rPr>
              <w:t>C9烯烃</w:t>
            </w:r>
          </w:p>
        </w:tc>
        <w:tc>
          <w:tcPr>
            <w:tcW w:w="3827" w:type="dxa"/>
            <w:shd w:val="clear" w:color="000000" w:fill="FFFFFF"/>
            <w:vAlign w:val="center"/>
          </w:tcPr>
          <w:p w14:paraId="1C27ABCE">
            <w:pPr>
              <w:pStyle w:val="78"/>
              <w:rPr>
                <w:rFonts w:cs="Times New Roman"/>
                <w:b/>
                <w:szCs w:val="21"/>
              </w:rPr>
            </w:pPr>
            <w:r>
              <w:rPr>
                <w:rFonts w:cs="Times New Roman"/>
                <w:b/>
                <w:szCs w:val="21"/>
              </w:rPr>
              <w:t>C10烷烃</w:t>
            </w:r>
          </w:p>
        </w:tc>
      </w:tr>
      <w:tr w14:paraId="7A61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6B9E147D">
            <w:pPr>
              <w:pStyle w:val="78"/>
              <w:rPr>
                <w:rFonts w:cs="Times New Roman"/>
                <w:szCs w:val="21"/>
              </w:rPr>
            </w:pPr>
            <w:r>
              <w:rPr>
                <w:rFonts w:cs="Times New Roman"/>
                <w:szCs w:val="21"/>
              </w:rPr>
              <w:t>物化性质</w:t>
            </w:r>
          </w:p>
        </w:tc>
        <w:tc>
          <w:tcPr>
            <w:tcW w:w="1559" w:type="dxa"/>
            <w:shd w:val="clear" w:color="000000" w:fill="FFFFFF"/>
            <w:vAlign w:val="center"/>
          </w:tcPr>
          <w:p w14:paraId="2A84FE91">
            <w:pPr>
              <w:pStyle w:val="78"/>
              <w:rPr>
                <w:rFonts w:cs="Times New Roman"/>
                <w:szCs w:val="21"/>
              </w:rPr>
            </w:pPr>
            <w:r>
              <w:rPr>
                <w:rFonts w:cs="Times New Roman"/>
                <w:szCs w:val="21"/>
              </w:rPr>
              <w:t>CAS号</w:t>
            </w:r>
          </w:p>
        </w:tc>
        <w:tc>
          <w:tcPr>
            <w:tcW w:w="3969" w:type="dxa"/>
            <w:shd w:val="clear" w:color="000000" w:fill="FFFFFF"/>
            <w:vAlign w:val="center"/>
          </w:tcPr>
          <w:p w14:paraId="4B26BD98">
            <w:pPr>
              <w:pStyle w:val="78"/>
              <w:rPr>
                <w:rFonts w:cs="Times New Roman"/>
                <w:szCs w:val="21"/>
              </w:rPr>
            </w:pPr>
            <w:r>
              <w:rPr>
                <w:rFonts w:cs="Times New Roman"/>
                <w:szCs w:val="21"/>
              </w:rPr>
              <w:t>1330-20-7</w:t>
            </w:r>
          </w:p>
        </w:tc>
        <w:tc>
          <w:tcPr>
            <w:tcW w:w="3969" w:type="dxa"/>
            <w:shd w:val="clear" w:color="000000" w:fill="FFFFFF"/>
            <w:vAlign w:val="center"/>
          </w:tcPr>
          <w:p w14:paraId="28443D8C">
            <w:pPr>
              <w:pStyle w:val="78"/>
              <w:rPr>
                <w:rFonts w:cs="Times New Roman"/>
                <w:szCs w:val="21"/>
              </w:rPr>
            </w:pPr>
            <w:r>
              <w:rPr>
                <w:rFonts w:cs="Times New Roman"/>
                <w:szCs w:val="21"/>
              </w:rPr>
              <w:t>124-11-8</w:t>
            </w:r>
          </w:p>
        </w:tc>
        <w:tc>
          <w:tcPr>
            <w:tcW w:w="3827" w:type="dxa"/>
            <w:shd w:val="clear" w:color="000000" w:fill="FFFFFF"/>
            <w:vAlign w:val="center"/>
          </w:tcPr>
          <w:p w14:paraId="5CF9E8B8">
            <w:pPr>
              <w:pStyle w:val="78"/>
              <w:rPr>
                <w:rFonts w:cs="Times New Roman"/>
                <w:szCs w:val="21"/>
              </w:rPr>
            </w:pPr>
            <w:r>
              <w:rPr>
                <w:rFonts w:cs="Times New Roman"/>
                <w:szCs w:val="21"/>
              </w:rPr>
              <w:t>124-18-5</w:t>
            </w:r>
          </w:p>
        </w:tc>
      </w:tr>
      <w:tr w14:paraId="11B7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0F31409">
            <w:pPr>
              <w:pStyle w:val="78"/>
              <w:rPr>
                <w:rFonts w:cs="Times New Roman"/>
                <w:szCs w:val="21"/>
              </w:rPr>
            </w:pPr>
          </w:p>
        </w:tc>
        <w:tc>
          <w:tcPr>
            <w:tcW w:w="1559" w:type="dxa"/>
            <w:shd w:val="clear" w:color="000000" w:fill="FFFFFF"/>
            <w:vAlign w:val="center"/>
          </w:tcPr>
          <w:p w14:paraId="58544F65">
            <w:pPr>
              <w:pStyle w:val="78"/>
              <w:rPr>
                <w:rFonts w:cs="Times New Roman"/>
                <w:szCs w:val="21"/>
              </w:rPr>
            </w:pPr>
            <w:r>
              <w:rPr>
                <w:rFonts w:cs="Times New Roman"/>
                <w:szCs w:val="21"/>
              </w:rPr>
              <w:t>中文名称/别名</w:t>
            </w:r>
          </w:p>
        </w:tc>
        <w:tc>
          <w:tcPr>
            <w:tcW w:w="3969" w:type="dxa"/>
            <w:shd w:val="clear" w:color="000000" w:fill="FFFFFF"/>
            <w:vAlign w:val="center"/>
          </w:tcPr>
          <w:p w14:paraId="3576C363">
            <w:pPr>
              <w:pStyle w:val="78"/>
              <w:rPr>
                <w:rFonts w:cs="Times New Roman"/>
                <w:szCs w:val="21"/>
              </w:rPr>
            </w:pPr>
            <w:r>
              <w:rPr>
                <w:rFonts w:cs="Times New Roman"/>
                <w:szCs w:val="21"/>
              </w:rPr>
              <w:t>二甲苯异构体混合物;二甲苯;混合二甲苯</w:t>
            </w:r>
          </w:p>
        </w:tc>
        <w:tc>
          <w:tcPr>
            <w:tcW w:w="3969" w:type="dxa"/>
            <w:shd w:val="clear" w:color="000000" w:fill="FFFFFF"/>
            <w:vAlign w:val="center"/>
          </w:tcPr>
          <w:p w14:paraId="283283CF">
            <w:pPr>
              <w:pStyle w:val="78"/>
              <w:rPr>
                <w:rFonts w:cs="Times New Roman"/>
                <w:szCs w:val="21"/>
              </w:rPr>
            </w:pPr>
            <w:r>
              <w:rPr>
                <w:rFonts w:cs="Times New Roman"/>
                <w:szCs w:val="21"/>
              </w:rPr>
              <w:t>1-壬烯;香茅烯</w:t>
            </w:r>
          </w:p>
        </w:tc>
        <w:tc>
          <w:tcPr>
            <w:tcW w:w="3827" w:type="dxa"/>
            <w:shd w:val="clear" w:color="000000" w:fill="FFFFFF"/>
            <w:vAlign w:val="center"/>
          </w:tcPr>
          <w:p w14:paraId="34F763AF">
            <w:pPr>
              <w:pStyle w:val="78"/>
              <w:rPr>
                <w:rFonts w:cs="Times New Roman"/>
                <w:szCs w:val="21"/>
              </w:rPr>
            </w:pPr>
            <w:r>
              <w:rPr>
                <w:rFonts w:cs="Times New Roman"/>
                <w:szCs w:val="21"/>
              </w:rPr>
              <w:t>正癸烷;十碳烷;癸烷</w:t>
            </w:r>
          </w:p>
        </w:tc>
      </w:tr>
      <w:tr w14:paraId="58A9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8584583">
            <w:pPr>
              <w:pStyle w:val="78"/>
              <w:rPr>
                <w:rFonts w:cs="Times New Roman"/>
                <w:szCs w:val="21"/>
              </w:rPr>
            </w:pPr>
          </w:p>
        </w:tc>
        <w:tc>
          <w:tcPr>
            <w:tcW w:w="1559" w:type="dxa"/>
            <w:shd w:val="clear" w:color="000000" w:fill="FFFFFF"/>
            <w:vAlign w:val="center"/>
          </w:tcPr>
          <w:p w14:paraId="4D6F981E">
            <w:pPr>
              <w:pStyle w:val="78"/>
              <w:rPr>
                <w:rFonts w:cs="Times New Roman"/>
                <w:szCs w:val="21"/>
              </w:rPr>
            </w:pPr>
            <w:r>
              <w:rPr>
                <w:rFonts w:cs="Times New Roman"/>
                <w:szCs w:val="21"/>
              </w:rPr>
              <w:t>分子式</w:t>
            </w:r>
          </w:p>
        </w:tc>
        <w:tc>
          <w:tcPr>
            <w:tcW w:w="3969" w:type="dxa"/>
            <w:shd w:val="clear" w:color="000000" w:fill="FFFFFF"/>
            <w:noWrap/>
            <w:vAlign w:val="center"/>
          </w:tcPr>
          <w:p w14:paraId="4D2B9575">
            <w:pPr>
              <w:pStyle w:val="78"/>
              <w:rPr>
                <w:rFonts w:cs="Times New Roman"/>
                <w:szCs w:val="21"/>
              </w:rPr>
            </w:pPr>
            <w:r>
              <w:rPr>
                <w:rFonts w:cs="Times New Roman"/>
                <w:szCs w:val="21"/>
              </w:rPr>
              <w:t>C</w:t>
            </w:r>
            <w:r>
              <w:rPr>
                <w:rFonts w:cs="Times New Roman"/>
                <w:szCs w:val="21"/>
                <w:vertAlign w:val="subscript"/>
              </w:rPr>
              <w:t>8</w:t>
            </w:r>
            <w:r>
              <w:rPr>
                <w:rFonts w:cs="Times New Roman"/>
                <w:szCs w:val="21"/>
              </w:rPr>
              <w:t>H</w:t>
            </w:r>
            <w:r>
              <w:rPr>
                <w:rFonts w:cs="Times New Roman"/>
                <w:szCs w:val="21"/>
                <w:vertAlign w:val="subscript"/>
              </w:rPr>
              <w:t>10</w:t>
            </w:r>
          </w:p>
        </w:tc>
        <w:tc>
          <w:tcPr>
            <w:tcW w:w="3969" w:type="dxa"/>
            <w:shd w:val="clear" w:color="000000" w:fill="FFFFFF"/>
            <w:noWrap/>
            <w:vAlign w:val="center"/>
          </w:tcPr>
          <w:p w14:paraId="1C118C30">
            <w:pPr>
              <w:pStyle w:val="78"/>
              <w:rPr>
                <w:rFonts w:cs="Times New Roman"/>
                <w:szCs w:val="21"/>
              </w:rPr>
            </w:pPr>
            <w:r>
              <w:rPr>
                <w:rFonts w:cs="Times New Roman"/>
                <w:szCs w:val="21"/>
              </w:rPr>
              <w:t>C</w:t>
            </w:r>
            <w:r>
              <w:rPr>
                <w:rFonts w:cs="Times New Roman"/>
                <w:szCs w:val="21"/>
                <w:vertAlign w:val="subscript"/>
              </w:rPr>
              <w:t>9</w:t>
            </w:r>
            <w:r>
              <w:rPr>
                <w:rFonts w:cs="Times New Roman"/>
                <w:szCs w:val="21"/>
              </w:rPr>
              <w:t>H</w:t>
            </w:r>
            <w:r>
              <w:rPr>
                <w:rFonts w:cs="Times New Roman"/>
                <w:szCs w:val="21"/>
                <w:vertAlign w:val="subscript"/>
              </w:rPr>
              <w:t>18</w:t>
            </w:r>
          </w:p>
        </w:tc>
        <w:tc>
          <w:tcPr>
            <w:tcW w:w="3827" w:type="dxa"/>
            <w:shd w:val="clear" w:color="000000" w:fill="FFFFFF"/>
            <w:noWrap/>
            <w:vAlign w:val="center"/>
          </w:tcPr>
          <w:p w14:paraId="683BC961">
            <w:pPr>
              <w:pStyle w:val="78"/>
              <w:rPr>
                <w:rFonts w:cs="Times New Roman"/>
                <w:szCs w:val="21"/>
              </w:rPr>
            </w:pPr>
            <w:r>
              <w:rPr>
                <w:rFonts w:cs="Times New Roman"/>
                <w:szCs w:val="21"/>
              </w:rPr>
              <w:t>C</w:t>
            </w:r>
            <w:r>
              <w:rPr>
                <w:rFonts w:cs="Times New Roman"/>
                <w:szCs w:val="21"/>
                <w:vertAlign w:val="subscript"/>
              </w:rPr>
              <w:t>10</w:t>
            </w:r>
            <w:r>
              <w:rPr>
                <w:rFonts w:cs="Times New Roman"/>
                <w:szCs w:val="21"/>
              </w:rPr>
              <w:t>H</w:t>
            </w:r>
            <w:r>
              <w:rPr>
                <w:rFonts w:cs="Times New Roman"/>
                <w:szCs w:val="21"/>
                <w:vertAlign w:val="subscript"/>
              </w:rPr>
              <w:t>22</w:t>
            </w:r>
          </w:p>
        </w:tc>
      </w:tr>
      <w:tr w14:paraId="59DD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7D6843E">
            <w:pPr>
              <w:pStyle w:val="78"/>
              <w:rPr>
                <w:rFonts w:cs="Times New Roman"/>
                <w:szCs w:val="21"/>
              </w:rPr>
            </w:pPr>
          </w:p>
        </w:tc>
        <w:tc>
          <w:tcPr>
            <w:tcW w:w="1559" w:type="dxa"/>
            <w:shd w:val="clear" w:color="000000" w:fill="FFFFFF"/>
            <w:vAlign w:val="center"/>
          </w:tcPr>
          <w:p w14:paraId="7B9C3714">
            <w:pPr>
              <w:pStyle w:val="78"/>
              <w:rPr>
                <w:rFonts w:cs="Times New Roman"/>
                <w:szCs w:val="21"/>
              </w:rPr>
            </w:pPr>
            <w:r>
              <w:rPr>
                <w:rFonts w:cs="Times New Roman"/>
                <w:szCs w:val="21"/>
              </w:rPr>
              <w:t>分子量</w:t>
            </w:r>
          </w:p>
        </w:tc>
        <w:tc>
          <w:tcPr>
            <w:tcW w:w="3969" w:type="dxa"/>
            <w:shd w:val="clear" w:color="000000" w:fill="FFFFFF"/>
            <w:noWrap/>
            <w:vAlign w:val="center"/>
          </w:tcPr>
          <w:p w14:paraId="32FA0482">
            <w:pPr>
              <w:pStyle w:val="78"/>
              <w:rPr>
                <w:rFonts w:cs="Times New Roman"/>
                <w:szCs w:val="21"/>
              </w:rPr>
            </w:pPr>
            <w:r>
              <w:rPr>
                <w:rFonts w:cs="Times New Roman"/>
                <w:szCs w:val="21"/>
              </w:rPr>
              <w:t>106.17</w:t>
            </w:r>
          </w:p>
        </w:tc>
        <w:tc>
          <w:tcPr>
            <w:tcW w:w="3969" w:type="dxa"/>
            <w:shd w:val="clear" w:color="000000" w:fill="FFFFFF"/>
            <w:noWrap/>
            <w:vAlign w:val="center"/>
          </w:tcPr>
          <w:p w14:paraId="3C8BCE03">
            <w:pPr>
              <w:pStyle w:val="78"/>
              <w:rPr>
                <w:rFonts w:cs="Times New Roman"/>
                <w:szCs w:val="21"/>
              </w:rPr>
            </w:pPr>
            <w:r>
              <w:rPr>
                <w:rFonts w:cs="Times New Roman"/>
                <w:szCs w:val="21"/>
              </w:rPr>
              <w:t>126.24</w:t>
            </w:r>
          </w:p>
        </w:tc>
        <w:tc>
          <w:tcPr>
            <w:tcW w:w="3827" w:type="dxa"/>
            <w:shd w:val="clear" w:color="000000" w:fill="FFFFFF"/>
            <w:noWrap/>
            <w:vAlign w:val="center"/>
          </w:tcPr>
          <w:p w14:paraId="5A6B1A50">
            <w:pPr>
              <w:pStyle w:val="78"/>
              <w:rPr>
                <w:rFonts w:cs="Times New Roman"/>
                <w:szCs w:val="21"/>
              </w:rPr>
            </w:pPr>
            <w:r>
              <w:rPr>
                <w:rFonts w:cs="Times New Roman"/>
                <w:szCs w:val="21"/>
              </w:rPr>
              <w:t>142.28</w:t>
            </w:r>
          </w:p>
        </w:tc>
      </w:tr>
      <w:tr w14:paraId="3176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8AD1E51">
            <w:pPr>
              <w:pStyle w:val="78"/>
              <w:rPr>
                <w:rFonts w:cs="Times New Roman"/>
                <w:szCs w:val="21"/>
              </w:rPr>
            </w:pPr>
          </w:p>
        </w:tc>
        <w:tc>
          <w:tcPr>
            <w:tcW w:w="1559" w:type="dxa"/>
            <w:shd w:val="clear" w:color="000000" w:fill="FFFFFF"/>
            <w:vAlign w:val="center"/>
          </w:tcPr>
          <w:p w14:paraId="4470D2EE">
            <w:pPr>
              <w:pStyle w:val="78"/>
              <w:rPr>
                <w:rFonts w:cs="Times New Roman"/>
                <w:szCs w:val="21"/>
              </w:rPr>
            </w:pPr>
            <w:r>
              <w:rPr>
                <w:rFonts w:cs="Times New Roman"/>
                <w:szCs w:val="21"/>
              </w:rPr>
              <w:t>外观性状</w:t>
            </w:r>
          </w:p>
        </w:tc>
        <w:tc>
          <w:tcPr>
            <w:tcW w:w="3969" w:type="dxa"/>
            <w:shd w:val="clear" w:color="000000" w:fill="FFFFFF"/>
            <w:vAlign w:val="center"/>
          </w:tcPr>
          <w:p w14:paraId="3758D592">
            <w:pPr>
              <w:pStyle w:val="78"/>
              <w:rPr>
                <w:rFonts w:cs="Times New Roman"/>
                <w:szCs w:val="21"/>
              </w:rPr>
            </w:pPr>
            <w:r>
              <w:rPr>
                <w:rFonts w:cs="Times New Roman"/>
                <w:szCs w:val="21"/>
              </w:rPr>
              <w:t>无色透明液体</w:t>
            </w:r>
          </w:p>
        </w:tc>
        <w:tc>
          <w:tcPr>
            <w:tcW w:w="3969" w:type="dxa"/>
            <w:shd w:val="clear" w:color="000000" w:fill="FFFFFF"/>
            <w:vAlign w:val="center"/>
          </w:tcPr>
          <w:p w14:paraId="66060519">
            <w:pPr>
              <w:pStyle w:val="78"/>
              <w:rPr>
                <w:rFonts w:cs="Times New Roman"/>
                <w:szCs w:val="21"/>
              </w:rPr>
            </w:pPr>
            <w:r>
              <w:rPr>
                <w:rFonts w:cs="Times New Roman"/>
                <w:szCs w:val="21"/>
              </w:rPr>
              <w:t>无色液体。</w:t>
            </w:r>
          </w:p>
        </w:tc>
        <w:tc>
          <w:tcPr>
            <w:tcW w:w="3827" w:type="dxa"/>
            <w:shd w:val="clear" w:color="000000" w:fill="FFFFFF"/>
            <w:vAlign w:val="center"/>
          </w:tcPr>
          <w:p w14:paraId="0FFE7FBA">
            <w:pPr>
              <w:pStyle w:val="78"/>
              <w:rPr>
                <w:rFonts w:cs="Times New Roman"/>
                <w:szCs w:val="21"/>
              </w:rPr>
            </w:pPr>
            <w:r>
              <w:rPr>
                <w:rFonts w:cs="Times New Roman"/>
                <w:szCs w:val="21"/>
              </w:rPr>
              <w:t>无色透明液体。</w:t>
            </w:r>
          </w:p>
        </w:tc>
      </w:tr>
      <w:tr w14:paraId="4150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5E7515B">
            <w:pPr>
              <w:pStyle w:val="78"/>
              <w:rPr>
                <w:rFonts w:cs="Times New Roman"/>
                <w:szCs w:val="21"/>
              </w:rPr>
            </w:pPr>
          </w:p>
        </w:tc>
        <w:tc>
          <w:tcPr>
            <w:tcW w:w="1559" w:type="dxa"/>
            <w:shd w:val="clear" w:color="000000" w:fill="FFFFFF"/>
            <w:vAlign w:val="center"/>
          </w:tcPr>
          <w:p w14:paraId="0628D838">
            <w:pPr>
              <w:pStyle w:val="78"/>
              <w:rPr>
                <w:rFonts w:cs="Times New Roman"/>
                <w:szCs w:val="21"/>
              </w:rPr>
            </w:pPr>
            <w:r>
              <w:rPr>
                <w:rFonts w:cs="Times New Roman"/>
                <w:szCs w:val="21"/>
              </w:rPr>
              <w:t>沸点，℃</w:t>
            </w:r>
          </w:p>
        </w:tc>
        <w:tc>
          <w:tcPr>
            <w:tcW w:w="3969" w:type="dxa"/>
            <w:shd w:val="clear" w:color="000000" w:fill="FFFFFF"/>
            <w:vAlign w:val="center"/>
          </w:tcPr>
          <w:p w14:paraId="67FB8CBF">
            <w:pPr>
              <w:pStyle w:val="78"/>
              <w:rPr>
                <w:rFonts w:cs="Times New Roman"/>
                <w:szCs w:val="21"/>
              </w:rPr>
            </w:pPr>
            <w:r>
              <w:rPr>
                <w:rFonts w:cs="Times New Roman"/>
                <w:szCs w:val="21"/>
              </w:rPr>
              <w:t>137~142</w:t>
            </w:r>
          </w:p>
        </w:tc>
        <w:tc>
          <w:tcPr>
            <w:tcW w:w="3969" w:type="dxa"/>
            <w:shd w:val="clear" w:color="000000" w:fill="FFFFFF"/>
            <w:vAlign w:val="center"/>
          </w:tcPr>
          <w:p w14:paraId="38536244">
            <w:pPr>
              <w:pStyle w:val="78"/>
              <w:rPr>
                <w:rFonts w:cs="Times New Roman"/>
                <w:szCs w:val="21"/>
              </w:rPr>
            </w:pPr>
            <w:r>
              <w:rPr>
                <w:rFonts w:cs="Times New Roman"/>
                <w:szCs w:val="21"/>
              </w:rPr>
              <w:t>146.9</w:t>
            </w:r>
          </w:p>
        </w:tc>
        <w:tc>
          <w:tcPr>
            <w:tcW w:w="3827" w:type="dxa"/>
            <w:shd w:val="clear" w:color="000000" w:fill="FFFFFF"/>
            <w:vAlign w:val="center"/>
          </w:tcPr>
          <w:p w14:paraId="71ED8D3D">
            <w:pPr>
              <w:pStyle w:val="78"/>
              <w:rPr>
                <w:rFonts w:cs="Times New Roman"/>
                <w:szCs w:val="21"/>
              </w:rPr>
            </w:pPr>
            <w:r>
              <w:rPr>
                <w:rFonts w:cs="Times New Roman"/>
                <w:szCs w:val="21"/>
              </w:rPr>
              <w:t>174.2</w:t>
            </w:r>
          </w:p>
        </w:tc>
      </w:tr>
      <w:tr w14:paraId="2910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F0FB917">
            <w:pPr>
              <w:pStyle w:val="78"/>
              <w:rPr>
                <w:rFonts w:cs="Times New Roman"/>
                <w:szCs w:val="21"/>
              </w:rPr>
            </w:pPr>
          </w:p>
        </w:tc>
        <w:tc>
          <w:tcPr>
            <w:tcW w:w="1559" w:type="dxa"/>
            <w:shd w:val="clear" w:color="000000" w:fill="FFFFFF"/>
            <w:vAlign w:val="center"/>
          </w:tcPr>
          <w:p w14:paraId="593C7B20">
            <w:pPr>
              <w:pStyle w:val="78"/>
              <w:rPr>
                <w:rFonts w:cs="Times New Roman"/>
                <w:szCs w:val="21"/>
              </w:rPr>
            </w:pPr>
            <w:r>
              <w:rPr>
                <w:rFonts w:cs="Times New Roman"/>
                <w:szCs w:val="21"/>
              </w:rPr>
              <w:t>熔点，℃</w:t>
            </w:r>
          </w:p>
        </w:tc>
        <w:tc>
          <w:tcPr>
            <w:tcW w:w="3969" w:type="dxa"/>
            <w:shd w:val="clear" w:color="000000" w:fill="FFFFFF"/>
            <w:vAlign w:val="center"/>
          </w:tcPr>
          <w:p w14:paraId="004C5751">
            <w:pPr>
              <w:pStyle w:val="78"/>
              <w:rPr>
                <w:rFonts w:cs="Times New Roman"/>
                <w:szCs w:val="21"/>
              </w:rPr>
            </w:pPr>
            <w:r>
              <w:rPr>
                <w:rFonts w:cs="Times New Roman"/>
                <w:szCs w:val="21"/>
              </w:rPr>
              <w:t>-34</w:t>
            </w:r>
          </w:p>
        </w:tc>
        <w:tc>
          <w:tcPr>
            <w:tcW w:w="3969" w:type="dxa"/>
            <w:shd w:val="clear" w:color="000000" w:fill="FFFFFF"/>
            <w:vAlign w:val="center"/>
          </w:tcPr>
          <w:p w14:paraId="0BBE65FE">
            <w:pPr>
              <w:pStyle w:val="78"/>
              <w:rPr>
                <w:rFonts w:cs="Times New Roman"/>
                <w:szCs w:val="21"/>
              </w:rPr>
            </w:pPr>
            <w:r>
              <w:rPr>
                <w:rFonts w:cs="Times New Roman"/>
                <w:szCs w:val="21"/>
              </w:rPr>
              <w:t>-81.4</w:t>
            </w:r>
          </w:p>
        </w:tc>
        <w:tc>
          <w:tcPr>
            <w:tcW w:w="3827" w:type="dxa"/>
            <w:shd w:val="clear" w:color="000000" w:fill="FFFFFF"/>
            <w:vAlign w:val="center"/>
          </w:tcPr>
          <w:p w14:paraId="225B7128">
            <w:pPr>
              <w:pStyle w:val="78"/>
              <w:rPr>
                <w:rFonts w:cs="Times New Roman"/>
                <w:szCs w:val="21"/>
              </w:rPr>
            </w:pPr>
            <w:r>
              <w:rPr>
                <w:rFonts w:cs="Times New Roman"/>
                <w:szCs w:val="21"/>
              </w:rPr>
              <w:t>-29.7</w:t>
            </w:r>
          </w:p>
        </w:tc>
      </w:tr>
      <w:tr w14:paraId="639E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508A812">
            <w:pPr>
              <w:pStyle w:val="78"/>
              <w:rPr>
                <w:rFonts w:cs="Times New Roman"/>
                <w:szCs w:val="21"/>
              </w:rPr>
            </w:pPr>
          </w:p>
        </w:tc>
        <w:tc>
          <w:tcPr>
            <w:tcW w:w="1559" w:type="dxa"/>
            <w:shd w:val="clear" w:color="000000" w:fill="FFFFFF"/>
            <w:vAlign w:val="center"/>
          </w:tcPr>
          <w:p w14:paraId="3824735F">
            <w:pPr>
              <w:pStyle w:val="78"/>
              <w:rPr>
                <w:rFonts w:cs="Times New Roman"/>
                <w:szCs w:val="21"/>
              </w:rPr>
            </w:pPr>
            <w:r>
              <w:rPr>
                <w:rFonts w:cs="Times New Roman"/>
                <w:szCs w:val="21"/>
              </w:rPr>
              <w:t>饱和蒸汽压，kPa</w:t>
            </w:r>
          </w:p>
        </w:tc>
        <w:tc>
          <w:tcPr>
            <w:tcW w:w="3969" w:type="dxa"/>
            <w:shd w:val="clear" w:color="000000" w:fill="FFFFFF"/>
            <w:vAlign w:val="center"/>
          </w:tcPr>
          <w:p w14:paraId="696AE7E0">
            <w:pPr>
              <w:pStyle w:val="78"/>
              <w:rPr>
                <w:rFonts w:cs="Times New Roman"/>
                <w:szCs w:val="21"/>
              </w:rPr>
            </w:pPr>
            <w:r>
              <w:rPr>
                <w:rFonts w:cs="Times New Roman"/>
                <w:szCs w:val="21"/>
              </w:rPr>
              <w:t>1.06(25℃)</w:t>
            </w:r>
          </w:p>
        </w:tc>
        <w:tc>
          <w:tcPr>
            <w:tcW w:w="3969" w:type="dxa"/>
            <w:shd w:val="clear" w:color="000000" w:fill="FFFFFF"/>
            <w:vAlign w:val="center"/>
          </w:tcPr>
          <w:p w14:paraId="454E7529">
            <w:pPr>
              <w:pStyle w:val="78"/>
              <w:rPr>
                <w:rFonts w:cs="Times New Roman"/>
                <w:szCs w:val="21"/>
              </w:rPr>
            </w:pPr>
            <w:r>
              <w:rPr>
                <w:rFonts w:cs="Times New Roman"/>
                <w:szCs w:val="21"/>
              </w:rPr>
              <w:t>1.46（37.7℃）</w:t>
            </w:r>
          </w:p>
        </w:tc>
        <w:tc>
          <w:tcPr>
            <w:tcW w:w="3827" w:type="dxa"/>
            <w:shd w:val="clear" w:color="000000" w:fill="FFFFFF"/>
            <w:vAlign w:val="center"/>
          </w:tcPr>
          <w:p w14:paraId="6DF1783D">
            <w:pPr>
              <w:pStyle w:val="78"/>
              <w:rPr>
                <w:rFonts w:cs="Times New Roman"/>
                <w:szCs w:val="21"/>
              </w:rPr>
            </w:pPr>
            <w:r>
              <w:rPr>
                <w:rFonts w:cs="Times New Roman"/>
                <w:szCs w:val="21"/>
              </w:rPr>
              <w:t>0.17(25℃)</w:t>
            </w:r>
          </w:p>
        </w:tc>
      </w:tr>
      <w:tr w14:paraId="4606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59824691">
            <w:pPr>
              <w:pStyle w:val="78"/>
              <w:rPr>
                <w:rFonts w:cs="Times New Roman"/>
                <w:szCs w:val="21"/>
              </w:rPr>
            </w:pPr>
            <w:r>
              <w:rPr>
                <w:rFonts w:cs="Times New Roman"/>
                <w:szCs w:val="21"/>
              </w:rPr>
              <w:t>危险性类别</w:t>
            </w:r>
          </w:p>
        </w:tc>
        <w:tc>
          <w:tcPr>
            <w:tcW w:w="3969" w:type="dxa"/>
            <w:shd w:val="clear" w:color="000000" w:fill="FFFFFF"/>
            <w:vAlign w:val="center"/>
          </w:tcPr>
          <w:p w14:paraId="75DA05BC">
            <w:pPr>
              <w:pStyle w:val="78"/>
              <w:rPr>
                <w:rFonts w:cs="Times New Roman"/>
                <w:szCs w:val="21"/>
              </w:rPr>
            </w:pPr>
            <w:r>
              <w:rPr>
                <w:rFonts w:cs="Times New Roman"/>
                <w:szCs w:val="21"/>
              </w:rPr>
              <w:t>易燃液体,类别3,皮肤腐蚀/刺激,类别2,危害水生环境-急性危害,类别2</w:t>
            </w:r>
          </w:p>
        </w:tc>
        <w:tc>
          <w:tcPr>
            <w:tcW w:w="3969" w:type="dxa"/>
            <w:shd w:val="clear" w:color="000000" w:fill="FFFFFF"/>
            <w:vAlign w:val="center"/>
          </w:tcPr>
          <w:p w14:paraId="481AEE10">
            <w:pPr>
              <w:pStyle w:val="78"/>
              <w:rPr>
                <w:rFonts w:cs="Times New Roman"/>
                <w:szCs w:val="21"/>
              </w:rPr>
            </w:pPr>
            <w:r>
              <w:rPr>
                <w:rFonts w:cs="Times New Roman"/>
                <w:szCs w:val="21"/>
              </w:rPr>
              <w:t>易燃液体,类别3,皮肤腐蚀/刺激,类别2,严重眼损伤/眼刺激,类别2,特异性靶器官毒性-一次接触,类别3（麻醉效应）,吸入危害,类别1</w:t>
            </w:r>
          </w:p>
        </w:tc>
        <w:tc>
          <w:tcPr>
            <w:tcW w:w="3827" w:type="dxa"/>
            <w:shd w:val="clear" w:color="000000" w:fill="FFFFFF"/>
            <w:vAlign w:val="center"/>
          </w:tcPr>
          <w:p w14:paraId="4C2BC3E3">
            <w:pPr>
              <w:pStyle w:val="78"/>
              <w:rPr>
                <w:rFonts w:cs="Times New Roman"/>
                <w:szCs w:val="21"/>
              </w:rPr>
            </w:pPr>
            <w:r>
              <w:rPr>
                <w:rFonts w:cs="Times New Roman"/>
                <w:szCs w:val="21"/>
              </w:rPr>
              <w:t>易燃液体,类别3,危害水生环境-急性危害,类别1,危害水生环境-长期危害,类别1</w:t>
            </w:r>
          </w:p>
        </w:tc>
      </w:tr>
      <w:tr w14:paraId="6FF7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0C1E0F39">
            <w:pPr>
              <w:pStyle w:val="78"/>
              <w:rPr>
                <w:rFonts w:cs="Times New Roman"/>
                <w:szCs w:val="21"/>
              </w:rPr>
            </w:pPr>
            <w:r>
              <w:rPr>
                <w:rFonts w:cs="Times New Roman"/>
                <w:szCs w:val="21"/>
              </w:rPr>
              <w:t>危险特性</w:t>
            </w:r>
          </w:p>
        </w:tc>
        <w:tc>
          <w:tcPr>
            <w:tcW w:w="3969" w:type="dxa"/>
            <w:shd w:val="clear" w:color="000000" w:fill="FFFFFF"/>
            <w:vAlign w:val="center"/>
          </w:tcPr>
          <w:p w14:paraId="783AC662">
            <w:pPr>
              <w:pStyle w:val="78"/>
              <w:rPr>
                <w:rFonts w:cs="Times New Roman"/>
                <w:szCs w:val="21"/>
              </w:rPr>
            </w:pPr>
            <w:r>
              <w:rPr>
                <w:rFonts w:cs="Times New Roman"/>
                <w:szCs w:val="21"/>
              </w:rPr>
              <w:t>易燃，其蒸气与空气混合能形成爆炸性混合物，遇明火、高热易燃烧爆炸。蒸气比空气重，沿地面扩散并易积存于低洼处，遇火源会着火回燃。</w:t>
            </w:r>
          </w:p>
          <w:p w14:paraId="01D9A527">
            <w:pPr>
              <w:pStyle w:val="78"/>
              <w:rPr>
                <w:rFonts w:cs="Times New Roman"/>
                <w:szCs w:val="21"/>
              </w:rPr>
            </w:pPr>
            <w:r>
              <w:rPr>
                <w:rFonts w:cs="Times New Roman"/>
                <w:szCs w:val="21"/>
              </w:rPr>
              <w:t>与强氧化剂接触，有发生火灾和爆炸的危险。</w:t>
            </w:r>
          </w:p>
        </w:tc>
        <w:tc>
          <w:tcPr>
            <w:tcW w:w="3969" w:type="dxa"/>
            <w:shd w:val="clear" w:color="000000" w:fill="FFFFFF"/>
            <w:vAlign w:val="center"/>
          </w:tcPr>
          <w:p w14:paraId="15A16CE9">
            <w:pPr>
              <w:pStyle w:val="78"/>
              <w:rPr>
                <w:rFonts w:cs="Times New Roman"/>
                <w:szCs w:val="21"/>
              </w:rPr>
            </w:pPr>
            <w:r>
              <w:rPr>
                <w:rFonts w:cs="Times New Roman"/>
                <w:szCs w:val="21"/>
              </w:rPr>
              <w:t>易燃，其蒸气与空气混合，能形成爆炸性混合物。</w:t>
            </w:r>
          </w:p>
          <w:p w14:paraId="6CDBF2C6">
            <w:pPr>
              <w:pStyle w:val="78"/>
              <w:rPr>
                <w:rFonts w:cs="Times New Roman"/>
                <w:szCs w:val="21"/>
              </w:rPr>
            </w:pPr>
            <w:r>
              <w:rPr>
                <w:rFonts w:cs="Times New Roman"/>
                <w:szCs w:val="21"/>
              </w:rPr>
              <w:t>与强氧化剂等禁配物接触，有发生火灾和爆炸的危险。</w:t>
            </w:r>
          </w:p>
        </w:tc>
        <w:tc>
          <w:tcPr>
            <w:tcW w:w="3827" w:type="dxa"/>
            <w:shd w:val="clear" w:color="000000" w:fill="FFFFFF"/>
            <w:vAlign w:val="center"/>
          </w:tcPr>
          <w:p w14:paraId="4CFD7563">
            <w:pPr>
              <w:pStyle w:val="78"/>
              <w:rPr>
                <w:rFonts w:cs="Times New Roman"/>
                <w:szCs w:val="21"/>
              </w:rPr>
            </w:pPr>
            <w:r>
              <w:rPr>
                <w:rFonts w:cs="Times New Roman"/>
                <w:szCs w:val="21"/>
              </w:rPr>
              <w:t>易燃，其蒸气与空气混合，能形成爆炸性混合物。</w:t>
            </w:r>
          </w:p>
          <w:p w14:paraId="328D40B1">
            <w:pPr>
              <w:pStyle w:val="78"/>
              <w:rPr>
                <w:rFonts w:cs="Times New Roman"/>
                <w:szCs w:val="21"/>
              </w:rPr>
            </w:pPr>
            <w:r>
              <w:rPr>
                <w:rFonts w:cs="Times New Roman"/>
                <w:szCs w:val="21"/>
              </w:rPr>
              <w:t>与强氧化剂等禁配物接触，有发生火灾和爆炸的危险。</w:t>
            </w:r>
          </w:p>
        </w:tc>
      </w:tr>
      <w:tr w14:paraId="46C5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05B9A571">
            <w:pPr>
              <w:pStyle w:val="78"/>
              <w:rPr>
                <w:rFonts w:cs="Times New Roman"/>
                <w:szCs w:val="21"/>
              </w:rPr>
            </w:pPr>
            <w:r>
              <w:rPr>
                <w:rFonts w:cs="Times New Roman"/>
                <w:szCs w:val="21"/>
              </w:rPr>
              <w:t>禁忌物</w:t>
            </w:r>
          </w:p>
        </w:tc>
        <w:tc>
          <w:tcPr>
            <w:tcW w:w="3969" w:type="dxa"/>
            <w:shd w:val="clear" w:color="000000" w:fill="FFFFFF"/>
            <w:vAlign w:val="center"/>
          </w:tcPr>
          <w:p w14:paraId="3E0C8AAF">
            <w:pPr>
              <w:pStyle w:val="78"/>
              <w:rPr>
                <w:rFonts w:cs="Times New Roman"/>
                <w:szCs w:val="21"/>
              </w:rPr>
            </w:pPr>
            <w:r>
              <w:rPr>
                <w:rFonts w:cs="Times New Roman"/>
                <w:szCs w:val="21"/>
              </w:rPr>
              <w:t>氧化剂。</w:t>
            </w:r>
          </w:p>
        </w:tc>
        <w:tc>
          <w:tcPr>
            <w:tcW w:w="3969" w:type="dxa"/>
            <w:shd w:val="clear" w:color="000000" w:fill="FFFFFF"/>
            <w:vAlign w:val="center"/>
          </w:tcPr>
          <w:p w14:paraId="023142FB">
            <w:pPr>
              <w:pStyle w:val="78"/>
              <w:rPr>
                <w:rFonts w:cs="Times New Roman"/>
                <w:szCs w:val="21"/>
              </w:rPr>
            </w:pPr>
            <w:r>
              <w:rPr>
                <w:rFonts w:cs="Times New Roman"/>
                <w:szCs w:val="21"/>
              </w:rPr>
              <w:t>强氧化剂、酸类、卤代烃、卤素等。</w:t>
            </w:r>
          </w:p>
        </w:tc>
        <w:tc>
          <w:tcPr>
            <w:tcW w:w="3827" w:type="dxa"/>
            <w:shd w:val="clear" w:color="000000" w:fill="FFFFFF"/>
            <w:vAlign w:val="center"/>
          </w:tcPr>
          <w:p w14:paraId="36E33DC6">
            <w:pPr>
              <w:pStyle w:val="78"/>
              <w:rPr>
                <w:rFonts w:cs="Times New Roman"/>
                <w:szCs w:val="21"/>
              </w:rPr>
            </w:pPr>
            <w:r>
              <w:rPr>
                <w:rFonts w:cs="Times New Roman"/>
                <w:szCs w:val="21"/>
              </w:rPr>
              <w:t>强氧化剂、强酸、强碱、卤素。</w:t>
            </w:r>
          </w:p>
        </w:tc>
      </w:tr>
      <w:tr w14:paraId="4839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2630E260">
            <w:pPr>
              <w:pStyle w:val="78"/>
              <w:rPr>
                <w:rFonts w:cs="Times New Roman"/>
                <w:szCs w:val="21"/>
              </w:rPr>
            </w:pPr>
            <w:r>
              <w:rPr>
                <w:rFonts w:cs="Times New Roman"/>
                <w:szCs w:val="21"/>
              </w:rPr>
              <w:t>毒性及健康危害</w:t>
            </w:r>
          </w:p>
        </w:tc>
        <w:tc>
          <w:tcPr>
            <w:tcW w:w="1559" w:type="dxa"/>
            <w:shd w:val="clear" w:color="000000" w:fill="FFFFFF"/>
            <w:vAlign w:val="center"/>
          </w:tcPr>
          <w:p w14:paraId="3C694E53">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2EEE8AA3">
            <w:pPr>
              <w:pStyle w:val="78"/>
              <w:rPr>
                <w:rFonts w:cs="Times New Roman"/>
                <w:szCs w:val="21"/>
              </w:rPr>
            </w:pPr>
            <w:r>
              <w:rPr>
                <w:rFonts w:cs="Times New Roman"/>
                <w:szCs w:val="21"/>
              </w:rPr>
              <w:t>/</w:t>
            </w:r>
          </w:p>
        </w:tc>
        <w:tc>
          <w:tcPr>
            <w:tcW w:w="3969" w:type="dxa"/>
            <w:shd w:val="clear" w:color="000000" w:fill="FFFFFF"/>
            <w:vAlign w:val="center"/>
          </w:tcPr>
          <w:p w14:paraId="104969CE">
            <w:pPr>
              <w:pStyle w:val="78"/>
              <w:rPr>
                <w:rFonts w:cs="Times New Roman"/>
                <w:szCs w:val="21"/>
              </w:rPr>
            </w:pPr>
            <w:r>
              <w:rPr>
                <w:rFonts w:cs="Times New Roman"/>
                <w:szCs w:val="21"/>
              </w:rPr>
              <w:t>无资料。</w:t>
            </w:r>
          </w:p>
        </w:tc>
        <w:tc>
          <w:tcPr>
            <w:tcW w:w="3827" w:type="dxa"/>
            <w:shd w:val="clear" w:color="000000" w:fill="FFFFFF"/>
            <w:vAlign w:val="center"/>
          </w:tcPr>
          <w:p w14:paraId="6B6CCE76">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：72300mg/m</w:t>
            </w:r>
            <w:r>
              <w:rPr>
                <w:rFonts w:cs="Times New Roman"/>
                <w:szCs w:val="21"/>
                <w:vertAlign w:val="superscript"/>
              </w:rPr>
              <w:t>3</w:t>
            </w:r>
            <w:r>
              <w:rPr>
                <w:rFonts w:cs="Times New Roman"/>
                <w:szCs w:val="21"/>
              </w:rPr>
              <w:t>（小鼠吸入，2h）</w:t>
            </w:r>
          </w:p>
        </w:tc>
      </w:tr>
      <w:tr w14:paraId="10BE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61345AF9">
            <w:pPr>
              <w:pStyle w:val="78"/>
              <w:rPr>
                <w:rFonts w:cs="Times New Roman"/>
                <w:szCs w:val="21"/>
              </w:rPr>
            </w:pPr>
          </w:p>
        </w:tc>
        <w:tc>
          <w:tcPr>
            <w:tcW w:w="1559" w:type="dxa"/>
            <w:shd w:val="clear" w:color="000000" w:fill="FFFFFF"/>
            <w:vAlign w:val="center"/>
          </w:tcPr>
          <w:p w14:paraId="3092FEB0">
            <w:pPr>
              <w:pStyle w:val="78"/>
              <w:rPr>
                <w:rFonts w:cs="Times New Roman"/>
                <w:szCs w:val="21"/>
              </w:rPr>
            </w:pPr>
            <w:r>
              <w:rPr>
                <w:rFonts w:cs="Times New Roman"/>
                <w:szCs w:val="21"/>
              </w:rPr>
              <w:t>中毒途径</w:t>
            </w:r>
          </w:p>
        </w:tc>
        <w:tc>
          <w:tcPr>
            <w:tcW w:w="3969" w:type="dxa"/>
            <w:shd w:val="clear" w:color="000000" w:fill="FFFFFF"/>
            <w:noWrap/>
            <w:vAlign w:val="center"/>
          </w:tcPr>
          <w:p w14:paraId="124185EC">
            <w:pPr>
              <w:pStyle w:val="78"/>
              <w:rPr>
                <w:rFonts w:cs="Times New Roman"/>
                <w:szCs w:val="21"/>
              </w:rPr>
            </w:pPr>
            <w:r>
              <w:rPr>
                <w:rFonts w:cs="Times New Roman"/>
                <w:szCs w:val="21"/>
              </w:rPr>
              <w:t>皮肤接触</w:t>
            </w:r>
          </w:p>
        </w:tc>
        <w:tc>
          <w:tcPr>
            <w:tcW w:w="3969" w:type="dxa"/>
            <w:shd w:val="clear" w:color="000000" w:fill="FFFFFF"/>
            <w:noWrap/>
            <w:vAlign w:val="center"/>
          </w:tcPr>
          <w:p w14:paraId="76BB7C5B">
            <w:pPr>
              <w:pStyle w:val="78"/>
              <w:rPr>
                <w:rFonts w:cs="Times New Roman"/>
                <w:szCs w:val="21"/>
              </w:rPr>
            </w:pPr>
            <w:r>
              <w:rPr>
                <w:rFonts w:cs="Times New Roman"/>
                <w:szCs w:val="21"/>
              </w:rPr>
              <w:t>吸入</w:t>
            </w:r>
          </w:p>
        </w:tc>
        <w:tc>
          <w:tcPr>
            <w:tcW w:w="3827" w:type="dxa"/>
            <w:shd w:val="clear" w:color="000000" w:fill="FFFFFF"/>
            <w:noWrap/>
            <w:vAlign w:val="center"/>
          </w:tcPr>
          <w:p w14:paraId="119EB628">
            <w:pPr>
              <w:pStyle w:val="78"/>
              <w:rPr>
                <w:rFonts w:cs="Times New Roman"/>
                <w:szCs w:val="21"/>
              </w:rPr>
            </w:pPr>
            <w:r>
              <w:rPr>
                <w:rFonts w:cs="Times New Roman"/>
                <w:szCs w:val="21"/>
              </w:rPr>
              <w:t>吸入</w:t>
            </w:r>
          </w:p>
        </w:tc>
      </w:tr>
      <w:tr w14:paraId="1541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61E8D4B">
            <w:pPr>
              <w:pStyle w:val="78"/>
              <w:rPr>
                <w:rFonts w:cs="Times New Roman"/>
                <w:szCs w:val="21"/>
              </w:rPr>
            </w:pPr>
          </w:p>
        </w:tc>
        <w:tc>
          <w:tcPr>
            <w:tcW w:w="1559" w:type="dxa"/>
            <w:shd w:val="clear" w:color="000000" w:fill="FFFFFF"/>
            <w:vAlign w:val="center"/>
          </w:tcPr>
          <w:p w14:paraId="5D1F3C74">
            <w:pPr>
              <w:pStyle w:val="78"/>
              <w:rPr>
                <w:rFonts w:cs="Times New Roman"/>
                <w:szCs w:val="21"/>
              </w:rPr>
            </w:pPr>
            <w:r>
              <w:rPr>
                <w:rFonts w:cs="Times New Roman"/>
                <w:szCs w:val="21"/>
              </w:rPr>
              <w:t>健康危害</w:t>
            </w:r>
          </w:p>
        </w:tc>
        <w:tc>
          <w:tcPr>
            <w:tcW w:w="3969" w:type="dxa"/>
            <w:shd w:val="clear" w:color="000000" w:fill="FFFFFF"/>
            <w:vAlign w:val="center"/>
          </w:tcPr>
          <w:p w14:paraId="125F0F8D">
            <w:pPr>
              <w:pStyle w:val="78"/>
              <w:rPr>
                <w:rFonts w:cs="Times New Roman"/>
                <w:szCs w:val="21"/>
              </w:rPr>
            </w:pPr>
            <w:r>
              <w:rPr>
                <w:rFonts w:cs="Times New Roman"/>
                <w:szCs w:val="21"/>
              </w:rPr>
              <w:t>二甲苯对眼及上呼吸道有刺激作用，高浓度时对中枢神经系统有麻醉作用。</w:t>
            </w:r>
            <w:r>
              <w:rPr>
                <w:rFonts w:cs="Times New Roman"/>
                <w:szCs w:val="21"/>
              </w:rPr>
              <w:br w:type="textWrapping"/>
            </w:r>
            <w:r>
              <w:rPr>
                <w:rFonts w:cs="Times New Roman"/>
                <w:szCs w:val="21"/>
              </w:rPr>
              <w:t>急性中毒：短期内吸入较高浓度本品可出现眼及上呼吸道明显的刺激症状、眼结膜充血、咽充血、头晕、头痛、恶心、呕吐、胸闷、四肢无力、意识模糊、步态蹒跚。重者可有躁动、抽搐或昏迷。有的有癔病样发作。</w:t>
            </w:r>
            <w:r>
              <w:rPr>
                <w:rFonts w:cs="Times New Roman"/>
                <w:szCs w:val="21"/>
              </w:rPr>
              <w:br w:type="textWrapping"/>
            </w:r>
            <w:r>
              <w:rPr>
                <w:rFonts w:cs="Times New Roman"/>
                <w:szCs w:val="21"/>
              </w:rPr>
              <w:t>慢性影响：长期接触有神经衰弱综合征，女工有月经异常，工人常发生皮肤干燥、皲裂、皮炎。</w:t>
            </w:r>
          </w:p>
        </w:tc>
        <w:tc>
          <w:tcPr>
            <w:tcW w:w="3969" w:type="dxa"/>
            <w:shd w:val="clear" w:color="000000" w:fill="FFFFFF"/>
            <w:vAlign w:val="center"/>
          </w:tcPr>
          <w:p w14:paraId="63E44CCB">
            <w:pPr>
              <w:pStyle w:val="78"/>
              <w:rPr>
                <w:rFonts w:cs="Times New Roman"/>
                <w:szCs w:val="21"/>
              </w:rPr>
            </w:pPr>
            <w:r>
              <w:rPr>
                <w:rFonts w:cs="Times New Roman"/>
                <w:szCs w:val="21"/>
              </w:rPr>
              <w:t>本品具有麻醉和刺激作用。液态本品吸入呼吸道可引起吸入性肺炎。</w:t>
            </w:r>
          </w:p>
        </w:tc>
        <w:tc>
          <w:tcPr>
            <w:tcW w:w="3827" w:type="dxa"/>
            <w:shd w:val="clear" w:color="000000" w:fill="FFFFFF"/>
            <w:vAlign w:val="center"/>
          </w:tcPr>
          <w:p w14:paraId="4862E6E8">
            <w:pPr>
              <w:pStyle w:val="78"/>
              <w:rPr>
                <w:rFonts w:cs="Times New Roman"/>
                <w:szCs w:val="21"/>
              </w:rPr>
            </w:pPr>
            <w:r>
              <w:rPr>
                <w:rFonts w:cs="Times New Roman"/>
                <w:szCs w:val="21"/>
              </w:rPr>
              <w:t>高浓度对中枢神经系统有抑制作用。</w:t>
            </w:r>
          </w:p>
        </w:tc>
      </w:tr>
      <w:tr w14:paraId="734F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E74C7E2">
            <w:pPr>
              <w:pStyle w:val="78"/>
              <w:rPr>
                <w:rFonts w:cs="Times New Roman"/>
                <w:szCs w:val="21"/>
              </w:rPr>
            </w:pPr>
          </w:p>
        </w:tc>
        <w:tc>
          <w:tcPr>
            <w:tcW w:w="1559" w:type="dxa"/>
            <w:shd w:val="clear" w:color="000000" w:fill="FFFFFF"/>
            <w:noWrap/>
            <w:vAlign w:val="center"/>
          </w:tcPr>
          <w:p w14:paraId="612511ED">
            <w:pPr>
              <w:pStyle w:val="78"/>
              <w:rPr>
                <w:rFonts w:cs="Times New Roman"/>
                <w:szCs w:val="21"/>
              </w:rPr>
            </w:pPr>
            <w:r>
              <w:rPr>
                <w:rFonts w:cs="Times New Roman"/>
                <w:szCs w:val="21"/>
              </w:rPr>
              <w:t>环境危害</w:t>
            </w:r>
          </w:p>
        </w:tc>
        <w:tc>
          <w:tcPr>
            <w:tcW w:w="3969" w:type="dxa"/>
            <w:shd w:val="clear" w:color="000000" w:fill="FFFFFF"/>
            <w:vAlign w:val="center"/>
          </w:tcPr>
          <w:p w14:paraId="662D8F6E">
            <w:pPr>
              <w:pStyle w:val="78"/>
              <w:rPr>
                <w:rFonts w:cs="Times New Roman"/>
                <w:szCs w:val="21"/>
              </w:rPr>
            </w:pPr>
            <w:r>
              <w:rPr>
                <w:rFonts w:cs="Times New Roman"/>
                <w:szCs w:val="21"/>
              </w:rPr>
              <w:t>对水生生物有毒。</w:t>
            </w:r>
          </w:p>
        </w:tc>
        <w:tc>
          <w:tcPr>
            <w:tcW w:w="3969" w:type="dxa"/>
            <w:shd w:val="clear" w:color="000000" w:fill="FFFFFF"/>
            <w:vAlign w:val="center"/>
          </w:tcPr>
          <w:p w14:paraId="7CE46319">
            <w:pPr>
              <w:pStyle w:val="78"/>
              <w:rPr>
                <w:rFonts w:cs="Times New Roman"/>
                <w:szCs w:val="21"/>
              </w:rPr>
            </w:pPr>
            <w:r>
              <w:rPr>
                <w:rFonts w:cs="Times New Roman"/>
                <w:szCs w:val="21"/>
              </w:rPr>
              <w:t>对水生生物有毒并具有长期持续影响。</w:t>
            </w:r>
          </w:p>
        </w:tc>
        <w:tc>
          <w:tcPr>
            <w:tcW w:w="3827" w:type="dxa"/>
            <w:shd w:val="clear" w:color="000000" w:fill="FFFFFF"/>
            <w:vAlign w:val="center"/>
          </w:tcPr>
          <w:p w14:paraId="60BAA4C0">
            <w:pPr>
              <w:pStyle w:val="78"/>
              <w:rPr>
                <w:rFonts w:cs="Times New Roman"/>
                <w:szCs w:val="21"/>
              </w:rPr>
            </w:pPr>
            <w:r>
              <w:rPr>
                <w:rFonts w:cs="Times New Roman"/>
                <w:szCs w:val="21"/>
              </w:rPr>
              <w:t>对水生生物毒性非常大并具有长期持续影响。</w:t>
            </w:r>
          </w:p>
        </w:tc>
      </w:tr>
      <w:tr w14:paraId="0424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421EA6A5">
            <w:pPr>
              <w:pStyle w:val="78"/>
              <w:rPr>
                <w:rFonts w:cs="Times New Roman"/>
                <w:szCs w:val="21"/>
              </w:rPr>
            </w:pPr>
            <w:r>
              <w:rPr>
                <w:rFonts w:cs="Times New Roman"/>
                <w:szCs w:val="21"/>
              </w:rPr>
              <w:t>应急措施</w:t>
            </w:r>
          </w:p>
        </w:tc>
        <w:tc>
          <w:tcPr>
            <w:tcW w:w="1559" w:type="dxa"/>
            <w:shd w:val="clear" w:color="000000" w:fill="FFFFFF"/>
            <w:noWrap/>
            <w:vAlign w:val="center"/>
          </w:tcPr>
          <w:p w14:paraId="2CEBED79">
            <w:pPr>
              <w:pStyle w:val="78"/>
              <w:rPr>
                <w:rFonts w:cs="Times New Roman"/>
                <w:szCs w:val="21"/>
              </w:rPr>
            </w:pPr>
            <w:r>
              <w:rPr>
                <w:rFonts w:cs="Times New Roman"/>
                <w:szCs w:val="21"/>
              </w:rPr>
              <w:t>急救措施</w:t>
            </w:r>
          </w:p>
        </w:tc>
        <w:tc>
          <w:tcPr>
            <w:tcW w:w="3969" w:type="dxa"/>
            <w:shd w:val="clear" w:color="000000" w:fill="FFFFFF"/>
            <w:vAlign w:val="center"/>
          </w:tcPr>
          <w:p w14:paraId="7201F327">
            <w:pPr>
              <w:pStyle w:val="78"/>
              <w:rPr>
                <w:rFonts w:cs="Times New Roman"/>
                <w:szCs w:val="21"/>
              </w:rPr>
            </w:pPr>
            <w:r>
              <w:rPr>
                <w:rFonts w:cs="Times New Roman"/>
                <w:szCs w:val="21"/>
              </w:rPr>
              <w:t>立即脱离接触。如呼吸困难，给吸氧。如呼吸心跳停止，立即行心肺复苏术。就医。漱口，饮水。就医。</w:t>
            </w:r>
          </w:p>
          <w:p w14:paraId="4FDA01D9">
            <w:pPr>
              <w:pStyle w:val="78"/>
              <w:rPr>
                <w:rFonts w:cs="Times New Roman"/>
                <w:szCs w:val="21"/>
              </w:rPr>
            </w:pPr>
            <w:r>
              <w:rPr>
                <w:rFonts w:cs="Times New Roman"/>
                <w:szCs w:val="21"/>
              </w:rPr>
              <w:t>立即脱去污染衣着，用肥皂水或清水彻底冲洗。就医。分开眼睑，用清水或生理盐水冲洗。就医。</w:t>
            </w:r>
          </w:p>
        </w:tc>
        <w:tc>
          <w:tcPr>
            <w:tcW w:w="3969" w:type="dxa"/>
            <w:shd w:val="clear" w:color="000000" w:fill="FFFFFF"/>
            <w:vAlign w:val="center"/>
          </w:tcPr>
          <w:p w14:paraId="7985C436">
            <w:pPr>
              <w:pStyle w:val="78"/>
              <w:rPr>
                <w:rFonts w:cs="Times New Roman"/>
                <w:szCs w:val="21"/>
              </w:rPr>
            </w:pPr>
            <w:r>
              <w:rPr>
                <w:rFonts w:cs="Times New Roman"/>
                <w:szCs w:val="21"/>
              </w:rPr>
              <w:t>迅速脱离现场至空气新鲜处。保持呼吸道通畅。如呼吸困难，给输氧。呼吸、心跳停止，立即进行心肺复苏术。就医。</w:t>
            </w:r>
          </w:p>
          <w:p w14:paraId="1BC5386A">
            <w:pPr>
              <w:pStyle w:val="78"/>
              <w:rPr>
                <w:rFonts w:cs="Times New Roman"/>
                <w:szCs w:val="21"/>
              </w:rPr>
            </w:pPr>
            <w:r>
              <w:rPr>
                <w:rFonts w:cs="Times New Roman"/>
                <w:szCs w:val="21"/>
              </w:rPr>
              <w:t>漱口，饮水。禁止催吐。就医。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食入：漱口，饮水。禁止催吐。就医。</w:t>
            </w:r>
          </w:p>
        </w:tc>
        <w:tc>
          <w:tcPr>
            <w:tcW w:w="3827" w:type="dxa"/>
            <w:shd w:val="clear" w:color="000000" w:fill="FFFFFF"/>
            <w:vAlign w:val="center"/>
          </w:tcPr>
          <w:p w14:paraId="78120A74">
            <w:pPr>
              <w:pStyle w:val="78"/>
              <w:rPr>
                <w:rFonts w:cs="Times New Roman"/>
                <w:szCs w:val="21"/>
              </w:rPr>
            </w:pPr>
            <w:r>
              <w:rPr>
                <w:rFonts w:cs="Times New Roman"/>
                <w:szCs w:val="21"/>
              </w:rPr>
              <w:t>迅速脱离现场至空气新鲜处。保持呼吸道通畅。如呼吸困难，给输氧。呼吸、心跳停止，立即进行心肺复苏术。就医。</w:t>
            </w:r>
          </w:p>
          <w:p w14:paraId="6727FD13">
            <w:pPr>
              <w:pStyle w:val="78"/>
              <w:rPr>
                <w:rFonts w:cs="Times New Roman"/>
                <w:szCs w:val="21"/>
              </w:rPr>
            </w:pPr>
            <w:r>
              <w:rPr>
                <w:rFonts w:cs="Times New Roman"/>
                <w:szCs w:val="21"/>
              </w:rPr>
              <w:t>漱口，饮水。就医。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食入：漱口，饮水。就医。</w:t>
            </w:r>
          </w:p>
        </w:tc>
      </w:tr>
      <w:tr w14:paraId="72CB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C748E51">
            <w:pPr>
              <w:pStyle w:val="78"/>
              <w:rPr>
                <w:rFonts w:cs="Times New Roman"/>
                <w:szCs w:val="21"/>
              </w:rPr>
            </w:pPr>
          </w:p>
        </w:tc>
        <w:tc>
          <w:tcPr>
            <w:tcW w:w="1559" w:type="dxa"/>
            <w:shd w:val="clear" w:color="000000" w:fill="FFFFFF"/>
            <w:vAlign w:val="center"/>
          </w:tcPr>
          <w:p w14:paraId="6E84816E">
            <w:pPr>
              <w:pStyle w:val="78"/>
              <w:rPr>
                <w:rFonts w:cs="Times New Roman"/>
                <w:szCs w:val="21"/>
              </w:rPr>
            </w:pPr>
            <w:r>
              <w:rPr>
                <w:rFonts w:cs="Times New Roman"/>
                <w:szCs w:val="21"/>
              </w:rPr>
              <w:t>泄漏应急处置</w:t>
            </w:r>
          </w:p>
        </w:tc>
        <w:tc>
          <w:tcPr>
            <w:tcW w:w="3969" w:type="dxa"/>
            <w:shd w:val="clear" w:color="000000" w:fill="FFFFFF"/>
            <w:vAlign w:val="center"/>
          </w:tcPr>
          <w:p w14:paraId="6C664827">
            <w:pPr>
              <w:pStyle w:val="78"/>
              <w:rPr>
                <w:rFonts w:cs="Times New Roman"/>
                <w:szCs w:val="21"/>
              </w:rPr>
            </w:pPr>
            <w:r>
              <w:rPr>
                <w:rFonts w:cs="Times New Roman"/>
                <w:szCs w:val="21"/>
              </w:rPr>
              <w:t>小量泄漏：用干燥的砂土或其他不燃材料覆盖泄漏物。大量泄漏：构筑围堤或挖坑收容。用泡沫覆盖，减少蒸发。喷水雾能减少蒸发，但不能降低泄漏物在有限空间的易燃性。用防爆泵转移至槽车或专用收集器内。</w:t>
            </w:r>
          </w:p>
        </w:tc>
        <w:tc>
          <w:tcPr>
            <w:tcW w:w="3969" w:type="dxa"/>
            <w:shd w:val="clear" w:color="000000" w:fill="FFFFFF"/>
            <w:vAlign w:val="center"/>
          </w:tcPr>
          <w:p w14:paraId="2AEAEF4A">
            <w:pPr>
              <w:pStyle w:val="78"/>
              <w:rPr>
                <w:rFonts w:cs="Times New Roman"/>
                <w:szCs w:val="21"/>
              </w:rPr>
            </w:pPr>
            <w:r>
              <w:rPr>
                <w:rFonts w:cs="Times New Roman"/>
                <w:szCs w:val="21"/>
              </w:rPr>
              <w:t>小量泄漏：用砂土或其他不燃材料吸收。使用洁净的无火花工具收集吸收材料。大量泄漏：构筑围堤或挖坑收容。用砂土、惰性物质或蛭石吸收大量液体。用泡沫覆盖，减少蒸发。喷水雾能减少蒸发，但不能降低泄漏物在有限空间内的易燃性。用防爆泵转移至槽车或专用收集器内。</w:t>
            </w:r>
          </w:p>
        </w:tc>
        <w:tc>
          <w:tcPr>
            <w:tcW w:w="3827" w:type="dxa"/>
            <w:shd w:val="clear" w:color="000000" w:fill="FFFFFF"/>
            <w:vAlign w:val="center"/>
          </w:tcPr>
          <w:p w14:paraId="11EAABBF">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限制性空间内的易燃性。用防爆泵转移至槽车或专用收集器内。</w:t>
            </w:r>
          </w:p>
        </w:tc>
      </w:tr>
      <w:tr w14:paraId="7521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5AA711F">
            <w:pPr>
              <w:pStyle w:val="78"/>
              <w:rPr>
                <w:rFonts w:cs="Times New Roman"/>
                <w:szCs w:val="21"/>
              </w:rPr>
            </w:pPr>
          </w:p>
        </w:tc>
        <w:tc>
          <w:tcPr>
            <w:tcW w:w="1559" w:type="dxa"/>
            <w:shd w:val="clear" w:color="000000" w:fill="FFFFFF"/>
            <w:noWrap/>
            <w:vAlign w:val="center"/>
          </w:tcPr>
          <w:p w14:paraId="76C25566">
            <w:pPr>
              <w:pStyle w:val="78"/>
              <w:rPr>
                <w:rFonts w:cs="Times New Roman"/>
                <w:szCs w:val="21"/>
              </w:rPr>
            </w:pPr>
            <w:r>
              <w:rPr>
                <w:rFonts w:cs="Times New Roman"/>
                <w:szCs w:val="21"/>
              </w:rPr>
              <w:t>灭火方法</w:t>
            </w:r>
          </w:p>
        </w:tc>
        <w:tc>
          <w:tcPr>
            <w:tcW w:w="3969" w:type="dxa"/>
            <w:shd w:val="clear" w:color="000000" w:fill="FFFFFF"/>
            <w:vAlign w:val="center"/>
          </w:tcPr>
          <w:p w14:paraId="18533187">
            <w:pPr>
              <w:pStyle w:val="78"/>
              <w:rPr>
                <w:rFonts w:cs="Times New Roman"/>
                <w:szCs w:val="21"/>
              </w:rPr>
            </w:pPr>
            <w:r>
              <w:rPr>
                <w:rFonts w:cs="Times New Roman"/>
                <w:szCs w:val="21"/>
              </w:rPr>
              <w:t>消防人员须穿全身消防服，佩戴空气呼吸器，在上风向灭火。尽可能将容器从火场移至空旷处。喷水保持火场容器冷却，直至灭火结束。处在火场中的容器若发生异常变化或发出异常声音，须马上撤离。灭火剂</w:t>
            </w:r>
          </w:p>
        </w:tc>
        <w:tc>
          <w:tcPr>
            <w:tcW w:w="3969" w:type="dxa"/>
            <w:shd w:val="clear" w:color="000000" w:fill="FFFFFF"/>
            <w:vAlign w:val="center"/>
          </w:tcPr>
          <w:p w14:paraId="4A9FCB1A">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w:t>
            </w:r>
          </w:p>
        </w:tc>
        <w:tc>
          <w:tcPr>
            <w:tcW w:w="3827" w:type="dxa"/>
            <w:shd w:val="clear" w:color="000000" w:fill="FFFFFF"/>
            <w:vAlign w:val="center"/>
          </w:tcPr>
          <w:p w14:paraId="6F3F9416">
            <w:pPr>
              <w:pStyle w:val="78"/>
              <w:rPr>
                <w:rFonts w:cs="Times New Roman"/>
                <w:szCs w:val="21"/>
              </w:rPr>
            </w:pPr>
            <w:r>
              <w:rPr>
                <w:rFonts w:cs="Times New Roman"/>
                <w:szCs w:val="21"/>
              </w:rPr>
              <w:t>消防人员必须佩戴空气呼吸器、穿全身防火防毒服，在上风向灭火。尽可能将容器从火场移至空旷处。喷水保持火场容器冷却，直至灭火结束。容器突然发出异常声音或出现异常现象，应立即撤离。</w:t>
            </w:r>
          </w:p>
        </w:tc>
      </w:tr>
      <w:tr w14:paraId="5A12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0E6BF774">
            <w:pPr>
              <w:pStyle w:val="78"/>
              <w:rPr>
                <w:rFonts w:cs="Times New Roman"/>
                <w:b/>
                <w:szCs w:val="21"/>
              </w:rPr>
            </w:pPr>
            <w:r>
              <w:rPr>
                <w:rFonts w:cs="Times New Roman"/>
                <w:b/>
                <w:szCs w:val="21"/>
              </w:rPr>
              <w:t>物质</w:t>
            </w:r>
          </w:p>
        </w:tc>
        <w:tc>
          <w:tcPr>
            <w:tcW w:w="3969" w:type="dxa"/>
            <w:shd w:val="clear" w:color="000000" w:fill="FFFFFF"/>
            <w:vAlign w:val="center"/>
          </w:tcPr>
          <w:p w14:paraId="5F00C5FA">
            <w:pPr>
              <w:pStyle w:val="78"/>
              <w:rPr>
                <w:rFonts w:cs="Times New Roman"/>
                <w:b/>
                <w:szCs w:val="21"/>
              </w:rPr>
            </w:pPr>
            <w:r>
              <w:rPr>
                <w:rFonts w:cs="Times New Roman"/>
                <w:b/>
                <w:szCs w:val="21"/>
              </w:rPr>
              <w:t>C9芳烃</w:t>
            </w:r>
          </w:p>
        </w:tc>
        <w:tc>
          <w:tcPr>
            <w:tcW w:w="3969" w:type="dxa"/>
            <w:shd w:val="clear" w:color="000000" w:fill="FFFFFF"/>
            <w:vAlign w:val="center"/>
          </w:tcPr>
          <w:p w14:paraId="3BB7E16F">
            <w:pPr>
              <w:pStyle w:val="78"/>
              <w:rPr>
                <w:rFonts w:cs="Times New Roman"/>
                <w:b/>
                <w:szCs w:val="21"/>
              </w:rPr>
            </w:pPr>
            <w:r>
              <w:rPr>
                <w:rFonts w:cs="Times New Roman"/>
                <w:b/>
                <w:szCs w:val="21"/>
              </w:rPr>
              <w:t>C10烯烃</w:t>
            </w:r>
          </w:p>
        </w:tc>
        <w:tc>
          <w:tcPr>
            <w:tcW w:w="3827" w:type="dxa"/>
            <w:shd w:val="clear" w:color="000000" w:fill="FFFFFF"/>
            <w:vAlign w:val="center"/>
          </w:tcPr>
          <w:p w14:paraId="18504275">
            <w:pPr>
              <w:pStyle w:val="78"/>
              <w:rPr>
                <w:rFonts w:cs="Times New Roman"/>
                <w:b/>
                <w:szCs w:val="21"/>
              </w:rPr>
            </w:pPr>
            <w:r>
              <w:rPr>
                <w:rFonts w:cs="Times New Roman"/>
                <w:b/>
                <w:szCs w:val="21"/>
              </w:rPr>
              <w:t>C10芳烃</w:t>
            </w:r>
          </w:p>
        </w:tc>
      </w:tr>
      <w:tr w14:paraId="44C0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0976BB4C">
            <w:pPr>
              <w:pStyle w:val="78"/>
              <w:rPr>
                <w:rFonts w:cs="Times New Roman"/>
                <w:szCs w:val="21"/>
              </w:rPr>
            </w:pPr>
            <w:r>
              <w:rPr>
                <w:rFonts w:cs="Times New Roman"/>
                <w:szCs w:val="21"/>
              </w:rPr>
              <w:t>物化性质</w:t>
            </w:r>
          </w:p>
        </w:tc>
        <w:tc>
          <w:tcPr>
            <w:tcW w:w="1559" w:type="dxa"/>
            <w:shd w:val="clear" w:color="000000" w:fill="FFFFFF"/>
            <w:vAlign w:val="center"/>
          </w:tcPr>
          <w:p w14:paraId="2AFC0291">
            <w:pPr>
              <w:pStyle w:val="78"/>
              <w:rPr>
                <w:rFonts w:cs="Times New Roman"/>
                <w:szCs w:val="21"/>
              </w:rPr>
            </w:pPr>
            <w:r>
              <w:rPr>
                <w:rFonts w:cs="Times New Roman"/>
                <w:szCs w:val="21"/>
              </w:rPr>
              <w:t>CAS号</w:t>
            </w:r>
          </w:p>
        </w:tc>
        <w:tc>
          <w:tcPr>
            <w:tcW w:w="3969" w:type="dxa"/>
            <w:shd w:val="clear" w:color="000000" w:fill="FFFFFF"/>
            <w:vAlign w:val="center"/>
          </w:tcPr>
          <w:p w14:paraId="20FB31BF">
            <w:pPr>
              <w:pStyle w:val="78"/>
              <w:rPr>
                <w:rFonts w:cs="Times New Roman"/>
                <w:szCs w:val="21"/>
              </w:rPr>
            </w:pPr>
            <w:r>
              <w:rPr>
                <w:rFonts w:cs="Times New Roman"/>
                <w:szCs w:val="21"/>
              </w:rPr>
              <w:t>98-82-8</w:t>
            </w:r>
          </w:p>
        </w:tc>
        <w:tc>
          <w:tcPr>
            <w:tcW w:w="3969" w:type="dxa"/>
            <w:shd w:val="clear" w:color="000000" w:fill="FFFFFF"/>
            <w:vAlign w:val="center"/>
          </w:tcPr>
          <w:p w14:paraId="5FB02149">
            <w:pPr>
              <w:pStyle w:val="78"/>
              <w:rPr>
                <w:rFonts w:cs="Times New Roman"/>
                <w:szCs w:val="21"/>
              </w:rPr>
            </w:pPr>
            <w:r>
              <w:rPr>
                <w:rFonts w:cs="Times New Roman"/>
                <w:szCs w:val="21"/>
              </w:rPr>
              <w:t>872-05-9</w:t>
            </w:r>
          </w:p>
        </w:tc>
        <w:tc>
          <w:tcPr>
            <w:tcW w:w="3827" w:type="dxa"/>
            <w:shd w:val="clear" w:color="000000" w:fill="FFFFFF"/>
            <w:vAlign w:val="center"/>
          </w:tcPr>
          <w:p w14:paraId="02F9D081">
            <w:pPr>
              <w:pStyle w:val="78"/>
              <w:rPr>
                <w:rFonts w:cs="Times New Roman"/>
                <w:szCs w:val="21"/>
              </w:rPr>
            </w:pPr>
            <w:r>
              <w:rPr>
                <w:rFonts w:cs="Times New Roman"/>
                <w:szCs w:val="21"/>
              </w:rPr>
              <w:t>538-93-2</w:t>
            </w:r>
          </w:p>
        </w:tc>
      </w:tr>
      <w:tr w14:paraId="4F50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B5376C6">
            <w:pPr>
              <w:pStyle w:val="78"/>
              <w:rPr>
                <w:rFonts w:cs="Times New Roman"/>
                <w:szCs w:val="21"/>
              </w:rPr>
            </w:pPr>
          </w:p>
        </w:tc>
        <w:tc>
          <w:tcPr>
            <w:tcW w:w="1559" w:type="dxa"/>
            <w:shd w:val="clear" w:color="000000" w:fill="FFFFFF"/>
            <w:vAlign w:val="center"/>
          </w:tcPr>
          <w:p w14:paraId="3C005023">
            <w:pPr>
              <w:pStyle w:val="78"/>
              <w:rPr>
                <w:rFonts w:cs="Times New Roman"/>
                <w:szCs w:val="21"/>
              </w:rPr>
            </w:pPr>
            <w:r>
              <w:rPr>
                <w:rFonts w:cs="Times New Roman"/>
                <w:szCs w:val="21"/>
              </w:rPr>
              <w:t>中文名称/别名</w:t>
            </w:r>
          </w:p>
        </w:tc>
        <w:tc>
          <w:tcPr>
            <w:tcW w:w="3969" w:type="dxa"/>
            <w:shd w:val="clear" w:color="000000" w:fill="FFFFFF"/>
            <w:vAlign w:val="center"/>
          </w:tcPr>
          <w:p w14:paraId="730F301E">
            <w:pPr>
              <w:pStyle w:val="78"/>
              <w:rPr>
                <w:rFonts w:cs="Times New Roman"/>
                <w:szCs w:val="21"/>
              </w:rPr>
            </w:pPr>
            <w:r>
              <w:rPr>
                <w:rFonts w:cs="Times New Roman"/>
                <w:szCs w:val="21"/>
              </w:rPr>
              <w:t>异丙基苯;异丙基苯,(1-甲基乙基）苯,枯烯,2-苯基丙烷,异丙苯;异丙苯</w:t>
            </w:r>
          </w:p>
        </w:tc>
        <w:tc>
          <w:tcPr>
            <w:tcW w:w="3969" w:type="dxa"/>
            <w:shd w:val="clear" w:color="000000" w:fill="FFFFFF"/>
            <w:vAlign w:val="center"/>
          </w:tcPr>
          <w:p w14:paraId="28B5F433">
            <w:pPr>
              <w:pStyle w:val="78"/>
              <w:rPr>
                <w:rFonts w:cs="Times New Roman"/>
                <w:szCs w:val="21"/>
              </w:rPr>
            </w:pPr>
            <w:r>
              <w:rPr>
                <w:rFonts w:cs="Times New Roman"/>
                <w:szCs w:val="21"/>
              </w:rPr>
              <w:t>1-癸烯;正-1-癸烯;癸烯;α-癸烯</w:t>
            </w:r>
          </w:p>
        </w:tc>
        <w:tc>
          <w:tcPr>
            <w:tcW w:w="3827" w:type="dxa"/>
            <w:shd w:val="clear" w:color="000000" w:fill="FFFFFF"/>
            <w:vAlign w:val="center"/>
          </w:tcPr>
          <w:p w14:paraId="67660165">
            <w:pPr>
              <w:pStyle w:val="78"/>
              <w:rPr>
                <w:rFonts w:cs="Times New Roman"/>
                <w:szCs w:val="21"/>
              </w:rPr>
            </w:pPr>
            <w:r>
              <w:rPr>
                <w:rFonts w:cs="Times New Roman"/>
                <w:szCs w:val="21"/>
              </w:rPr>
              <w:t>异丁基苯;异丁(基)苯;2-甲基-1-苯基丙烷;2-甲基丙基苯</w:t>
            </w:r>
          </w:p>
        </w:tc>
      </w:tr>
      <w:tr w14:paraId="13FA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D80EEC9">
            <w:pPr>
              <w:pStyle w:val="78"/>
              <w:rPr>
                <w:rFonts w:cs="Times New Roman"/>
                <w:szCs w:val="21"/>
              </w:rPr>
            </w:pPr>
          </w:p>
        </w:tc>
        <w:tc>
          <w:tcPr>
            <w:tcW w:w="1559" w:type="dxa"/>
            <w:shd w:val="clear" w:color="000000" w:fill="FFFFFF"/>
            <w:vAlign w:val="center"/>
          </w:tcPr>
          <w:p w14:paraId="36557E38">
            <w:pPr>
              <w:pStyle w:val="78"/>
              <w:rPr>
                <w:rFonts w:cs="Times New Roman"/>
                <w:szCs w:val="21"/>
              </w:rPr>
            </w:pPr>
            <w:r>
              <w:rPr>
                <w:rFonts w:cs="Times New Roman"/>
                <w:szCs w:val="21"/>
              </w:rPr>
              <w:t>分子式</w:t>
            </w:r>
          </w:p>
        </w:tc>
        <w:tc>
          <w:tcPr>
            <w:tcW w:w="3969" w:type="dxa"/>
            <w:shd w:val="clear" w:color="000000" w:fill="FFFFFF"/>
            <w:noWrap/>
            <w:vAlign w:val="center"/>
          </w:tcPr>
          <w:p w14:paraId="08D80516">
            <w:pPr>
              <w:pStyle w:val="78"/>
              <w:rPr>
                <w:rFonts w:cs="Times New Roman"/>
                <w:szCs w:val="21"/>
              </w:rPr>
            </w:pPr>
            <w:r>
              <w:rPr>
                <w:rFonts w:cs="Times New Roman"/>
                <w:szCs w:val="21"/>
              </w:rPr>
              <w:t>C</w:t>
            </w:r>
            <w:r>
              <w:rPr>
                <w:rFonts w:cs="Times New Roman"/>
                <w:szCs w:val="21"/>
                <w:vertAlign w:val="subscript"/>
              </w:rPr>
              <w:t>9</w:t>
            </w:r>
            <w:r>
              <w:rPr>
                <w:rFonts w:cs="Times New Roman"/>
                <w:szCs w:val="21"/>
              </w:rPr>
              <w:t>H</w:t>
            </w:r>
            <w:r>
              <w:rPr>
                <w:rFonts w:cs="Times New Roman"/>
                <w:szCs w:val="21"/>
                <w:vertAlign w:val="subscript"/>
              </w:rPr>
              <w:t>12</w:t>
            </w:r>
          </w:p>
        </w:tc>
        <w:tc>
          <w:tcPr>
            <w:tcW w:w="3969" w:type="dxa"/>
            <w:shd w:val="clear" w:color="000000" w:fill="FFFFFF"/>
            <w:noWrap/>
            <w:vAlign w:val="center"/>
          </w:tcPr>
          <w:p w14:paraId="6247CF31">
            <w:pPr>
              <w:pStyle w:val="78"/>
              <w:rPr>
                <w:rFonts w:cs="Times New Roman"/>
                <w:szCs w:val="21"/>
              </w:rPr>
            </w:pPr>
            <w:r>
              <w:rPr>
                <w:rFonts w:cs="Times New Roman"/>
                <w:szCs w:val="21"/>
              </w:rPr>
              <w:t>C</w:t>
            </w:r>
            <w:r>
              <w:rPr>
                <w:rFonts w:cs="Times New Roman"/>
                <w:szCs w:val="21"/>
                <w:vertAlign w:val="subscript"/>
              </w:rPr>
              <w:t>10</w:t>
            </w:r>
            <w:r>
              <w:rPr>
                <w:rFonts w:cs="Times New Roman"/>
                <w:szCs w:val="21"/>
              </w:rPr>
              <w:t>H</w:t>
            </w:r>
            <w:r>
              <w:rPr>
                <w:rFonts w:cs="Times New Roman"/>
                <w:szCs w:val="21"/>
                <w:vertAlign w:val="subscript"/>
              </w:rPr>
              <w:t>20</w:t>
            </w:r>
          </w:p>
        </w:tc>
        <w:tc>
          <w:tcPr>
            <w:tcW w:w="3827" w:type="dxa"/>
            <w:shd w:val="clear" w:color="000000" w:fill="FFFFFF"/>
            <w:noWrap/>
            <w:vAlign w:val="center"/>
          </w:tcPr>
          <w:p w14:paraId="77E47F76">
            <w:pPr>
              <w:pStyle w:val="78"/>
              <w:rPr>
                <w:rFonts w:cs="Times New Roman"/>
                <w:szCs w:val="21"/>
              </w:rPr>
            </w:pPr>
            <w:r>
              <w:rPr>
                <w:rFonts w:cs="Times New Roman"/>
                <w:szCs w:val="21"/>
              </w:rPr>
              <w:t>C</w:t>
            </w:r>
            <w:r>
              <w:rPr>
                <w:rFonts w:cs="Times New Roman"/>
                <w:szCs w:val="21"/>
                <w:vertAlign w:val="subscript"/>
              </w:rPr>
              <w:t>10</w:t>
            </w:r>
            <w:r>
              <w:rPr>
                <w:rFonts w:cs="Times New Roman"/>
                <w:szCs w:val="21"/>
              </w:rPr>
              <w:t>H</w:t>
            </w:r>
            <w:r>
              <w:rPr>
                <w:rFonts w:cs="Times New Roman"/>
                <w:szCs w:val="21"/>
                <w:vertAlign w:val="subscript"/>
              </w:rPr>
              <w:t>14</w:t>
            </w:r>
          </w:p>
        </w:tc>
      </w:tr>
      <w:tr w14:paraId="38A6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748BA80">
            <w:pPr>
              <w:pStyle w:val="78"/>
              <w:rPr>
                <w:rFonts w:cs="Times New Roman"/>
                <w:szCs w:val="21"/>
              </w:rPr>
            </w:pPr>
          </w:p>
        </w:tc>
        <w:tc>
          <w:tcPr>
            <w:tcW w:w="1559" w:type="dxa"/>
            <w:shd w:val="clear" w:color="000000" w:fill="FFFFFF"/>
            <w:vAlign w:val="center"/>
          </w:tcPr>
          <w:p w14:paraId="5C277B64">
            <w:pPr>
              <w:pStyle w:val="78"/>
              <w:rPr>
                <w:rFonts w:cs="Times New Roman"/>
                <w:szCs w:val="21"/>
              </w:rPr>
            </w:pPr>
            <w:r>
              <w:rPr>
                <w:rFonts w:cs="Times New Roman"/>
                <w:szCs w:val="21"/>
              </w:rPr>
              <w:t>分子量</w:t>
            </w:r>
          </w:p>
        </w:tc>
        <w:tc>
          <w:tcPr>
            <w:tcW w:w="3969" w:type="dxa"/>
            <w:shd w:val="clear" w:color="000000" w:fill="FFFFFF"/>
            <w:noWrap/>
            <w:vAlign w:val="center"/>
          </w:tcPr>
          <w:p w14:paraId="71B5A2B0">
            <w:pPr>
              <w:pStyle w:val="78"/>
              <w:rPr>
                <w:rFonts w:cs="Times New Roman"/>
                <w:szCs w:val="21"/>
              </w:rPr>
            </w:pPr>
            <w:r>
              <w:rPr>
                <w:rFonts w:cs="Times New Roman"/>
                <w:szCs w:val="21"/>
              </w:rPr>
              <w:t>120.19</w:t>
            </w:r>
          </w:p>
        </w:tc>
        <w:tc>
          <w:tcPr>
            <w:tcW w:w="3969" w:type="dxa"/>
            <w:shd w:val="clear" w:color="000000" w:fill="FFFFFF"/>
            <w:noWrap/>
            <w:vAlign w:val="center"/>
          </w:tcPr>
          <w:p w14:paraId="602F2156">
            <w:pPr>
              <w:pStyle w:val="78"/>
              <w:rPr>
                <w:rFonts w:cs="Times New Roman"/>
                <w:szCs w:val="21"/>
              </w:rPr>
            </w:pPr>
            <w:r>
              <w:rPr>
                <w:rFonts w:cs="Times New Roman"/>
                <w:szCs w:val="21"/>
              </w:rPr>
              <w:t>140.27</w:t>
            </w:r>
          </w:p>
        </w:tc>
        <w:tc>
          <w:tcPr>
            <w:tcW w:w="3827" w:type="dxa"/>
            <w:shd w:val="clear" w:color="000000" w:fill="FFFFFF"/>
            <w:noWrap/>
            <w:vAlign w:val="center"/>
          </w:tcPr>
          <w:p w14:paraId="0B1ED38F">
            <w:pPr>
              <w:pStyle w:val="78"/>
              <w:rPr>
                <w:rFonts w:cs="Times New Roman"/>
                <w:szCs w:val="21"/>
              </w:rPr>
            </w:pPr>
            <w:r>
              <w:rPr>
                <w:rFonts w:cs="Times New Roman"/>
                <w:szCs w:val="21"/>
              </w:rPr>
              <w:t>134.22</w:t>
            </w:r>
          </w:p>
        </w:tc>
      </w:tr>
      <w:tr w14:paraId="5733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485CB2F">
            <w:pPr>
              <w:pStyle w:val="78"/>
              <w:rPr>
                <w:rFonts w:cs="Times New Roman"/>
                <w:szCs w:val="21"/>
              </w:rPr>
            </w:pPr>
          </w:p>
        </w:tc>
        <w:tc>
          <w:tcPr>
            <w:tcW w:w="1559" w:type="dxa"/>
            <w:shd w:val="clear" w:color="000000" w:fill="FFFFFF"/>
            <w:vAlign w:val="center"/>
          </w:tcPr>
          <w:p w14:paraId="4BD0CAF3">
            <w:pPr>
              <w:pStyle w:val="78"/>
              <w:rPr>
                <w:rFonts w:cs="Times New Roman"/>
                <w:szCs w:val="21"/>
              </w:rPr>
            </w:pPr>
            <w:r>
              <w:rPr>
                <w:rFonts w:cs="Times New Roman"/>
                <w:szCs w:val="21"/>
              </w:rPr>
              <w:t>外观性状</w:t>
            </w:r>
          </w:p>
        </w:tc>
        <w:tc>
          <w:tcPr>
            <w:tcW w:w="3969" w:type="dxa"/>
            <w:shd w:val="clear" w:color="000000" w:fill="FFFFFF"/>
            <w:vAlign w:val="center"/>
          </w:tcPr>
          <w:p w14:paraId="2406B64E">
            <w:pPr>
              <w:pStyle w:val="78"/>
              <w:rPr>
                <w:rFonts w:cs="Times New Roman"/>
                <w:szCs w:val="21"/>
              </w:rPr>
            </w:pPr>
            <w:r>
              <w:rPr>
                <w:rFonts w:cs="Times New Roman"/>
                <w:szCs w:val="21"/>
              </w:rPr>
              <w:t>无色液体，有特殊芳香气味。</w:t>
            </w:r>
          </w:p>
        </w:tc>
        <w:tc>
          <w:tcPr>
            <w:tcW w:w="3969" w:type="dxa"/>
            <w:shd w:val="clear" w:color="000000" w:fill="FFFFFF"/>
            <w:vAlign w:val="center"/>
          </w:tcPr>
          <w:p w14:paraId="308C82A3">
            <w:pPr>
              <w:pStyle w:val="78"/>
              <w:rPr>
                <w:rFonts w:cs="Times New Roman"/>
                <w:szCs w:val="21"/>
              </w:rPr>
            </w:pPr>
            <w:r>
              <w:rPr>
                <w:rFonts w:cs="Times New Roman"/>
                <w:szCs w:val="21"/>
              </w:rPr>
              <w:t>无色液体。</w:t>
            </w:r>
          </w:p>
        </w:tc>
        <w:tc>
          <w:tcPr>
            <w:tcW w:w="3827" w:type="dxa"/>
            <w:shd w:val="clear" w:color="000000" w:fill="FFFFFF"/>
            <w:vAlign w:val="center"/>
          </w:tcPr>
          <w:p w14:paraId="197C78D0">
            <w:pPr>
              <w:pStyle w:val="78"/>
              <w:rPr>
                <w:rFonts w:cs="Times New Roman"/>
                <w:szCs w:val="21"/>
              </w:rPr>
            </w:pPr>
            <w:r>
              <w:rPr>
                <w:rFonts w:cs="Times New Roman"/>
                <w:szCs w:val="21"/>
              </w:rPr>
              <w:t>无色透明液体</w:t>
            </w:r>
          </w:p>
        </w:tc>
      </w:tr>
      <w:tr w14:paraId="67D6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10DB6E4">
            <w:pPr>
              <w:pStyle w:val="78"/>
              <w:rPr>
                <w:rFonts w:cs="Times New Roman"/>
                <w:szCs w:val="21"/>
              </w:rPr>
            </w:pPr>
          </w:p>
        </w:tc>
        <w:tc>
          <w:tcPr>
            <w:tcW w:w="1559" w:type="dxa"/>
            <w:shd w:val="clear" w:color="000000" w:fill="FFFFFF"/>
            <w:vAlign w:val="center"/>
          </w:tcPr>
          <w:p w14:paraId="362E3A92">
            <w:pPr>
              <w:pStyle w:val="78"/>
              <w:rPr>
                <w:rFonts w:cs="Times New Roman"/>
                <w:szCs w:val="21"/>
              </w:rPr>
            </w:pPr>
            <w:r>
              <w:rPr>
                <w:rFonts w:cs="Times New Roman"/>
                <w:szCs w:val="21"/>
              </w:rPr>
              <w:t>沸点，℃</w:t>
            </w:r>
          </w:p>
        </w:tc>
        <w:tc>
          <w:tcPr>
            <w:tcW w:w="3969" w:type="dxa"/>
            <w:shd w:val="clear" w:color="000000" w:fill="FFFFFF"/>
            <w:vAlign w:val="center"/>
          </w:tcPr>
          <w:p w14:paraId="2689C2B1">
            <w:pPr>
              <w:pStyle w:val="78"/>
              <w:rPr>
                <w:rFonts w:cs="Times New Roman"/>
                <w:szCs w:val="21"/>
              </w:rPr>
            </w:pPr>
            <w:r>
              <w:rPr>
                <w:rFonts w:cs="Times New Roman"/>
                <w:szCs w:val="21"/>
              </w:rPr>
              <w:t>152.4</w:t>
            </w:r>
          </w:p>
        </w:tc>
        <w:tc>
          <w:tcPr>
            <w:tcW w:w="3969" w:type="dxa"/>
            <w:shd w:val="clear" w:color="000000" w:fill="FFFFFF"/>
            <w:vAlign w:val="center"/>
          </w:tcPr>
          <w:p w14:paraId="0DFEB700">
            <w:pPr>
              <w:pStyle w:val="78"/>
              <w:rPr>
                <w:rFonts w:cs="Times New Roman"/>
                <w:szCs w:val="21"/>
              </w:rPr>
            </w:pPr>
            <w:r>
              <w:rPr>
                <w:rFonts w:cs="Times New Roman"/>
                <w:szCs w:val="21"/>
              </w:rPr>
              <w:t>170.6</w:t>
            </w:r>
          </w:p>
        </w:tc>
        <w:tc>
          <w:tcPr>
            <w:tcW w:w="3827" w:type="dxa"/>
            <w:shd w:val="clear" w:color="000000" w:fill="FFFFFF"/>
            <w:vAlign w:val="center"/>
          </w:tcPr>
          <w:p w14:paraId="7FBF4566">
            <w:pPr>
              <w:pStyle w:val="78"/>
              <w:rPr>
                <w:rFonts w:cs="Times New Roman"/>
                <w:szCs w:val="21"/>
              </w:rPr>
            </w:pPr>
            <w:r>
              <w:rPr>
                <w:rFonts w:cs="Times New Roman"/>
                <w:szCs w:val="21"/>
              </w:rPr>
              <w:t>173</w:t>
            </w:r>
          </w:p>
        </w:tc>
      </w:tr>
      <w:tr w14:paraId="53B3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770AF35">
            <w:pPr>
              <w:pStyle w:val="78"/>
              <w:rPr>
                <w:rFonts w:cs="Times New Roman"/>
                <w:szCs w:val="21"/>
              </w:rPr>
            </w:pPr>
          </w:p>
        </w:tc>
        <w:tc>
          <w:tcPr>
            <w:tcW w:w="1559" w:type="dxa"/>
            <w:shd w:val="clear" w:color="000000" w:fill="FFFFFF"/>
            <w:vAlign w:val="center"/>
          </w:tcPr>
          <w:p w14:paraId="28FE5208">
            <w:pPr>
              <w:pStyle w:val="78"/>
              <w:rPr>
                <w:rFonts w:cs="Times New Roman"/>
                <w:szCs w:val="21"/>
              </w:rPr>
            </w:pPr>
            <w:r>
              <w:rPr>
                <w:rFonts w:cs="Times New Roman"/>
                <w:szCs w:val="21"/>
              </w:rPr>
              <w:t>熔点，℃</w:t>
            </w:r>
          </w:p>
        </w:tc>
        <w:tc>
          <w:tcPr>
            <w:tcW w:w="3969" w:type="dxa"/>
            <w:shd w:val="clear" w:color="000000" w:fill="FFFFFF"/>
            <w:vAlign w:val="center"/>
          </w:tcPr>
          <w:p w14:paraId="3F9DC536">
            <w:pPr>
              <w:pStyle w:val="78"/>
              <w:rPr>
                <w:rFonts w:cs="Times New Roman"/>
                <w:szCs w:val="21"/>
              </w:rPr>
            </w:pPr>
            <w:r>
              <w:rPr>
                <w:rFonts w:cs="Times New Roman"/>
                <w:szCs w:val="21"/>
              </w:rPr>
              <w:t>-96.0</w:t>
            </w:r>
          </w:p>
        </w:tc>
        <w:tc>
          <w:tcPr>
            <w:tcW w:w="3969" w:type="dxa"/>
            <w:shd w:val="clear" w:color="000000" w:fill="FFFFFF"/>
            <w:vAlign w:val="center"/>
          </w:tcPr>
          <w:p w14:paraId="22A38D53">
            <w:pPr>
              <w:pStyle w:val="78"/>
              <w:rPr>
                <w:rFonts w:cs="Times New Roman"/>
                <w:szCs w:val="21"/>
              </w:rPr>
            </w:pPr>
            <w:r>
              <w:rPr>
                <w:rFonts w:cs="Times New Roman"/>
                <w:szCs w:val="21"/>
              </w:rPr>
              <w:t>-66.3</w:t>
            </w:r>
          </w:p>
        </w:tc>
        <w:tc>
          <w:tcPr>
            <w:tcW w:w="3827" w:type="dxa"/>
            <w:shd w:val="clear" w:color="000000" w:fill="FFFFFF"/>
            <w:vAlign w:val="center"/>
          </w:tcPr>
          <w:p w14:paraId="7771616C">
            <w:pPr>
              <w:pStyle w:val="78"/>
              <w:rPr>
                <w:rFonts w:cs="Times New Roman"/>
                <w:szCs w:val="21"/>
              </w:rPr>
            </w:pPr>
            <w:r>
              <w:rPr>
                <w:rFonts w:cs="Times New Roman"/>
                <w:szCs w:val="21"/>
              </w:rPr>
              <w:t>-51</w:t>
            </w:r>
          </w:p>
        </w:tc>
      </w:tr>
      <w:tr w14:paraId="7E50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1F29D70">
            <w:pPr>
              <w:pStyle w:val="78"/>
              <w:rPr>
                <w:rFonts w:cs="Times New Roman"/>
                <w:szCs w:val="21"/>
              </w:rPr>
            </w:pPr>
          </w:p>
        </w:tc>
        <w:tc>
          <w:tcPr>
            <w:tcW w:w="1559" w:type="dxa"/>
            <w:shd w:val="clear" w:color="000000" w:fill="FFFFFF"/>
            <w:vAlign w:val="center"/>
          </w:tcPr>
          <w:p w14:paraId="738E9F76">
            <w:pPr>
              <w:pStyle w:val="78"/>
              <w:rPr>
                <w:rFonts w:cs="Times New Roman"/>
                <w:szCs w:val="21"/>
              </w:rPr>
            </w:pPr>
            <w:r>
              <w:rPr>
                <w:rFonts w:cs="Times New Roman"/>
                <w:szCs w:val="21"/>
              </w:rPr>
              <w:t>饱和蒸汽压，kPa</w:t>
            </w:r>
          </w:p>
        </w:tc>
        <w:tc>
          <w:tcPr>
            <w:tcW w:w="3969" w:type="dxa"/>
            <w:shd w:val="clear" w:color="000000" w:fill="FFFFFF"/>
            <w:vAlign w:val="center"/>
          </w:tcPr>
          <w:p w14:paraId="41886089">
            <w:pPr>
              <w:pStyle w:val="78"/>
              <w:rPr>
                <w:rFonts w:cs="Times New Roman"/>
                <w:szCs w:val="21"/>
              </w:rPr>
            </w:pPr>
            <w:r>
              <w:rPr>
                <w:rFonts w:cs="Times New Roman"/>
                <w:szCs w:val="21"/>
              </w:rPr>
              <w:t>2.48(50℃)</w:t>
            </w:r>
          </w:p>
        </w:tc>
        <w:tc>
          <w:tcPr>
            <w:tcW w:w="3969" w:type="dxa"/>
            <w:shd w:val="clear" w:color="000000" w:fill="FFFFFF"/>
            <w:vAlign w:val="center"/>
          </w:tcPr>
          <w:p w14:paraId="27EC4C8D">
            <w:pPr>
              <w:pStyle w:val="78"/>
              <w:rPr>
                <w:rFonts w:cs="Times New Roman"/>
                <w:szCs w:val="21"/>
              </w:rPr>
            </w:pPr>
            <w:r>
              <w:rPr>
                <w:rFonts w:cs="Times New Roman"/>
                <w:szCs w:val="21"/>
              </w:rPr>
              <w:t>0.23(20℃)</w:t>
            </w:r>
          </w:p>
        </w:tc>
        <w:tc>
          <w:tcPr>
            <w:tcW w:w="3827" w:type="dxa"/>
            <w:shd w:val="clear" w:color="000000" w:fill="FFFFFF"/>
            <w:vAlign w:val="center"/>
          </w:tcPr>
          <w:p w14:paraId="2F417C77">
            <w:pPr>
              <w:pStyle w:val="78"/>
              <w:rPr>
                <w:rFonts w:cs="Times New Roman"/>
                <w:szCs w:val="21"/>
              </w:rPr>
            </w:pPr>
            <w:r>
              <w:rPr>
                <w:rFonts w:cs="Times New Roman"/>
                <w:szCs w:val="21"/>
              </w:rPr>
              <w:t>0.26(25℃)</w:t>
            </w:r>
          </w:p>
        </w:tc>
      </w:tr>
      <w:tr w14:paraId="1660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7626213F">
            <w:pPr>
              <w:pStyle w:val="78"/>
              <w:rPr>
                <w:rFonts w:cs="Times New Roman"/>
                <w:szCs w:val="21"/>
              </w:rPr>
            </w:pPr>
            <w:r>
              <w:rPr>
                <w:rFonts w:cs="Times New Roman"/>
                <w:szCs w:val="21"/>
              </w:rPr>
              <w:t>危险性类别</w:t>
            </w:r>
          </w:p>
        </w:tc>
        <w:tc>
          <w:tcPr>
            <w:tcW w:w="3969" w:type="dxa"/>
            <w:shd w:val="clear" w:color="000000" w:fill="FFFFFF"/>
            <w:vAlign w:val="center"/>
          </w:tcPr>
          <w:p w14:paraId="2FD67715">
            <w:pPr>
              <w:pStyle w:val="78"/>
              <w:rPr>
                <w:rFonts w:cs="Times New Roman"/>
                <w:szCs w:val="21"/>
              </w:rPr>
            </w:pPr>
            <w:r>
              <w:rPr>
                <w:rFonts w:cs="Times New Roman"/>
                <w:szCs w:val="21"/>
              </w:rPr>
              <w:t>易燃液体,类别3,特异性靶器官毒性-一次接触,类别3（呼吸道刺激）,吸入危害,类别1,危害水生环境-急性危害,类别2,危害水生环境-长期危害,类别2</w:t>
            </w:r>
          </w:p>
        </w:tc>
        <w:tc>
          <w:tcPr>
            <w:tcW w:w="3969" w:type="dxa"/>
            <w:shd w:val="clear" w:color="000000" w:fill="FFFFFF"/>
            <w:vAlign w:val="center"/>
          </w:tcPr>
          <w:p w14:paraId="51A32A95">
            <w:pPr>
              <w:pStyle w:val="78"/>
              <w:rPr>
                <w:rFonts w:cs="Times New Roman"/>
                <w:szCs w:val="21"/>
              </w:rPr>
            </w:pPr>
            <w:r>
              <w:rPr>
                <w:rFonts w:cs="Times New Roman"/>
                <w:szCs w:val="21"/>
              </w:rPr>
              <w:t>易燃液体,类别3,皮肤腐蚀/刺激,类别2,严重眼损伤/眼刺激,类别2B,吸入危害,类别1,危害水生环境-急性危害,类别1,危害水生环境-长期危害,类别1</w:t>
            </w:r>
          </w:p>
        </w:tc>
        <w:tc>
          <w:tcPr>
            <w:tcW w:w="3827" w:type="dxa"/>
            <w:shd w:val="clear" w:color="000000" w:fill="FFFFFF"/>
            <w:vAlign w:val="center"/>
          </w:tcPr>
          <w:p w14:paraId="7BA57AAE">
            <w:pPr>
              <w:pStyle w:val="78"/>
              <w:rPr>
                <w:rFonts w:cs="Times New Roman"/>
                <w:szCs w:val="21"/>
              </w:rPr>
            </w:pPr>
            <w:r>
              <w:rPr>
                <w:rFonts w:cs="Times New Roman"/>
                <w:szCs w:val="21"/>
              </w:rPr>
              <w:t>易燃液体,类别3,皮肤腐蚀/刺激,类别2,严重眼损伤/眼刺激,类别2B,吸入危害,类别1,危害水生环境-急性危害,类别1,危害水生环境-长期危害,类别1</w:t>
            </w:r>
          </w:p>
        </w:tc>
      </w:tr>
      <w:tr w14:paraId="2378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09C0B509">
            <w:pPr>
              <w:pStyle w:val="78"/>
              <w:rPr>
                <w:rFonts w:cs="Times New Roman"/>
                <w:szCs w:val="21"/>
              </w:rPr>
            </w:pPr>
            <w:r>
              <w:rPr>
                <w:rFonts w:cs="Times New Roman"/>
                <w:szCs w:val="21"/>
              </w:rPr>
              <w:t>危险特性</w:t>
            </w:r>
          </w:p>
        </w:tc>
        <w:tc>
          <w:tcPr>
            <w:tcW w:w="3969" w:type="dxa"/>
            <w:shd w:val="clear" w:color="000000" w:fill="FFFFFF"/>
            <w:vAlign w:val="center"/>
          </w:tcPr>
          <w:p w14:paraId="40EDD84F">
            <w:pPr>
              <w:pStyle w:val="78"/>
              <w:rPr>
                <w:rFonts w:cs="Times New Roman"/>
                <w:szCs w:val="21"/>
              </w:rPr>
            </w:pPr>
            <w:r>
              <w:rPr>
                <w:rFonts w:cs="Times New Roman"/>
                <w:szCs w:val="21"/>
              </w:rPr>
              <w:t>易燃，其蒸气与空气混合，能形成爆炸性混合物。</w:t>
            </w:r>
          </w:p>
          <w:p w14:paraId="7F9037D2">
            <w:pPr>
              <w:pStyle w:val="78"/>
              <w:rPr>
                <w:rFonts w:cs="Times New Roman"/>
                <w:szCs w:val="21"/>
              </w:rPr>
            </w:pPr>
            <w:r>
              <w:rPr>
                <w:rFonts w:cs="Times New Roman"/>
                <w:szCs w:val="21"/>
              </w:rPr>
              <w:t>与强氧化剂等禁配物接触，有发生火灾和爆炸的危险。</w:t>
            </w:r>
          </w:p>
        </w:tc>
        <w:tc>
          <w:tcPr>
            <w:tcW w:w="3969" w:type="dxa"/>
            <w:shd w:val="clear" w:color="000000" w:fill="FFFFFF"/>
            <w:vAlign w:val="center"/>
          </w:tcPr>
          <w:p w14:paraId="5ABA6D6C">
            <w:pPr>
              <w:pStyle w:val="78"/>
              <w:rPr>
                <w:rFonts w:cs="Times New Roman"/>
                <w:szCs w:val="21"/>
              </w:rPr>
            </w:pPr>
            <w:r>
              <w:rPr>
                <w:rFonts w:cs="Times New Roman"/>
                <w:szCs w:val="21"/>
              </w:rPr>
              <w:t>易燃，其蒸气与空气混合，能形成爆炸性混合物。</w:t>
            </w:r>
          </w:p>
          <w:p w14:paraId="3D04A512">
            <w:pPr>
              <w:pStyle w:val="78"/>
              <w:rPr>
                <w:rFonts w:cs="Times New Roman"/>
                <w:szCs w:val="21"/>
              </w:rPr>
            </w:pPr>
            <w:r>
              <w:rPr>
                <w:rFonts w:cs="Times New Roman"/>
                <w:szCs w:val="21"/>
              </w:rPr>
              <w:t>与强氧化剂等禁配物接触，有发生火灾和爆炸的危险。高热下发生聚合反应。</w:t>
            </w:r>
          </w:p>
        </w:tc>
        <w:tc>
          <w:tcPr>
            <w:tcW w:w="3827" w:type="dxa"/>
            <w:shd w:val="clear" w:color="000000" w:fill="FFFFFF"/>
            <w:vAlign w:val="center"/>
          </w:tcPr>
          <w:p w14:paraId="763D7F66">
            <w:pPr>
              <w:pStyle w:val="78"/>
              <w:rPr>
                <w:rFonts w:cs="Times New Roman"/>
                <w:szCs w:val="21"/>
              </w:rPr>
            </w:pPr>
            <w:r>
              <w:rPr>
                <w:rFonts w:cs="Times New Roman"/>
                <w:szCs w:val="21"/>
              </w:rPr>
              <w:t>可燃，其蒸气与空气混合能形成爆炸性混合物。遇明火、高热易燃烧或爆炸。在高温火场中，受热的容器或储罐有破裂和爆炸的危险。蒸气比空气重，能在较低处扩散到相当远的地方，遇火源会着火回燃和爆炸（闪爆）。</w:t>
            </w:r>
          </w:p>
          <w:p w14:paraId="304D606B">
            <w:pPr>
              <w:pStyle w:val="78"/>
              <w:rPr>
                <w:rFonts w:cs="Times New Roman"/>
                <w:szCs w:val="21"/>
              </w:rPr>
            </w:pPr>
            <w:r>
              <w:rPr>
                <w:rFonts w:cs="Times New Roman"/>
                <w:szCs w:val="21"/>
              </w:rPr>
              <w:t>与强氧化剂接触，有发生火灾和爆炸的危险。</w:t>
            </w:r>
          </w:p>
        </w:tc>
      </w:tr>
      <w:tr w14:paraId="6183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6B56CBD6">
            <w:pPr>
              <w:pStyle w:val="78"/>
              <w:rPr>
                <w:rFonts w:cs="Times New Roman"/>
                <w:szCs w:val="21"/>
              </w:rPr>
            </w:pPr>
            <w:r>
              <w:rPr>
                <w:rFonts w:cs="Times New Roman"/>
                <w:szCs w:val="21"/>
              </w:rPr>
              <w:t>禁忌物</w:t>
            </w:r>
          </w:p>
        </w:tc>
        <w:tc>
          <w:tcPr>
            <w:tcW w:w="3969" w:type="dxa"/>
            <w:shd w:val="clear" w:color="000000" w:fill="FFFFFF"/>
            <w:vAlign w:val="center"/>
          </w:tcPr>
          <w:p w14:paraId="7BD6D2BD">
            <w:pPr>
              <w:pStyle w:val="78"/>
              <w:rPr>
                <w:rFonts w:cs="Times New Roman"/>
                <w:szCs w:val="21"/>
              </w:rPr>
            </w:pPr>
            <w:r>
              <w:rPr>
                <w:rFonts w:cs="Times New Roman"/>
                <w:szCs w:val="21"/>
              </w:rPr>
              <w:t>强氧化剂、酸类、卤素等。</w:t>
            </w:r>
          </w:p>
        </w:tc>
        <w:tc>
          <w:tcPr>
            <w:tcW w:w="3969" w:type="dxa"/>
            <w:shd w:val="clear" w:color="000000" w:fill="FFFFFF"/>
            <w:vAlign w:val="center"/>
          </w:tcPr>
          <w:p w14:paraId="7B5FA28E">
            <w:pPr>
              <w:pStyle w:val="78"/>
              <w:rPr>
                <w:rFonts w:cs="Times New Roman"/>
                <w:szCs w:val="21"/>
              </w:rPr>
            </w:pPr>
            <w:r>
              <w:rPr>
                <w:rFonts w:cs="Times New Roman"/>
                <w:szCs w:val="21"/>
              </w:rPr>
              <w:t>强氧化剂、酸类、卤代烃、卤素等。</w:t>
            </w:r>
          </w:p>
        </w:tc>
        <w:tc>
          <w:tcPr>
            <w:tcW w:w="3827" w:type="dxa"/>
            <w:shd w:val="clear" w:color="000000" w:fill="FFFFFF"/>
            <w:vAlign w:val="center"/>
          </w:tcPr>
          <w:p w14:paraId="1EEC1235">
            <w:pPr>
              <w:pStyle w:val="78"/>
              <w:rPr>
                <w:rFonts w:cs="Times New Roman"/>
                <w:szCs w:val="21"/>
              </w:rPr>
            </w:pPr>
            <w:r>
              <w:rPr>
                <w:rFonts w:cs="Times New Roman"/>
                <w:szCs w:val="21"/>
              </w:rPr>
              <w:t>氧化剂。</w:t>
            </w:r>
          </w:p>
        </w:tc>
      </w:tr>
      <w:tr w14:paraId="5570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00B00D18">
            <w:pPr>
              <w:pStyle w:val="78"/>
              <w:rPr>
                <w:rFonts w:cs="Times New Roman"/>
                <w:szCs w:val="21"/>
              </w:rPr>
            </w:pPr>
            <w:r>
              <w:rPr>
                <w:rFonts w:cs="Times New Roman"/>
                <w:szCs w:val="21"/>
              </w:rPr>
              <w:t>毒性及健康危害</w:t>
            </w:r>
          </w:p>
        </w:tc>
        <w:tc>
          <w:tcPr>
            <w:tcW w:w="1559" w:type="dxa"/>
            <w:shd w:val="clear" w:color="000000" w:fill="FFFFFF"/>
            <w:vAlign w:val="center"/>
          </w:tcPr>
          <w:p w14:paraId="7CF2F442">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0F917E11">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：1400mg/kg（大鼠经口）；12300μL(10578mg)/kg（兔经皮）</w:t>
            </w:r>
            <w:r>
              <w:rPr>
                <w:rFonts w:cs="Times New Roman"/>
                <w:szCs w:val="21"/>
              </w:rPr>
              <w:br w:type="textWrapping"/>
            </w:r>
            <w:r>
              <w:rPr>
                <w:rFonts w:cs="Times New Roman"/>
                <w:szCs w:val="21"/>
              </w:rPr>
              <w:t>LC</w:t>
            </w:r>
            <w:r>
              <w:rPr>
                <w:rFonts w:cs="Times New Roman"/>
                <w:szCs w:val="21"/>
                <w:vertAlign w:val="subscript"/>
              </w:rPr>
              <w:t>50</w:t>
            </w:r>
            <w:r>
              <w:rPr>
                <w:rFonts w:cs="Times New Roman"/>
                <w:szCs w:val="21"/>
              </w:rPr>
              <w:t>：15300mg/m</w:t>
            </w:r>
            <w:r>
              <w:rPr>
                <w:rFonts w:cs="Times New Roman"/>
                <w:szCs w:val="21"/>
                <w:vertAlign w:val="superscript"/>
              </w:rPr>
              <w:t>3</w:t>
            </w:r>
            <w:r>
              <w:rPr>
                <w:rFonts w:cs="Times New Roman"/>
                <w:szCs w:val="21"/>
              </w:rPr>
              <w:t>（小鼠吸入，2h）</w:t>
            </w:r>
          </w:p>
        </w:tc>
        <w:tc>
          <w:tcPr>
            <w:tcW w:w="3969" w:type="dxa"/>
            <w:shd w:val="clear" w:color="000000" w:fill="FFFFFF"/>
            <w:vAlign w:val="center"/>
          </w:tcPr>
          <w:p w14:paraId="5B9E1B61">
            <w:pPr>
              <w:pStyle w:val="78"/>
              <w:rPr>
                <w:rFonts w:cs="Times New Roman"/>
                <w:szCs w:val="21"/>
              </w:rPr>
            </w:pPr>
            <w:r>
              <w:rPr>
                <w:rFonts w:cs="Times New Roman"/>
                <w:szCs w:val="21"/>
              </w:rPr>
              <w:t>LD：&gt;10g/kg（大鼠经口）</w:t>
            </w:r>
          </w:p>
        </w:tc>
        <w:tc>
          <w:tcPr>
            <w:tcW w:w="3827" w:type="dxa"/>
            <w:shd w:val="clear" w:color="000000" w:fill="FFFFFF"/>
            <w:vAlign w:val="center"/>
          </w:tcPr>
          <w:p w14:paraId="5B8D43D5">
            <w:pPr>
              <w:pStyle w:val="78"/>
              <w:rPr>
                <w:rFonts w:cs="Times New Roman"/>
                <w:szCs w:val="21"/>
              </w:rPr>
            </w:pPr>
            <w:r>
              <w:rPr>
                <w:rFonts w:cs="Times New Roman"/>
                <w:szCs w:val="21"/>
              </w:rPr>
              <w:t>大鼠经口LDLo：5g/kg。</w:t>
            </w:r>
          </w:p>
        </w:tc>
      </w:tr>
      <w:tr w14:paraId="2A7F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DC5AAAA">
            <w:pPr>
              <w:pStyle w:val="78"/>
              <w:rPr>
                <w:rFonts w:cs="Times New Roman"/>
                <w:szCs w:val="21"/>
              </w:rPr>
            </w:pPr>
          </w:p>
        </w:tc>
        <w:tc>
          <w:tcPr>
            <w:tcW w:w="1559" w:type="dxa"/>
            <w:shd w:val="clear" w:color="000000" w:fill="FFFFFF"/>
            <w:vAlign w:val="center"/>
          </w:tcPr>
          <w:p w14:paraId="3331160C">
            <w:pPr>
              <w:pStyle w:val="78"/>
              <w:rPr>
                <w:rFonts w:cs="Times New Roman"/>
                <w:szCs w:val="21"/>
              </w:rPr>
            </w:pPr>
            <w:r>
              <w:rPr>
                <w:rFonts w:cs="Times New Roman"/>
                <w:szCs w:val="21"/>
              </w:rPr>
              <w:t>中毒途径</w:t>
            </w:r>
          </w:p>
        </w:tc>
        <w:tc>
          <w:tcPr>
            <w:tcW w:w="3969" w:type="dxa"/>
            <w:shd w:val="clear" w:color="000000" w:fill="FFFFFF"/>
            <w:noWrap/>
            <w:vAlign w:val="center"/>
          </w:tcPr>
          <w:p w14:paraId="7D279F79">
            <w:pPr>
              <w:pStyle w:val="78"/>
              <w:rPr>
                <w:rFonts w:cs="Times New Roman"/>
                <w:szCs w:val="21"/>
              </w:rPr>
            </w:pPr>
            <w:r>
              <w:rPr>
                <w:rFonts w:cs="Times New Roman"/>
                <w:szCs w:val="21"/>
              </w:rPr>
              <w:t>食入、皮肤接触、吸入</w:t>
            </w:r>
          </w:p>
        </w:tc>
        <w:tc>
          <w:tcPr>
            <w:tcW w:w="3969" w:type="dxa"/>
            <w:shd w:val="clear" w:color="000000" w:fill="FFFFFF"/>
            <w:noWrap/>
            <w:vAlign w:val="center"/>
          </w:tcPr>
          <w:p w14:paraId="741DF258">
            <w:pPr>
              <w:pStyle w:val="78"/>
              <w:rPr>
                <w:rFonts w:cs="Times New Roman"/>
                <w:szCs w:val="21"/>
              </w:rPr>
            </w:pPr>
            <w:r>
              <w:rPr>
                <w:rFonts w:cs="Times New Roman"/>
                <w:szCs w:val="21"/>
              </w:rPr>
              <w:t>食入、吸入、皮肤接触</w:t>
            </w:r>
          </w:p>
        </w:tc>
        <w:tc>
          <w:tcPr>
            <w:tcW w:w="3827" w:type="dxa"/>
            <w:shd w:val="clear" w:color="000000" w:fill="FFFFFF"/>
            <w:noWrap/>
            <w:vAlign w:val="center"/>
          </w:tcPr>
          <w:p w14:paraId="3BE710E1">
            <w:pPr>
              <w:pStyle w:val="78"/>
              <w:rPr>
                <w:rFonts w:cs="Times New Roman"/>
                <w:szCs w:val="21"/>
              </w:rPr>
            </w:pPr>
            <w:r>
              <w:rPr>
                <w:rFonts w:cs="Times New Roman"/>
                <w:szCs w:val="21"/>
              </w:rPr>
              <w:t>食入、皮肤接触</w:t>
            </w:r>
          </w:p>
        </w:tc>
      </w:tr>
      <w:tr w14:paraId="59C2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5562AD9">
            <w:pPr>
              <w:pStyle w:val="78"/>
              <w:rPr>
                <w:rFonts w:cs="Times New Roman"/>
                <w:szCs w:val="21"/>
              </w:rPr>
            </w:pPr>
          </w:p>
        </w:tc>
        <w:tc>
          <w:tcPr>
            <w:tcW w:w="1559" w:type="dxa"/>
            <w:shd w:val="clear" w:color="000000" w:fill="FFFFFF"/>
            <w:vAlign w:val="center"/>
          </w:tcPr>
          <w:p w14:paraId="05B6AF36">
            <w:pPr>
              <w:pStyle w:val="78"/>
              <w:rPr>
                <w:rFonts w:cs="Times New Roman"/>
                <w:szCs w:val="21"/>
              </w:rPr>
            </w:pPr>
            <w:r>
              <w:rPr>
                <w:rFonts w:cs="Times New Roman"/>
                <w:szCs w:val="21"/>
              </w:rPr>
              <w:t>健康危害</w:t>
            </w:r>
          </w:p>
        </w:tc>
        <w:tc>
          <w:tcPr>
            <w:tcW w:w="3969" w:type="dxa"/>
            <w:shd w:val="clear" w:color="000000" w:fill="FFFFFF"/>
            <w:vAlign w:val="center"/>
          </w:tcPr>
          <w:p w14:paraId="4C6C5F24">
            <w:pPr>
              <w:pStyle w:val="78"/>
              <w:rPr>
                <w:rFonts w:cs="Times New Roman"/>
                <w:szCs w:val="21"/>
              </w:rPr>
            </w:pPr>
            <w:r>
              <w:rPr>
                <w:rFonts w:cs="Times New Roman"/>
                <w:szCs w:val="21"/>
              </w:rPr>
              <w:t>急性中毒表现与苯、甲苯相似，但麻醉作用出现较慢而持久。表现有黏膜刺激症状以及头晕、头痛、恶心、呕吐、步态蹒跚等。严重中毒可发生昏迷、抽搐等。本品对造血系统影响不明显。液态本品吸入呼吸道可引起吸入性肺炎。</w:t>
            </w:r>
          </w:p>
        </w:tc>
        <w:tc>
          <w:tcPr>
            <w:tcW w:w="3969" w:type="dxa"/>
            <w:shd w:val="clear" w:color="000000" w:fill="FFFFFF"/>
            <w:vAlign w:val="center"/>
          </w:tcPr>
          <w:p w14:paraId="748ACE94">
            <w:pPr>
              <w:pStyle w:val="78"/>
              <w:rPr>
                <w:rFonts w:cs="Times New Roman"/>
                <w:szCs w:val="21"/>
              </w:rPr>
            </w:pPr>
            <w:r>
              <w:rPr>
                <w:rFonts w:cs="Times New Roman"/>
                <w:szCs w:val="21"/>
              </w:rPr>
              <w:t>高浓度蒸气对眼、呼吸道有轻度刺激性，有弱麻醉作用。对皮肤有刺激性。</w:t>
            </w:r>
          </w:p>
        </w:tc>
        <w:tc>
          <w:tcPr>
            <w:tcW w:w="3827" w:type="dxa"/>
            <w:shd w:val="clear" w:color="000000" w:fill="FFFFFF"/>
            <w:vAlign w:val="center"/>
          </w:tcPr>
          <w:p w14:paraId="0C23F031">
            <w:pPr>
              <w:pStyle w:val="78"/>
              <w:rPr>
                <w:rFonts w:cs="Times New Roman"/>
                <w:szCs w:val="21"/>
              </w:rPr>
            </w:pPr>
            <w:r>
              <w:rPr>
                <w:rFonts w:cs="Times New Roman"/>
                <w:szCs w:val="21"/>
              </w:rPr>
              <w:t>造成皮肤刺激。</w:t>
            </w:r>
          </w:p>
        </w:tc>
      </w:tr>
      <w:tr w14:paraId="3D0B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A776F55">
            <w:pPr>
              <w:pStyle w:val="78"/>
              <w:rPr>
                <w:rFonts w:cs="Times New Roman"/>
                <w:szCs w:val="21"/>
              </w:rPr>
            </w:pPr>
          </w:p>
        </w:tc>
        <w:tc>
          <w:tcPr>
            <w:tcW w:w="1559" w:type="dxa"/>
            <w:shd w:val="clear" w:color="000000" w:fill="FFFFFF"/>
            <w:noWrap/>
            <w:vAlign w:val="center"/>
          </w:tcPr>
          <w:p w14:paraId="22F6C3CE">
            <w:pPr>
              <w:pStyle w:val="78"/>
              <w:rPr>
                <w:rFonts w:cs="Times New Roman"/>
                <w:szCs w:val="21"/>
              </w:rPr>
            </w:pPr>
            <w:r>
              <w:rPr>
                <w:rFonts w:cs="Times New Roman"/>
                <w:szCs w:val="21"/>
              </w:rPr>
              <w:t>环境危害</w:t>
            </w:r>
          </w:p>
        </w:tc>
        <w:tc>
          <w:tcPr>
            <w:tcW w:w="3969" w:type="dxa"/>
            <w:shd w:val="clear" w:color="000000" w:fill="FFFFFF"/>
            <w:vAlign w:val="center"/>
          </w:tcPr>
          <w:p w14:paraId="6FC28AF4">
            <w:pPr>
              <w:pStyle w:val="78"/>
              <w:rPr>
                <w:rFonts w:cs="Times New Roman"/>
                <w:szCs w:val="21"/>
              </w:rPr>
            </w:pPr>
            <w:r>
              <w:rPr>
                <w:rFonts w:cs="Times New Roman"/>
                <w:szCs w:val="21"/>
              </w:rPr>
              <w:t>对水生生物有毒并具有长期持续影响。</w:t>
            </w:r>
          </w:p>
        </w:tc>
        <w:tc>
          <w:tcPr>
            <w:tcW w:w="3969" w:type="dxa"/>
            <w:shd w:val="clear" w:color="000000" w:fill="FFFFFF"/>
            <w:vAlign w:val="center"/>
          </w:tcPr>
          <w:p w14:paraId="155999AC">
            <w:pPr>
              <w:pStyle w:val="78"/>
              <w:rPr>
                <w:rFonts w:cs="Times New Roman"/>
                <w:szCs w:val="21"/>
              </w:rPr>
            </w:pPr>
            <w:r>
              <w:rPr>
                <w:rFonts w:cs="Times New Roman"/>
                <w:szCs w:val="21"/>
              </w:rPr>
              <w:t>对水生生物毒性非常大并具有长期持续影响。</w:t>
            </w:r>
          </w:p>
        </w:tc>
        <w:tc>
          <w:tcPr>
            <w:tcW w:w="3827" w:type="dxa"/>
            <w:shd w:val="clear" w:color="000000" w:fill="FFFFFF"/>
            <w:vAlign w:val="center"/>
          </w:tcPr>
          <w:p w14:paraId="296905AC">
            <w:pPr>
              <w:pStyle w:val="78"/>
              <w:rPr>
                <w:rFonts w:cs="Times New Roman"/>
                <w:szCs w:val="21"/>
              </w:rPr>
            </w:pPr>
            <w:r>
              <w:rPr>
                <w:rFonts w:cs="Times New Roman"/>
                <w:szCs w:val="21"/>
              </w:rPr>
              <w:t>对水生生物毒性极大并具有长期持续影响。</w:t>
            </w:r>
          </w:p>
        </w:tc>
      </w:tr>
      <w:tr w14:paraId="1EDA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76CB9F94">
            <w:pPr>
              <w:pStyle w:val="78"/>
              <w:rPr>
                <w:rFonts w:cs="Times New Roman"/>
                <w:szCs w:val="21"/>
              </w:rPr>
            </w:pPr>
            <w:r>
              <w:rPr>
                <w:rFonts w:cs="Times New Roman"/>
                <w:szCs w:val="21"/>
              </w:rPr>
              <w:t>应急措施</w:t>
            </w:r>
          </w:p>
        </w:tc>
        <w:tc>
          <w:tcPr>
            <w:tcW w:w="1559" w:type="dxa"/>
            <w:shd w:val="clear" w:color="000000" w:fill="FFFFFF"/>
            <w:noWrap/>
            <w:vAlign w:val="center"/>
          </w:tcPr>
          <w:p w14:paraId="7CB5DD42">
            <w:pPr>
              <w:pStyle w:val="78"/>
              <w:rPr>
                <w:rFonts w:cs="Times New Roman"/>
                <w:szCs w:val="21"/>
              </w:rPr>
            </w:pPr>
            <w:r>
              <w:rPr>
                <w:rFonts w:cs="Times New Roman"/>
                <w:szCs w:val="21"/>
              </w:rPr>
              <w:t>急救措施</w:t>
            </w:r>
          </w:p>
        </w:tc>
        <w:tc>
          <w:tcPr>
            <w:tcW w:w="3969" w:type="dxa"/>
            <w:shd w:val="clear" w:color="000000" w:fill="FFFFFF"/>
            <w:vAlign w:val="center"/>
          </w:tcPr>
          <w:p w14:paraId="67F62DC7">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漱口，饮水。禁止催吐。就医。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食入：漱口，饮水。禁止催吐。就医。</w:t>
            </w:r>
          </w:p>
        </w:tc>
        <w:tc>
          <w:tcPr>
            <w:tcW w:w="3969" w:type="dxa"/>
            <w:shd w:val="clear" w:color="000000" w:fill="FFFFFF"/>
            <w:vAlign w:val="center"/>
          </w:tcPr>
          <w:p w14:paraId="6A470E6C">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漱口，饮水。禁止催吐。就医。</w:t>
            </w:r>
            <w:r>
              <w:rPr>
                <w:rFonts w:cs="Times New Roman"/>
                <w:szCs w:val="21"/>
              </w:rPr>
              <w:br w:type="textWrapping"/>
            </w:r>
            <w:r>
              <w:rPr>
                <w:rFonts w:cs="Times New Roman"/>
                <w:szCs w:val="21"/>
              </w:rPr>
              <w:t>立即脱去污染的衣着，用流动清水彻底冲洗。就医。</w:t>
            </w:r>
            <w:r>
              <w:rPr>
                <w:rFonts w:cs="Times New Roman"/>
                <w:szCs w:val="21"/>
              </w:rPr>
              <w:br w:type="textWrapping"/>
            </w:r>
            <w:r>
              <w:rPr>
                <w:rFonts w:cs="Times New Roman"/>
                <w:szCs w:val="21"/>
              </w:rPr>
              <w:t>立即分开眼睑，用流动清水或生理盐水彻底冲洗。就医。</w:t>
            </w:r>
            <w:r>
              <w:rPr>
                <w:rFonts w:cs="Times New Roman"/>
                <w:szCs w:val="21"/>
              </w:rPr>
              <w:br w:type="textWrapping"/>
            </w:r>
            <w:r>
              <w:rPr>
                <w:rFonts w:cs="Times New Roman"/>
                <w:szCs w:val="21"/>
              </w:rPr>
              <w:t>食入：漱口，饮水。禁止催吐。就医。</w:t>
            </w:r>
          </w:p>
        </w:tc>
        <w:tc>
          <w:tcPr>
            <w:tcW w:w="3827" w:type="dxa"/>
            <w:shd w:val="clear" w:color="000000" w:fill="FFFFFF"/>
            <w:vAlign w:val="center"/>
          </w:tcPr>
          <w:p w14:paraId="43012AFD">
            <w:pPr>
              <w:pStyle w:val="78"/>
              <w:rPr>
                <w:rFonts w:cs="Times New Roman"/>
                <w:szCs w:val="21"/>
              </w:rPr>
            </w:pPr>
            <w:r>
              <w:rPr>
                <w:rFonts w:cs="Times New Roman"/>
                <w:szCs w:val="21"/>
              </w:rPr>
              <w:t>迅速脱离现场至空气新鲜处。保持呼吸道通畅。如呼吸困难，给输氧。呼吸、心跳停止，立即进行心肺复苏术。就医。漱口，饮水。就医。</w:t>
            </w:r>
            <w:r>
              <w:rPr>
                <w:rFonts w:cs="Times New Roman"/>
                <w:szCs w:val="21"/>
              </w:rPr>
              <w:br w:type="textWrapping"/>
            </w:r>
            <w:r>
              <w:rPr>
                <w:rFonts w:cs="Times New Roman"/>
                <w:szCs w:val="21"/>
              </w:rPr>
              <w:t>立即脱去污染的衣着，用肥皂水和清水彻底冲洗。就医。立即分开眼睑，用流动清水或生理盐水彻底冲洗。就医。</w:t>
            </w:r>
          </w:p>
        </w:tc>
      </w:tr>
      <w:tr w14:paraId="64DA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18FBE68">
            <w:pPr>
              <w:pStyle w:val="78"/>
              <w:rPr>
                <w:rFonts w:cs="Times New Roman"/>
                <w:szCs w:val="21"/>
              </w:rPr>
            </w:pPr>
          </w:p>
        </w:tc>
        <w:tc>
          <w:tcPr>
            <w:tcW w:w="1559" w:type="dxa"/>
            <w:shd w:val="clear" w:color="000000" w:fill="FFFFFF"/>
            <w:vAlign w:val="center"/>
          </w:tcPr>
          <w:p w14:paraId="12887F37">
            <w:pPr>
              <w:pStyle w:val="78"/>
              <w:rPr>
                <w:rFonts w:cs="Times New Roman"/>
                <w:szCs w:val="21"/>
              </w:rPr>
            </w:pPr>
            <w:r>
              <w:rPr>
                <w:rFonts w:cs="Times New Roman"/>
                <w:szCs w:val="21"/>
              </w:rPr>
              <w:t>泄漏应急处置</w:t>
            </w:r>
          </w:p>
        </w:tc>
        <w:tc>
          <w:tcPr>
            <w:tcW w:w="3969" w:type="dxa"/>
            <w:shd w:val="clear" w:color="000000" w:fill="FFFFFF"/>
            <w:vAlign w:val="center"/>
          </w:tcPr>
          <w:p w14:paraId="198515E2">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有限空间内的易燃性。用防爆泵转移至槽车或专用收集器内。</w:t>
            </w:r>
          </w:p>
        </w:tc>
        <w:tc>
          <w:tcPr>
            <w:tcW w:w="3969" w:type="dxa"/>
            <w:shd w:val="clear" w:color="000000" w:fill="FFFFFF"/>
            <w:vAlign w:val="center"/>
          </w:tcPr>
          <w:p w14:paraId="21A53BB9">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限制性空间内的易燃性。用防爆泵转移至槽车或专用收集器内。</w:t>
            </w:r>
          </w:p>
        </w:tc>
        <w:tc>
          <w:tcPr>
            <w:tcW w:w="3827" w:type="dxa"/>
            <w:shd w:val="clear" w:color="000000" w:fill="FFFFFF"/>
            <w:vAlign w:val="center"/>
          </w:tcPr>
          <w:p w14:paraId="5AF0D9A9">
            <w:pPr>
              <w:pStyle w:val="78"/>
              <w:rPr>
                <w:rFonts w:cs="Times New Roman"/>
                <w:szCs w:val="21"/>
              </w:rPr>
            </w:pPr>
            <w:r>
              <w:rPr>
                <w:rFonts w:cs="Times New Roman"/>
                <w:szCs w:val="21"/>
              </w:rPr>
              <w:t>小量泄漏：用砂土或其他不燃材料吸收。使用洁净的无火花工具收集吸收材料。大量泄漏：构筑围堤或挖坑收容。用泡沫覆盖，减少蒸发。喷水雾能减少蒸发，但不能降低泄漏物在有限空间内的易燃性。用防爆泵转移至槽车或专用收集器内。</w:t>
            </w:r>
          </w:p>
        </w:tc>
      </w:tr>
      <w:tr w14:paraId="1755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045113B">
            <w:pPr>
              <w:pStyle w:val="78"/>
              <w:rPr>
                <w:rFonts w:cs="Times New Roman"/>
                <w:szCs w:val="21"/>
              </w:rPr>
            </w:pPr>
          </w:p>
        </w:tc>
        <w:tc>
          <w:tcPr>
            <w:tcW w:w="1559" w:type="dxa"/>
            <w:shd w:val="clear" w:color="000000" w:fill="FFFFFF"/>
            <w:noWrap/>
            <w:vAlign w:val="center"/>
          </w:tcPr>
          <w:p w14:paraId="34B2C88B">
            <w:pPr>
              <w:pStyle w:val="78"/>
              <w:rPr>
                <w:rFonts w:cs="Times New Roman"/>
                <w:szCs w:val="21"/>
              </w:rPr>
            </w:pPr>
            <w:r>
              <w:rPr>
                <w:rFonts w:cs="Times New Roman"/>
                <w:szCs w:val="21"/>
              </w:rPr>
              <w:t>灭火方法</w:t>
            </w:r>
          </w:p>
        </w:tc>
        <w:tc>
          <w:tcPr>
            <w:tcW w:w="3969" w:type="dxa"/>
            <w:shd w:val="clear" w:color="000000" w:fill="FFFFFF"/>
            <w:vAlign w:val="center"/>
          </w:tcPr>
          <w:p w14:paraId="49C45A9B">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w:t>
            </w:r>
          </w:p>
        </w:tc>
        <w:tc>
          <w:tcPr>
            <w:tcW w:w="3969" w:type="dxa"/>
            <w:shd w:val="clear" w:color="000000" w:fill="FFFFFF"/>
            <w:vAlign w:val="center"/>
          </w:tcPr>
          <w:p w14:paraId="0CD4CB8C">
            <w:pPr>
              <w:pStyle w:val="78"/>
              <w:rPr>
                <w:rFonts w:cs="Times New Roman"/>
                <w:szCs w:val="21"/>
              </w:rPr>
            </w:pPr>
            <w:r>
              <w:rPr>
                <w:rFonts w:cs="Times New Roman"/>
                <w:szCs w:val="21"/>
              </w:rPr>
              <w:t>消防人员必须佩戴空气呼吸器、穿全身防火防毒服，在上风向灭火。喷水冷却容器，可能的话将容器从火场移至空旷处。容器突然发出异常声音或出现异常现象，应立即撤离。</w:t>
            </w:r>
          </w:p>
        </w:tc>
        <w:tc>
          <w:tcPr>
            <w:tcW w:w="3827" w:type="dxa"/>
            <w:shd w:val="clear" w:color="000000" w:fill="FFFFFF"/>
            <w:vAlign w:val="center"/>
          </w:tcPr>
          <w:p w14:paraId="5A91682A">
            <w:pPr>
              <w:pStyle w:val="78"/>
              <w:rPr>
                <w:rFonts w:cs="Times New Roman"/>
                <w:szCs w:val="21"/>
              </w:rPr>
            </w:pPr>
            <w:r>
              <w:rPr>
                <w:rFonts w:cs="Times New Roman"/>
                <w:szCs w:val="21"/>
              </w:rPr>
              <w:t>消防人员须穿全身消防服，佩戴防毒面具，在上风向灭火。尽可能将容器从火场移至空旷处。喷水保持火场容器冷却，直至灭火结束。处在火场中的容器若发生异常变化或发出异常声音，须马上撤离。灭火剂</w:t>
            </w:r>
          </w:p>
        </w:tc>
      </w:tr>
      <w:tr w14:paraId="55F8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57EB58F1">
            <w:pPr>
              <w:pStyle w:val="78"/>
              <w:rPr>
                <w:rFonts w:cs="Times New Roman"/>
                <w:b/>
                <w:szCs w:val="21"/>
              </w:rPr>
            </w:pPr>
            <w:r>
              <w:rPr>
                <w:rFonts w:cs="Times New Roman"/>
                <w:b/>
                <w:szCs w:val="21"/>
              </w:rPr>
              <w:t>物质</w:t>
            </w:r>
          </w:p>
        </w:tc>
        <w:tc>
          <w:tcPr>
            <w:tcW w:w="3969" w:type="dxa"/>
            <w:shd w:val="clear" w:color="000000" w:fill="FFFFFF"/>
            <w:vAlign w:val="center"/>
          </w:tcPr>
          <w:p w14:paraId="7ABFF049">
            <w:pPr>
              <w:pStyle w:val="78"/>
              <w:rPr>
                <w:rFonts w:cs="Times New Roman"/>
                <w:b/>
                <w:szCs w:val="21"/>
              </w:rPr>
            </w:pPr>
            <w:r>
              <w:rPr>
                <w:rFonts w:cs="Times New Roman"/>
                <w:b/>
                <w:szCs w:val="21"/>
              </w:rPr>
              <w:t>乙烷</w:t>
            </w:r>
          </w:p>
        </w:tc>
        <w:tc>
          <w:tcPr>
            <w:tcW w:w="3969" w:type="dxa"/>
            <w:shd w:val="clear" w:color="000000" w:fill="FFFFFF"/>
            <w:vAlign w:val="center"/>
          </w:tcPr>
          <w:p w14:paraId="30721F73">
            <w:pPr>
              <w:pStyle w:val="78"/>
              <w:rPr>
                <w:rFonts w:cs="Times New Roman"/>
                <w:b/>
                <w:szCs w:val="21"/>
              </w:rPr>
            </w:pPr>
            <w:r>
              <w:rPr>
                <w:rFonts w:cs="Times New Roman"/>
                <w:b/>
                <w:szCs w:val="21"/>
              </w:rPr>
              <w:t>丙烷</w:t>
            </w:r>
          </w:p>
        </w:tc>
        <w:tc>
          <w:tcPr>
            <w:tcW w:w="3827" w:type="dxa"/>
            <w:shd w:val="clear" w:color="000000" w:fill="FFFFFF"/>
            <w:vAlign w:val="center"/>
          </w:tcPr>
          <w:p w14:paraId="252D4D3B">
            <w:pPr>
              <w:pStyle w:val="78"/>
              <w:rPr>
                <w:rFonts w:cs="Times New Roman"/>
                <w:b/>
                <w:szCs w:val="21"/>
              </w:rPr>
            </w:pPr>
            <w:r>
              <w:rPr>
                <w:rFonts w:cs="Times New Roman"/>
                <w:b/>
                <w:szCs w:val="21"/>
              </w:rPr>
              <w:t>丙烯</w:t>
            </w:r>
          </w:p>
        </w:tc>
      </w:tr>
      <w:tr w14:paraId="5EFB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3AEEE78C">
            <w:pPr>
              <w:pStyle w:val="78"/>
              <w:rPr>
                <w:rFonts w:cs="Times New Roman"/>
                <w:szCs w:val="21"/>
              </w:rPr>
            </w:pPr>
            <w:r>
              <w:rPr>
                <w:rFonts w:cs="Times New Roman"/>
                <w:szCs w:val="21"/>
              </w:rPr>
              <w:t>物化性质</w:t>
            </w:r>
          </w:p>
        </w:tc>
        <w:tc>
          <w:tcPr>
            <w:tcW w:w="1559" w:type="dxa"/>
            <w:shd w:val="clear" w:color="000000" w:fill="FFFFFF"/>
            <w:vAlign w:val="center"/>
          </w:tcPr>
          <w:p w14:paraId="7A35C7DD">
            <w:pPr>
              <w:pStyle w:val="78"/>
              <w:rPr>
                <w:rFonts w:cs="Times New Roman"/>
                <w:szCs w:val="21"/>
              </w:rPr>
            </w:pPr>
            <w:r>
              <w:rPr>
                <w:rFonts w:cs="Times New Roman"/>
                <w:szCs w:val="21"/>
              </w:rPr>
              <w:t>CAS号</w:t>
            </w:r>
          </w:p>
        </w:tc>
        <w:tc>
          <w:tcPr>
            <w:tcW w:w="3969" w:type="dxa"/>
            <w:shd w:val="clear" w:color="000000" w:fill="FFFFFF"/>
            <w:vAlign w:val="center"/>
          </w:tcPr>
          <w:p w14:paraId="7C415999">
            <w:pPr>
              <w:pStyle w:val="78"/>
              <w:rPr>
                <w:rFonts w:cs="Times New Roman"/>
                <w:szCs w:val="21"/>
              </w:rPr>
            </w:pPr>
            <w:r>
              <w:rPr>
                <w:rFonts w:cs="Times New Roman"/>
                <w:szCs w:val="21"/>
              </w:rPr>
              <w:t>74-84-0</w:t>
            </w:r>
          </w:p>
        </w:tc>
        <w:tc>
          <w:tcPr>
            <w:tcW w:w="3969" w:type="dxa"/>
            <w:shd w:val="clear" w:color="000000" w:fill="FFFFFF"/>
            <w:vAlign w:val="center"/>
          </w:tcPr>
          <w:p w14:paraId="72174D92">
            <w:pPr>
              <w:pStyle w:val="78"/>
              <w:rPr>
                <w:rFonts w:cs="Times New Roman"/>
                <w:szCs w:val="21"/>
              </w:rPr>
            </w:pPr>
            <w:r>
              <w:rPr>
                <w:rFonts w:cs="Times New Roman"/>
                <w:szCs w:val="21"/>
              </w:rPr>
              <w:t>74-98-6</w:t>
            </w:r>
          </w:p>
        </w:tc>
        <w:tc>
          <w:tcPr>
            <w:tcW w:w="3827" w:type="dxa"/>
            <w:shd w:val="clear" w:color="000000" w:fill="FFFFFF"/>
            <w:vAlign w:val="center"/>
          </w:tcPr>
          <w:p w14:paraId="0307D826">
            <w:pPr>
              <w:pStyle w:val="78"/>
              <w:rPr>
                <w:rFonts w:cs="Times New Roman"/>
                <w:szCs w:val="21"/>
              </w:rPr>
            </w:pPr>
            <w:r>
              <w:rPr>
                <w:rFonts w:cs="Times New Roman"/>
                <w:szCs w:val="21"/>
              </w:rPr>
              <w:t>115-07-1</w:t>
            </w:r>
          </w:p>
        </w:tc>
      </w:tr>
      <w:tr w14:paraId="4B2E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DAFF87C">
            <w:pPr>
              <w:pStyle w:val="78"/>
              <w:rPr>
                <w:rFonts w:cs="Times New Roman"/>
                <w:szCs w:val="21"/>
              </w:rPr>
            </w:pPr>
          </w:p>
        </w:tc>
        <w:tc>
          <w:tcPr>
            <w:tcW w:w="1559" w:type="dxa"/>
            <w:shd w:val="clear" w:color="000000" w:fill="FFFFFF"/>
            <w:vAlign w:val="center"/>
          </w:tcPr>
          <w:p w14:paraId="62DCAA07">
            <w:pPr>
              <w:pStyle w:val="78"/>
              <w:rPr>
                <w:rFonts w:cs="Times New Roman"/>
                <w:szCs w:val="21"/>
              </w:rPr>
            </w:pPr>
            <w:r>
              <w:rPr>
                <w:rFonts w:cs="Times New Roman"/>
                <w:szCs w:val="21"/>
              </w:rPr>
              <w:t>中文名称/别名</w:t>
            </w:r>
          </w:p>
        </w:tc>
        <w:tc>
          <w:tcPr>
            <w:tcW w:w="3969" w:type="dxa"/>
            <w:shd w:val="clear" w:color="000000" w:fill="FFFFFF"/>
            <w:vAlign w:val="center"/>
          </w:tcPr>
          <w:p w14:paraId="4673A77C">
            <w:pPr>
              <w:pStyle w:val="78"/>
              <w:rPr>
                <w:rFonts w:cs="Times New Roman"/>
                <w:szCs w:val="21"/>
              </w:rPr>
            </w:pPr>
            <w:r>
              <w:rPr>
                <w:rFonts w:cs="Times New Roman"/>
                <w:szCs w:val="21"/>
              </w:rPr>
              <w:t>乙烷</w:t>
            </w:r>
          </w:p>
        </w:tc>
        <w:tc>
          <w:tcPr>
            <w:tcW w:w="3969" w:type="dxa"/>
            <w:shd w:val="clear" w:color="000000" w:fill="FFFFFF"/>
            <w:vAlign w:val="center"/>
          </w:tcPr>
          <w:p w14:paraId="5DED0AD3">
            <w:pPr>
              <w:pStyle w:val="78"/>
              <w:rPr>
                <w:rFonts w:cs="Times New Roman"/>
                <w:szCs w:val="21"/>
              </w:rPr>
            </w:pPr>
            <w:r>
              <w:rPr>
                <w:rFonts w:cs="Times New Roman"/>
                <w:szCs w:val="21"/>
              </w:rPr>
              <w:t>丙烷;（液化的）;正丙烷（钢瓶）</w:t>
            </w:r>
          </w:p>
        </w:tc>
        <w:tc>
          <w:tcPr>
            <w:tcW w:w="3827" w:type="dxa"/>
            <w:shd w:val="clear" w:color="000000" w:fill="FFFFFF"/>
            <w:vAlign w:val="center"/>
          </w:tcPr>
          <w:p w14:paraId="69C52521">
            <w:pPr>
              <w:pStyle w:val="78"/>
              <w:rPr>
                <w:rFonts w:cs="Times New Roman"/>
                <w:szCs w:val="21"/>
              </w:rPr>
            </w:pPr>
            <w:r>
              <w:rPr>
                <w:rFonts w:cs="Times New Roman"/>
                <w:szCs w:val="21"/>
              </w:rPr>
              <w:t>丙烯;甲基乙烯(钢瓶);甲基乙烯</w:t>
            </w:r>
          </w:p>
        </w:tc>
      </w:tr>
      <w:tr w14:paraId="5840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B361C47">
            <w:pPr>
              <w:pStyle w:val="78"/>
              <w:rPr>
                <w:rFonts w:cs="Times New Roman"/>
                <w:szCs w:val="21"/>
              </w:rPr>
            </w:pPr>
          </w:p>
        </w:tc>
        <w:tc>
          <w:tcPr>
            <w:tcW w:w="1559" w:type="dxa"/>
            <w:shd w:val="clear" w:color="000000" w:fill="FFFFFF"/>
            <w:vAlign w:val="center"/>
          </w:tcPr>
          <w:p w14:paraId="75E7ACDA">
            <w:pPr>
              <w:pStyle w:val="78"/>
              <w:rPr>
                <w:rFonts w:cs="Times New Roman"/>
                <w:szCs w:val="21"/>
              </w:rPr>
            </w:pPr>
            <w:r>
              <w:rPr>
                <w:rFonts w:cs="Times New Roman"/>
                <w:szCs w:val="21"/>
              </w:rPr>
              <w:t>分子式</w:t>
            </w:r>
          </w:p>
        </w:tc>
        <w:tc>
          <w:tcPr>
            <w:tcW w:w="3969" w:type="dxa"/>
            <w:shd w:val="clear" w:color="000000" w:fill="FFFFFF"/>
            <w:noWrap/>
            <w:vAlign w:val="center"/>
          </w:tcPr>
          <w:p w14:paraId="53DF17F6">
            <w:pPr>
              <w:pStyle w:val="78"/>
              <w:rPr>
                <w:rFonts w:cs="Times New Roman"/>
                <w:szCs w:val="21"/>
              </w:rPr>
            </w:pPr>
            <w:r>
              <w:rPr>
                <w:rFonts w:cs="Times New Roman"/>
                <w:szCs w:val="21"/>
              </w:rPr>
              <w:t>C</w:t>
            </w:r>
            <w:r>
              <w:rPr>
                <w:rFonts w:cs="Times New Roman"/>
                <w:szCs w:val="21"/>
                <w:vertAlign w:val="subscript"/>
              </w:rPr>
              <w:t>2</w:t>
            </w:r>
            <w:r>
              <w:rPr>
                <w:rFonts w:cs="Times New Roman"/>
                <w:szCs w:val="21"/>
              </w:rPr>
              <w:t>H</w:t>
            </w:r>
            <w:r>
              <w:rPr>
                <w:rFonts w:cs="Times New Roman"/>
                <w:szCs w:val="21"/>
                <w:vertAlign w:val="subscript"/>
              </w:rPr>
              <w:t>6</w:t>
            </w:r>
          </w:p>
        </w:tc>
        <w:tc>
          <w:tcPr>
            <w:tcW w:w="3969" w:type="dxa"/>
            <w:shd w:val="clear" w:color="000000" w:fill="FFFFFF"/>
            <w:noWrap/>
            <w:vAlign w:val="center"/>
          </w:tcPr>
          <w:p w14:paraId="30A72072">
            <w:pPr>
              <w:pStyle w:val="78"/>
              <w:rPr>
                <w:rFonts w:cs="Times New Roman"/>
                <w:szCs w:val="21"/>
              </w:rPr>
            </w:pPr>
            <w:r>
              <w:rPr>
                <w:rFonts w:cs="Times New Roman"/>
                <w:szCs w:val="21"/>
              </w:rPr>
              <w:t>C</w:t>
            </w:r>
            <w:r>
              <w:rPr>
                <w:rFonts w:cs="Times New Roman"/>
                <w:szCs w:val="21"/>
                <w:vertAlign w:val="subscript"/>
              </w:rPr>
              <w:t>3</w:t>
            </w:r>
            <w:r>
              <w:rPr>
                <w:rFonts w:cs="Times New Roman"/>
                <w:szCs w:val="21"/>
              </w:rPr>
              <w:t>H</w:t>
            </w:r>
            <w:r>
              <w:rPr>
                <w:rFonts w:cs="Times New Roman"/>
                <w:szCs w:val="21"/>
                <w:vertAlign w:val="subscript"/>
              </w:rPr>
              <w:t>8</w:t>
            </w:r>
          </w:p>
        </w:tc>
        <w:tc>
          <w:tcPr>
            <w:tcW w:w="3827" w:type="dxa"/>
            <w:shd w:val="clear" w:color="000000" w:fill="FFFFFF"/>
            <w:noWrap/>
            <w:vAlign w:val="center"/>
          </w:tcPr>
          <w:p w14:paraId="1694745B">
            <w:pPr>
              <w:pStyle w:val="78"/>
              <w:rPr>
                <w:rFonts w:cs="Times New Roman"/>
                <w:szCs w:val="21"/>
              </w:rPr>
            </w:pPr>
            <w:r>
              <w:rPr>
                <w:rFonts w:cs="Times New Roman"/>
                <w:szCs w:val="21"/>
              </w:rPr>
              <w:t>C</w:t>
            </w:r>
            <w:r>
              <w:rPr>
                <w:rFonts w:cs="Times New Roman"/>
                <w:szCs w:val="21"/>
                <w:vertAlign w:val="subscript"/>
              </w:rPr>
              <w:t>3</w:t>
            </w:r>
            <w:r>
              <w:rPr>
                <w:rFonts w:cs="Times New Roman"/>
                <w:szCs w:val="21"/>
              </w:rPr>
              <w:t>H</w:t>
            </w:r>
            <w:r>
              <w:rPr>
                <w:rFonts w:cs="Times New Roman"/>
                <w:szCs w:val="21"/>
                <w:vertAlign w:val="subscript"/>
              </w:rPr>
              <w:t>6</w:t>
            </w:r>
          </w:p>
        </w:tc>
      </w:tr>
      <w:tr w14:paraId="52D9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FFC8529">
            <w:pPr>
              <w:pStyle w:val="78"/>
              <w:rPr>
                <w:rFonts w:cs="Times New Roman"/>
                <w:szCs w:val="21"/>
              </w:rPr>
            </w:pPr>
          </w:p>
        </w:tc>
        <w:tc>
          <w:tcPr>
            <w:tcW w:w="1559" w:type="dxa"/>
            <w:shd w:val="clear" w:color="000000" w:fill="FFFFFF"/>
            <w:vAlign w:val="center"/>
          </w:tcPr>
          <w:p w14:paraId="558D5713">
            <w:pPr>
              <w:pStyle w:val="78"/>
              <w:rPr>
                <w:rFonts w:cs="Times New Roman"/>
                <w:szCs w:val="21"/>
              </w:rPr>
            </w:pPr>
            <w:r>
              <w:rPr>
                <w:rFonts w:cs="Times New Roman"/>
                <w:szCs w:val="21"/>
              </w:rPr>
              <w:t>分子量</w:t>
            </w:r>
          </w:p>
        </w:tc>
        <w:tc>
          <w:tcPr>
            <w:tcW w:w="3969" w:type="dxa"/>
            <w:shd w:val="clear" w:color="000000" w:fill="FFFFFF"/>
            <w:noWrap/>
            <w:vAlign w:val="center"/>
          </w:tcPr>
          <w:p w14:paraId="2A52644C">
            <w:pPr>
              <w:pStyle w:val="78"/>
              <w:rPr>
                <w:rFonts w:cs="Times New Roman"/>
                <w:szCs w:val="21"/>
              </w:rPr>
            </w:pPr>
            <w:r>
              <w:rPr>
                <w:rFonts w:cs="Times New Roman"/>
                <w:szCs w:val="21"/>
              </w:rPr>
              <w:t>30.07</w:t>
            </w:r>
          </w:p>
        </w:tc>
        <w:tc>
          <w:tcPr>
            <w:tcW w:w="3969" w:type="dxa"/>
            <w:shd w:val="clear" w:color="000000" w:fill="FFFFFF"/>
            <w:noWrap/>
            <w:vAlign w:val="center"/>
          </w:tcPr>
          <w:p w14:paraId="35DE7CC5">
            <w:pPr>
              <w:pStyle w:val="78"/>
              <w:rPr>
                <w:rFonts w:cs="Times New Roman"/>
                <w:szCs w:val="21"/>
              </w:rPr>
            </w:pPr>
            <w:r>
              <w:rPr>
                <w:rFonts w:cs="Times New Roman"/>
                <w:szCs w:val="21"/>
              </w:rPr>
              <w:t>44.1</w:t>
            </w:r>
          </w:p>
        </w:tc>
        <w:tc>
          <w:tcPr>
            <w:tcW w:w="3827" w:type="dxa"/>
            <w:shd w:val="clear" w:color="000000" w:fill="FFFFFF"/>
            <w:noWrap/>
            <w:vAlign w:val="center"/>
          </w:tcPr>
          <w:p w14:paraId="33655E25">
            <w:pPr>
              <w:pStyle w:val="78"/>
              <w:rPr>
                <w:rFonts w:cs="Times New Roman"/>
                <w:szCs w:val="21"/>
              </w:rPr>
            </w:pPr>
            <w:r>
              <w:rPr>
                <w:rFonts w:cs="Times New Roman"/>
                <w:szCs w:val="21"/>
              </w:rPr>
              <w:t>42.08</w:t>
            </w:r>
          </w:p>
        </w:tc>
      </w:tr>
      <w:tr w14:paraId="56DC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CAA72E1">
            <w:pPr>
              <w:pStyle w:val="78"/>
              <w:rPr>
                <w:rFonts w:cs="Times New Roman"/>
                <w:szCs w:val="21"/>
              </w:rPr>
            </w:pPr>
          </w:p>
        </w:tc>
        <w:tc>
          <w:tcPr>
            <w:tcW w:w="1559" w:type="dxa"/>
            <w:shd w:val="clear" w:color="000000" w:fill="FFFFFF"/>
            <w:vAlign w:val="center"/>
          </w:tcPr>
          <w:p w14:paraId="320620BE">
            <w:pPr>
              <w:pStyle w:val="78"/>
              <w:rPr>
                <w:rFonts w:cs="Times New Roman"/>
                <w:szCs w:val="21"/>
              </w:rPr>
            </w:pPr>
            <w:r>
              <w:rPr>
                <w:rFonts w:cs="Times New Roman"/>
                <w:szCs w:val="21"/>
              </w:rPr>
              <w:t>外观性状</w:t>
            </w:r>
          </w:p>
        </w:tc>
        <w:tc>
          <w:tcPr>
            <w:tcW w:w="3969" w:type="dxa"/>
            <w:shd w:val="clear" w:color="000000" w:fill="FFFFFF"/>
            <w:vAlign w:val="center"/>
          </w:tcPr>
          <w:p w14:paraId="3022EE5E">
            <w:pPr>
              <w:pStyle w:val="78"/>
              <w:rPr>
                <w:rFonts w:cs="Times New Roman"/>
                <w:szCs w:val="21"/>
              </w:rPr>
            </w:pPr>
            <w:r>
              <w:rPr>
                <w:rFonts w:cs="Times New Roman"/>
                <w:szCs w:val="21"/>
              </w:rPr>
              <w:t>无色无味气体。</w:t>
            </w:r>
          </w:p>
        </w:tc>
        <w:tc>
          <w:tcPr>
            <w:tcW w:w="3969" w:type="dxa"/>
            <w:shd w:val="clear" w:color="000000" w:fill="FFFFFF"/>
            <w:vAlign w:val="center"/>
          </w:tcPr>
          <w:p w14:paraId="471F61B7">
            <w:pPr>
              <w:pStyle w:val="78"/>
              <w:rPr>
                <w:rFonts w:cs="Times New Roman"/>
                <w:szCs w:val="21"/>
              </w:rPr>
            </w:pPr>
            <w:r>
              <w:rPr>
                <w:rFonts w:cs="Times New Roman"/>
                <w:szCs w:val="21"/>
              </w:rPr>
              <w:t>无色液化气体，纯品无臭。</w:t>
            </w:r>
          </w:p>
        </w:tc>
        <w:tc>
          <w:tcPr>
            <w:tcW w:w="3827" w:type="dxa"/>
            <w:shd w:val="clear" w:color="000000" w:fill="FFFFFF"/>
            <w:vAlign w:val="center"/>
          </w:tcPr>
          <w:p w14:paraId="19F493F5">
            <w:pPr>
              <w:pStyle w:val="78"/>
              <w:rPr>
                <w:rFonts w:cs="Times New Roman"/>
                <w:szCs w:val="21"/>
              </w:rPr>
            </w:pPr>
            <w:r>
              <w:rPr>
                <w:rFonts w:cs="Times New Roman"/>
                <w:szCs w:val="21"/>
              </w:rPr>
              <w:t>无色、有烃类气味的气体。</w:t>
            </w:r>
          </w:p>
        </w:tc>
      </w:tr>
      <w:tr w14:paraId="58B5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10105FB">
            <w:pPr>
              <w:pStyle w:val="78"/>
              <w:rPr>
                <w:rFonts w:cs="Times New Roman"/>
                <w:szCs w:val="21"/>
              </w:rPr>
            </w:pPr>
          </w:p>
        </w:tc>
        <w:tc>
          <w:tcPr>
            <w:tcW w:w="1559" w:type="dxa"/>
            <w:shd w:val="clear" w:color="000000" w:fill="FFFFFF"/>
            <w:vAlign w:val="center"/>
          </w:tcPr>
          <w:p w14:paraId="4F4F6937">
            <w:pPr>
              <w:pStyle w:val="78"/>
              <w:rPr>
                <w:rFonts w:cs="Times New Roman"/>
                <w:szCs w:val="21"/>
              </w:rPr>
            </w:pPr>
            <w:r>
              <w:rPr>
                <w:rFonts w:cs="Times New Roman"/>
                <w:szCs w:val="21"/>
              </w:rPr>
              <w:t>沸点，℃</w:t>
            </w:r>
          </w:p>
        </w:tc>
        <w:tc>
          <w:tcPr>
            <w:tcW w:w="3969" w:type="dxa"/>
            <w:shd w:val="clear" w:color="000000" w:fill="FFFFFF"/>
            <w:vAlign w:val="center"/>
          </w:tcPr>
          <w:p w14:paraId="348446B6">
            <w:pPr>
              <w:pStyle w:val="78"/>
              <w:rPr>
                <w:rFonts w:cs="Times New Roman"/>
                <w:szCs w:val="21"/>
              </w:rPr>
            </w:pPr>
            <w:r>
              <w:rPr>
                <w:rFonts w:cs="Times New Roman"/>
                <w:szCs w:val="21"/>
              </w:rPr>
              <w:t>-88.6</w:t>
            </w:r>
          </w:p>
        </w:tc>
        <w:tc>
          <w:tcPr>
            <w:tcW w:w="3969" w:type="dxa"/>
            <w:shd w:val="clear" w:color="000000" w:fill="FFFFFF"/>
            <w:vAlign w:val="center"/>
          </w:tcPr>
          <w:p w14:paraId="519984E4">
            <w:pPr>
              <w:pStyle w:val="78"/>
              <w:rPr>
                <w:rFonts w:cs="Times New Roman"/>
                <w:szCs w:val="21"/>
              </w:rPr>
            </w:pPr>
            <w:r>
              <w:rPr>
                <w:rFonts w:cs="Times New Roman"/>
                <w:szCs w:val="21"/>
              </w:rPr>
              <w:t>-42.1</w:t>
            </w:r>
          </w:p>
        </w:tc>
        <w:tc>
          <w:tcPr>
            <w:tcW w:w="3827" w:type="dxa"/>
            <w:shd w:val="clear" w:color="000000" w:fill="FFFFFF"/>
            <w:vAlign w:val="center"/>
          </w:tcPr>
          <w:p w14:paraId="098BF154">
            <w:pPr>
              <w:pStyle w:val="78"/>
              <w:rPr>
                <w:rFonts w:cs="Times New Roman"/>
                <w:szCs w:val="21"/>
              </w:rPr>
            </w:pPr>
            <w:r>
              <w:rPr>
                <w:rFonts w:cs="Times New Roman"/>
                <w:szCs w:val="21"/>
              </w:rPr>
              <w:t>-48</w:t>
            </w:r>
          </w:p>
        </w:tc>
      </w:tr>
      <w:tr w14:paraId="50A8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2F180DA">
            <w:pPr>
              <w:pStyle w:val="78"/>
              <w:rPr>
                <w:rFonts w:cs="Times New Roman"/>
                <w:szCs w:val="21"/>
              </w:rPr>
            </w:pPr>
          </w:p>
        </w:tc>
        <w:tc>
          <w:tcPr>
            <w:tcW w:w="1559" w:type="dxa"/>
            <w:shd w:val="clear" w:color="000000" w:fill="FFFFFF"/>
            <w:vAlign w:val="center"/>
          </w:tcPr>
          <w:p w14:paraId="15E8FB12">
            <w:pPr>
              <w:pStyle w:val="78"/>
              <w:rPr>
                <w:rFonts w:cs="Times New Roman"/>
                <w:szCs w:val="21"/>
              </w:rPr>
            </w:pPr>
            <w:r>
              <w:rPr>
                <w:rFonts w:cs="Times New Roman"/>
                <w:szCs w:val="21"/>
              </w:rPr>
              <w:t>熔点，℃</w:t>
            </w:r>
          </w:p>
        </w:tc>
        <w:tc>
          <w:tcPr>
            <w:tcW w:w="3969" w:type="dxa"/>
            <w:shd w:val="clear" w:color="000000" w:fill="FFFFFF"/>
            <w:vAlign w:val="center"/>
          </w:tcPr>
          <w:p w14:paraId="25F4AD25">
            <w:pPr>
              <w:pStyle w:val="78"/>
              <w:rPr>
                <w:rFonts w:cs="Times New Roman"/>
                <w:szCs w:val="21"/>
              </w:rPr>
            </w:pPr>
            <w:r>
              <w:rPr>
                <w:rFonts w:cs="Times New Roman"/>
                <w:szCs w:val="21"/>
              </w:rPr>
              <w:t>-172～-183</w:t>
            </w:r>
          </w:p>
        </w:tc>
        <w:tc>
          <w:tcPr>
            <w:tcW w:w="3969" w:type="dxa"/>
            <w:shd w:val="clear" w:color="000000" w:fill="FFFFFF"/>
            <w:vAlign w:val="center"/>
          </w:tcPr>
          <w:p w14:paraId="36A3227C">
            <w:pPr>
              <w:pStyle w:val="78"/>
              <w:rPr>
                <w:rFonts w:cs="Times New Roman"/>
                <w:szCs w:val="21"/>
              </w:rPr>
            </w:pPr>
            <w:r>
              <w:rPr>
                <w:rFonts w:cs="Times New Roman"/>
                <w:szCs w:val="21"/>
              </w:rPr>
              <w:t>-189.7</w:t>
            </w:r>
          </w:p>
        </w:tc>
        <w:tc>
          <w:tcPr>
            <w:tcW w:w="3827" w:type="dxa"/>
            <w:shd w:val="clear" w:color="000000" w:fill="FFFFFF"/>
            <w:vAlign w:val="center"/>
          </w:tcPr>
          <w:p w14:paraId="2B6EB1CF">
            <w:pPr>
              <w:pStyle w:val="78"/>
              <w:rPr>
                <w:rFonts w:cs="Times New Roman"/>
                <w:szCs w:val="21"/>
              </w:rPr>
            </w:pPr>
            <w:r>
              <w:rPr>
                <w:rFonts w:cs="Times New Roman"/>
                <w:szCs w:val="21"/>
              </w:rPr>
              <w:t>-185</w:t>
            </w:r>
          </w:p>
        </w:tc>
      </w:tr>
      <w:tr w14:paraId="05EF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DC577C7">
            <w:pPr>
              <w:pStyle w:val="78"/>
              <w:rPr>
                <w:rFonts w:cs="Times New Roman"/>
                <w:szCs w:val="21"/>
              </w:rPr>
            </w:pPr>
          </w:p>
        </w:tc>
        <w:tc>
          <w:tcPr>
            <w:tcW w:w="1559" w:type="dxa"/>
            <w:shd w:val="clear" w:color="000000" w:fill="FFFFFF"/>
            <w:vAlign w:val="center"/>
          </w:tcPr>
          <w:p w14:paraId="7B910194">
            <w:pPr>
              <w:pStyle w:val="78"/>
              <w:rPr>
                <w:rFonts w:cs="Times New Roman"/>
                <w:szCs w:val="21"/>
              </w:rPr>
            </w:pPr>
            <w:r>
              <w:rPr>
                <w:rFonts w:cs="Times New Roman"/>
                <w:szCs w:val="21"/>
              </w:rPr>
              <w:t>饱和蒸汽压，kPa</w:t>
            </w:r>
          </w:p>
        </w:tc>
        <w:tc>
          <w:tcPr>
            <w:tcW w:w="3969" w:type="dxa"/>
            <w:shd w:val="clear" w:color="000000" w:fill="FFFFFF"/>
            <w:vAlign w:val="center"/>
          </w:tcPr>
          <w:p w14:paraId="04F68760">
            <w:pPr>
              <w:pStyle w:val="78"/>
              <w:rPr>
                <w:rFonts w:cs="Times New Roman"/>
                <w:szCs w:val="21"/>
              </w:rPr>
            </w:pPr>
            <w:r>
              <w:rPr>
                <w:rFonts w:cs="Times New Roman"/>
                <w:szCs w:val="21"/>
              </w:rPr>
              <w:t>3850(20℃)</w:t>
            </w:r>
          </w:p>
        </w:tc>
        <w:tc>
          <w:tcPr>
            <w:tcW w:w="3969" w:type="dxa"/>
            <w:shd w:val="clear" w:color="000000" w:fill="FFFFFF"/>
            <w:vAlign w:val="center"/>
          </w:tcPr>
          <w:p w14:paraId="00B4240D">
            <w:pPr>
              <w:pStyle w:val="78"/>
              <w:rPr>
                <w:rFonts w:cs="Times New Roman"/>
                <w:szCs w:val="21"/>
              </w:rPr>
            </w:pPr>
            <w:r>
              <w:rPr>
                <w:rFonts w:cs="Times New Roman"/>
                <w:szCs w:val="21"/>
              </w:rPr>
              <w:t>840(20℃)</w:t>
            </w:r>
          </w:p>
        </w:tc>
        <w:tc>
          <w:tcPr>
            <w:tcW w:w="3827" w:type="dxa"/>
            <w:shd w:val="clear" w:color="000000" w:fill="FFFFFF"/>
            <w:vAlign w:val="center"/>
          </w:tcPr>
          <w:p w14:paraId="19D7C6B7">
            <w:pPr>
              <w:pStyle w:val="78"/>
              <w:rPr>
                <w:rFonts w:cs="Times New Roman"/>
                <w:szCs w:val="21"/>
              </w:rPr>
            </w:pPr>
            <w:r>
              <w:rPr>
                <w:rFonts w:cs="Times New Roman"/>
                <w:szCs w:val="21"/>
              </w:rPr>
              <w:t>1158(25℃)</w:t>
            </w:r>
          </w:p>
        </w:tc>
      </w:tr>
      <w:tr w14:paraId="54CA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3FA98529">
            <w:pPr>
              <w:pStyle w:val="78"/>
              <w:rPr>
                <w:rFonts w:cs="Times New Roman"/>
                <w:szCs w:val="21"/>
              </w:rPr>
            </w:pPr>
            <w:r>
              <w:rPr>
                <w:rFonts w:cs="Times New Roman"/>
                <w:szCs w:val="21"/>
              </w:rPr>
              <w:t>危险性类别</w:t>
            </w:r>
          </w:p>
        </w:tc>
        <w:tc>
          <w:tcPr>
            <w:tcW w:w="3969" w:type="dxa"/>
            <w:shd w:val="clear" w:color="000000" w:fill="FFFFFF"/>
            <w:vAlign w:val="center"/>
          </w:tcPr>
          <w:p w14:paraId="6566449B">
            <w:pPr>
              <w:pStyle w:val="78"/>
              <w:rPr>
                <w:rFonts w:cs="Times New Roman"/>
                <w:szCs w:val="21"/>
              </w:rPr>
            </w:pPr>
            <w:r>
              <w:rPr>
                <w:rFonts w:cs="Times New Roman"/>
                <w:szCs w:val="21"/>
              </w:rPr>
              <w:t>易燃气体,类别1,加压气体,</w:t>
            </w:r>
          </w:p>
        </w:tc>
        <w:tc>
          <w:tcPr>
            <w:tcW w:w="3969" w:type="dxa"/>
            <w:shd w:val="clear" w:color="000000" w:fill="FFFFFF"/>
            <w:vAlign w:val="center"/>
          </w:tcPr>
          <w:p w14:paraId="1F62D437">
            <w:pPr>
              <w:pStyle w:val="78"/>
              <w:rPr>
                <w:rFonts w:cs="Times New Roman"/>
                <w:szCs w:val="21"/>
              </w:rPr>
            </w:pPr>
            <w:r>
              <w:rPr>
                <w:rFonts w:cs="Times New Roman"/>
                <w:szCs w:val="21"/>
              </w:rPr>
              <w:t>易燃气体,类别1,加压气体,</w:t>
            </w:r>
          </w:p>
        </w:tc>
        <w:tc>
          <w:tcPr>
            <w:tcW w:w="3827" w:type="dxa"/>
            <w:shd w:val="clear" w:color="000000" w:fill="FFFFFF"/>
            <w:vAlign w:val="center"/>
          </w:tcPr>
          <w:p w14:paraId="2D73F6A8">
            <w:pPr>
              <w:pStyle w:val="78"/>
              <w:rPr>
                <w:rFonts w:cs="Times New Roman"/>
                <w:szCs w:val="21"/>
              </w:rPr>
            </w:pPr>
            <w:r>
              <w:rPr>
                <w:rFonts w:cs="Times New Roman"/>
                <w:szCs w:val="21"/>
              </w:rPr>
              <w:t>易燃气体,类别1,加压气体,</w:t>
            </w:r>
          </w:p>
        </w:tc>
      </w:tr>
      <w:tr w14:paraId="27FE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71C944FC">
            <w:pPr>
              <w:pStyle w:val="78"/>
              <w:rPr>
                <w:rFonts w:cs="Times New Roman"/>
                <w:szCs w:val="21"/>
              </w:rPr>
            </w:pPr>
            <w:r>
              <w:rPr>
                <w:rFonts w:cs="Times New Roman"/>
                <w:szCs w:val="21"/>
              </w:rPr>
              <w:t>危险特性</w:t>
            </w:r>
          </w:p>
        </w:tc>
        <w:tc>
          <w:tcPr>
            <w:tcW w:w="3969" w:type="dxa"/>
            <w:shd w:val="clear" w:color="000000" w:fill="FFFFFF"/>
            <w:vAlign w:val="center"/>
          </w:tcPr>
          <w:p w14:paraId="51687221">
            <w:pPr>
              <w:pStyle w:val="78"/>
              <w:rPr>
                <w:rFonts w:cs="Times New Roman"/>
                <w:szCs w:val="21"/>
              </w:rPr>
            </w:pPr>
            <w:r>
              <w:rPr>
                <w:rFonts w:cs="Times New Roman"/>
                <w:szCs w:val="21"/>
              </w:rPr>
              <w:t>极易燃，与空气混合能形成爆炸性混合物。</w:t>
            </w:r>
          </w:p>
          <w:p w14:paraId="2EEF3C1F">
            <w:pPr>
              <w:pStyle w:val="78"/>
              <w:rPr>
                <w:rFonts w:cs="Times New Roman"/>
                <w:szCs w:val="21"/>
              </w:rPr>
            </w:pPr>
            <w:r>
              <w:rPr>
                <w:rFonts w:cs="Times New Roman"/>
                <w:szCs w:val="21"/>
              </w:rPr>
              <w:t>与强氧化剂等禁配物接触，有发生火灾和爆炸的危险。</w:t>
            </w:r>
          </w:p>
        </w:tc>
        <w:tc>
          <w:tcPr>
            <w:tcW w:w="3969" w:type="dxa"/>
            <w:shd w:val="clear" w:color="000000" w:fill="FFFFFF"/>
            <w:vAlign w:val="center"/>
          </w:tcPr>
          <w:p w14:paraId="2AE24CD3">
            <w:pPr>
              <w:pStyle w:val="78"/>
              <w:rPr>
                <w:rFonts w:cs="Times New Roman"/>
                <w:szCs w:val="21"/>
              </w:rPr>
            </w:pPr>
            <w:r>
              <w:rPr>
                <w:rFonts w:cs="Times New Roman"/>
                <w:szCs w:val="21"/>
              </w:rPr>
              <w:t>极易燃，与空气混合能形成爆炸性混合物。</w:t>
            </w:r>
          </w:p>
          <w:p w14:paraId="46AA1324">
            <w:pPr>
              <w:pStyle w:val="78"/>
              <w:rPr>
                <w:rFonts w:cs="Times New Roman"/>
                <w:szCs w:val="21"/>
              </w:rPr>
            </w:pPr>
            <w:r>
              <w:rPr>
                <w:rFonts w:cs="Times New Roman"/>
                <w:szCs w:val="21"/>
              </w:rPr>
              <w:t>与强氧化剂等禁配物接触，有发生火灾和爆炸的危险。</w:t>
            </w:r>
          </w:p>
        </w:tc>
        <w:tc>
          <w:tcPr>
            <w:tcW w:w="3827" w:type="dxa"/>
            <w:shd w:val="clear" w:color="000000" w:fill="FFFFFF"/>
            <w:vAlign w:val="center"/>
          </w:tcPr>
          <w:p w14:paraId="05AD39C7">
            <w:pPr>
              <w:pStyle w:val="78"/>
              <w:rPr>
                <w:rFonts w:cs="Times New Roman"/>
                <w:szCs w:val="21"/>
              </w:rPr>
            </w:pPr>
            <w:r>
              <w:rPr>
                <w:rFonts w:cs="Times New Roman"/>
                <w:szCs w:val="21"/>
              </w:rPr>
              <w:t>极易燃，与空气混合能形成爆炸性混合物。</w:t>
            </w:r>
          </w:p>
          <w:p w14:paraId="618E37C5">
            <w:pPr>
              <w:pStyle w:val="78"/>
              <w:rPr>
                <w:rFonts w:cs="Times New Roman"/>
                <w:szCs w:val="21"/>
              </w:rPr>
            </w:pPr>
            <w:r>
              <w:rPr>
                <w:rFonts w:cs="Times New Roman"/>
                <w:szCs w:val="21"/>
              </w:rPr>
              <w:t>与强氧化剂等禁配物接触，有发生火灾和爆炸的危险。高热下易发生危险的聚合反应。</w:t>
            </w:r>
          </w:p>
        </w:tc>
      </w:tr>
      <w:tr w14:paraId="0B91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66DE96EC">
            <w:pPr>
              <w:pStyle w:val="78"/>
              <w:rPr>
                <w:rFonts w:cs="Times New Roman"/>
                <w:szCs w:val="21"/>
              </w:rPr>
            </w:pPr>
            <w:r>
              <w:rPr>
                <w:rFonts w:cs="Times New Roman"/>
                <w:szCs w:val="21"/>
              </w:rPr>
              <w:t>禁忌物</w:t>
            </w:r>
          </w:p>
        </w:tc>
        <w:tc>
          <w:tcPr>
            <w:tcW w:w="3969" w:type="dxa"/>
            <w:shd w:val="clear" w:color="000000" w:fill="FFFFFF"/>
            <w:vAlign w:val="center"/>
          </w:tcPr>
          <w:p w14:paraId="0450C157">
            <w:pPr>
              <w:pStyle w:val="78"/>
              <w:rPr>
                <w:rFonts w:cs="Times New Roman"/>
                <w:szCs w:val="21"/>
              </w:rPr>
            </w:pPr>
            <w:r>
              <w:rPr>
                <w:rFonts w:cs="Times New Roman"/>
                <w:szCs w:val="21"/>
              </w:rPr>
              <w:t>强氧化剂、强酸、强碱、卤素。</w:t>
            </w:r>
          </w:p>
        </w:tc>
        <w:tc>
          <w:tcPr>
            <w:tcW w:w="3969" w:type="dxa"/>
            <w:shd w:val="clear" w:color="000000" w:fill="FFFFFF"/>
            <w:vAlign w:val="center"/>
          </w:tcPr>
          <w:p w14:paraId="2915E5C6">
            <w:pPr>
              <w:pStyle w:val="78"/>
              <w:rPr>
                <w:rFonts w:cs="Times New Roman"/>
                <w:szCs w:val="21"/>
              </w:rPr>
            </w:pPr>
            <w:r>
              <w:rPr>
                <w:rFonts w:cs="Times New Roman"/>
                <w:szCs w:val="21"/>
              </w:rPr>
              <w:t>强氧化剂、强酸、强碱、卤素。</w:t>
            </w:r>
          </w:p>
        </w:tc>
        <w:tc>
          <w:tcPr>
            <w:tcW w:w="3827" w:type="dxa"/>
            <w:shd w:val="clear" w:color="000000" w:fill="FFFFFF"/>
            <w:vAlign w:val="center"/>
          </w:tcPr>
          <w:p w14:paraId="481C9520">
            <w:pPr>
              <w:pStyle w:val="78"/>
              <w:rPr>
                <w:rFonts w:cs="Times New Roman"/>
                <w:szCs w:val="21"/>
              </w:rPr>
            </w:pPr>
            <w:r>
              <w:rPr>
                <w:rFonts w:cs="Times New Roman"/>
                <w:szCs w:val="21"/>
              </w:rPr>
              <w:t>强氧化剂、强酸、二氧化氮、四氧化二氮、氧化二氮。</w:t>
            </w:r>
          </w:p>
        </w:tc>
      </w:tr>
      <w:tr w14:paraId="6CFF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73CAC5A4">
            <w:pPr>
              <w:pStyle w:val="78"/>
              <w:rPr>
                <w:rFonts w:cs="Times New Roman"/>
                <w:szCs w:val="21"/>
              </w:rPr>
            </w:pPr>
            <w:r>
              <w:rPr>
                <w:rFonts w:cs="Times New Roman"/>
                <w:szCs w:val="21"/>
              </w:rPr>
              <w:t>毒性及健康危害</w:t>
            </w:r>
          </w:p>
        </w:tc>
        <w:tc>
          <w:tcPr>
            <w:tcW w:w="1559" w:type="dxa"/>
            <w:shd w:val="clear" w:color="000000" w:fill="FFFFFF"/>
            <w:vAlign w:val="center"/>
          </w:tcPr>
          <w:p w14:paraId="450D0A68">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20550BEE">
            <w:pPr>
              <w:pStyle w:val="78"/>
              <w:rPr>
                <w:rFonts w:cs="Times New Roman"/>
                <w:szCs w:val="21"/>
              </w:rPr>
            </w:pPr>
            <w:r>
              <w:rPr>
                <w:rFonts w:cs="Times New Roman"/>
                <w:szCs w:val="21"/>
              </w:rPr>
              <w:t>无资料。</w:t>
            </w:r>
          </w:p>
        </w:tc>
        <w:tc>
          <w:tcPr>
            <w:tcW w:w="3969" w:type="dxa"/>
            <w:shd w:val="clear" w:color="000000" w:fill="FFFFFF"/>
            <w:vAlign w:val="center"/>
          </w:tcPr>
          <w:p w14:paraId="79B75C42">
            <w:pPr>
              <w:pStyle w:val="78"/>
              <w:rPr>
                <w:rFonts w:cs="Times New Roman"/>
                <w:szCs w:val="21"/>
              </w:rPr>
            </w:pPr>
            <w:r>
              <w:rPr>
                <w:rFonts w:cs="Times New Roman"/>
                <w:szCs w:val="21"/>
              </w:rPr>
              <w:t>无资料</w:t>
            </w:r>
          </w:p>
        </w:tc>
        <w:tc>
          <w:tcPr>
            <w:tcW w:w="3827" w:type="dxa"/>
            <w:shd w:val="clear" w:color="000000" w:fill="FFFFFF"/>
            <w:vAlign w:val="center"/>
          </w:tcPr>
          <w:p w14:paraId="0A5B5607">
            <w:pPr>
              <w:pStyle w:val="78"/>
              <w:rPr>
                <w:rFonts w:cs="Times New Roman"/>
                <w:szCs w:val="21"/>
              </w:rPr>
            </w:pPr>
            <w:r>
              <w:rPr>
                <w:rFonts w:cs="Times New Roman"/>
                <w:szCs w:val="21"/>
              </w:rPr>
              <w:t>LC50：658000mg/m3（大鼠吸入，4h）</w:t>
            </w:r>
          </w:p>
        </w:tc>
      </w:tr>
      <w:tr w14:paraId="3007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3819A56">
            <w:pPr>
              <w:pStyle w:val="78"/>
              <w:rPr>
                <w:rFonts w:cs="Times New Roman"/>
                <w:szCs w:val="21"/>
              </w:rPr>
            </w:pPr>
          </w:p>
        </w:tc>
        <w:tc>
          <w:tcPr>
            <w:tcW w:w="1559" w:type="dxa"/>
            <w:shd w:val="clear" w:color="000000" w:fill="FFFFFF"/>
            <w:vAlign w:val="center"/>
          </w:tcPr>
          <w:p w14:paraId="0E0A9635">
            <w:pPr>
              <w:pStyle w:val="78"/>
              <w:rPr>
                <w:rFonts w:cs="Times New Roman"/>
                <w:szCs w:val="21"/>
              </w:rPr>
            </w:pPr>
            <w:r>
              <w:rPr>
                <w:rFonts w:cs="Times New Roman"/>
                <w:szCs w:val="21"/>
              </w:rPr>
              <w:t>中毒途径</w:t>
            </w:r>
          </w:p>
        </w:tc>
        <w:tc>
          <w:tcPr>
            <w:tcW w:w="3969" w:type="dxa"/>
            <w:shd w:val="clear" w:color="000000" w:fill="FFFFFF"/>
            <w:noWrap/>
            <w:vAlign w:val="center"/>
          </w:tcPr>
          <w:p w14:paraId="4731353D">
            <w:pPr>
              <w:pStyle w:val="78"/>
              <w:rPr>
                <w:rFonts w:cs="Times New Roman"/>
                <w:szCs w:val="21"/>
              </w:rPr>
            </w:pPr>
            <w:r>
              <w:rPr>
                <w:rFonts w:cs="Times New Roman"/>
                <w:szCs w:val="21"/>
              </w:rPr>
              <w:t>吸入</w:t>
            </w:r>
          </w:p>
        </w:tc>
        <w:tc>
          <w:tcPr>
            <w:tcW w:w="3969" w:type="dxa"/>
            <w:shd w:val="clear" w:color="000000" w:fill="FFFFFF"/>
            <w:noWrap/>
            <w:vAlign w:val="center"/>
          </w:tcPr>
          <w:p w14:paraId="45D431A9">
            <w:pPr>
              <w:pStyle w:val="78"/>
              <w:rPr>
                <w:rFonts w:cs="Times New Roman"/>
                <w:szCs w:val="21"/>
              </w:rPr>
            </w:pPr>
            <w:r>
              <w:rPr>
                <w:rFonts w:cs="Times New Roman"/>
                <w:szCs w:val="21"/>
              </w:rPr>
              <w:t>吸入</w:t>
            </w:r>
          </w:p>
        </w:tc>
        <w:tc>
          <w:tcPr>
            <w:tcW w:w="3827" w:type="dxa"/>
            <w:shd w:val="clear" w:color="000000" w:fill="FFFFFF"/>
            <w:noWrap/>
            <w:vAlign w:val="center"/>
          </w:tcPr>
          <w:p w14:paraId="78820BB0">
            <w:pPr>
              <w:pStyle w:val="78"/>
              <w:rPr>
                <w:rFonts w:cs="Times New Roman"/>
                <w:szCs w:val="21"/>
              </w:rPr>
            </w:pPr>
            <w:r>
              <w:rPr>
                <w:rFonts w:cs="Times New Roman"/>
                <w:szCs w:val="21"/>
              </w:rPr>
              <w:t>吸入</w:t>
            </w:r>
          </w:p>
        </w:tc>
      </w:tr>
      <w:tr w14:paraId="2C7C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67AB296">
            <w:pPr>
              <w:pStyle w:val="78"/>
              <w:rPr>
                <w:rFonts w:cs="Times New Roman"/>
                <w:szCs w:val="21"/>
              </w:rPr>
            </w:pPr>
          </w:p>
        </w:tc>
        <w:tc>
          <w:tcPr>
            <w:tcW w:w="1559" w:type="dxa"/>
            <w:shd w:val="clear" w:color="000000" w:fill="FFFFFF"/>
            <w:vAlign w:val="center"/>
          </w:tcPr>
          <w:p w14:paraId="4C21DDE3">
            <w:pPr>
              <w:pStyle w:val="78"/>
              <w:rPr>
                <w:rFonts w:cs="Times New Roman"/>
                <w:szCs w:val="21"/>
              </w:rPr>
            </w:pPr>
            <w:r>
              <w:rPr>
                <w:rFonts w:cs="Times New Roman"/>
                <w:szCs w:val="21"/>
              </w:rPr>
              <w:t>健康危害</w:t>
            </w:r>
          </w:p>
        </w:tc>
        <w:tc>
          <w:tcPr>
            <w:tcW w:w="3969" w:type="dxa"/>
            <w:shd w:val="clear" w:color="000000" w:fill="FFFFFF"/>
            <w:vAlign w:val="center"/>
          </w:tcPr>
          <w:p w14:paraId="4A4A2C8C">
            <w:pPr>
              <w:pStyle w:val="78"/>
              <w:rPr>
                <w:rFonts w:cs="Times New Roman"/>
                <w:szCs w:val="21"/>
              </w:rPr>
            </w:pPr>
            <w:r>
              <w:rPr>
                <w:rFonts w:cs="Times New Roman"/>
                <w:szCs w:val="21"/>
              </w:rPr>
              <w:t>高浓度时，有单纯性窒息作用，有轻度麻醉作用。空气中浓度大于6％时，出现眩晕、轻度恶心、麻醉症状；达40％以上时，可引起惊厥，甚至窒息死亡。</w:t>
            </w:r>
          </w:p>
        </w:tc>
        <w:tc>
          <w:tcPr>
            <w:tcW w:w="3969" w:type="dxa"/>
            <w:shd w:val="clear" w:color="000000" w:fill="FFFFFF"/>
            <w:vAlign w:val="center"/>
          </w:tcPr>
          <w:p w14:paraId="1A9BE3F5">
            <w:pPr>
              <w:pStyle w:val="78"/>
              <w:rPr>
                <w:rFonts w:cs="Times New Roman"/>
                <w:szCs w:val="21"/>
              </w:rPr>
            </w:pPr>
            <w:r>
              <w:rPr>
                <w:rFonts w:cs="Times New Roman"/>
                <w:szCs w:val="21"/>
              </w:rPr>
              <w:t>急性中毒：吸入丙烷后仅有不同程度头晕。工业生产中常接触到的是丙烷、乙烷或丁烷等混合气体，可引起头晕、头痛、兴奋或嗜睡、恶心、呕吐、脉缓等症状，严重时表现为麻醉状态及意识丧失。接触液态本品可引起冻伤。慢性影响：长期低浓度吸入丙烷、丁烷者，出现神经衰弱综合征及多汗、脉搏不稳定、立毛肌反射增强、皮肤划痕症等自主神经功能紊乱现象，并有发生肢体远端感觉减退者。</w:t>
            </w:r>
          </w:p>
        </w:tc>
        <w:tc>
          <w:tcPr>
            <w:tcW w:w="3827" w:type="dxa"/>
            <w:shd w:val="clear" w:color="000000" w:fill="FFFFFF"/>
            <w:vAlign w:val="center"/>
          </w:tcPr>
          <w:p w14:paraId="6984F376">
            <w:pPr>
              <w:pStyle w:val="78"/>
              <w:rPr>
                <w:rFonts w:cs="Times New Roman"/>
                <w:szCs w:val="21"/>
              </w:rPr>
            </w:pPr>
            <w:r>
              <w:rPr>
                <w:rFonts w:cs="Times New Roman"/>
                <w:szCs w:val="21"/>
              </w:rPr>
              <w:t>本品为单纯窒息剂及轻度麻醉剂。眼和上呼吸道刺激症状有流泪、咳嗽、胸闷等。中枢神经系统抑制症状有注意力不集中、表情淡漠、感觉异常、呕吐、眩晕、四肢无力、步态蹒跚、肌张力和肌力下降、膝反射亢进等。可有食欲不振及肝酶异常。严重中毒时出现血压下降和心律失常。直接接触液态产品可引起冻伤。</w:t>
            </w:r>
          </w:p>
        </w:tc>
      </w:tr>
      <w:tr w14:paraId="529D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D69AB35">
            <w:pPr>
              <w:pStyle w:val="78"/>
              <w:rPr>
                <w:rFonts w:cs="Times New Roman"/>
                <w:szCs w:val="21"/>
              </w:rPr>
            </w:pPr>
          </w:p>
        </w:tc>
        <w:tc>
          <w:tcPr>
            <w:tcW w:w="1559" w:type="dxa"/>
            <w:shd w:val="clear" w:color="000000" w:fill="FFFFFF"/>
            <w:noWrap/>
            <w:vAlign w:val="center"/>
          </w:tcPr>
          <w:p w14:paraId="69D9EBAA">
            <w:pPr>
              <w:pStyle w:val="78"/>
              <w:rPr>
                <w:rFonts w:cs="Times New Roman"/>
                <w:szCs w:val="21"/>
              </w:rPr>
            </w:pPr>
            <w:r>
              <w:rPr>
                <w:rFonts w:cs="Times New Roman"/>
                <w:szCs w:val="21"/>
              </w:rPr>
              <w:t>环境危害</w:t>
            </w:r>
          </w:p>
        </w:tc>
        <w:tc>
          <w:tcPr>
            <w:tcW w:w="3969" w:type="dxa"/>
            <w:shd w:val="clear" w:color="000000" w:fill="FFFFFF"/>
            <w:vAlign w:val="center"/>
          </w:tcPr>
          <w:p w14:paraId="6832C9AC">
            <w:pPr>
              <w:pStyle w:val="78"/>
              <w:rPr>
                <w:rFonts w:cs="Times New Roman"/>
                <w:szCs w:val="21"/>
              </w:rPr>
            </w:pPr>
            <w:r>
              <w:rPr>
                <w:rFonts w:cs="Times New Roman"/>
                <w:szCs w:val="21"/>
              </w:rPr>
              <w:t>对环境可能有害。</w:t>
            </w:r>
          </w:p>
        </w:tc>
        <w:tc>
          <w:tcPr>
            <w:tcW w:w="3969" w:type="dxa"/>
            <w:shd w:val="clear" w:color="000000" w:fill="FFFFFF"/>
            <w:vAlign w:val="center"/>
          </w:tcPr>
          <w:p w14:paraId="7F6FC16B">
            <w:pPr>
              <w:pStyle w:val="78"/>
              <w:rPr>
                <w:rFonts w:cs="Times New Roman"/>
                <w:szCs w:val="21"/>
              </w:rPr>
            </w:pPr>
            <w:r>
              <w:rPr>
                <w:rFonts w:cs="Times New Roman"/>
                <w:szCs w:val="21"/>
              </w:rPr>
              <w:t>对环境可能有害。</w:t>
            </w:r>
          </w:p>
        </w:tc>
        <w:tc>
          <w:tcPr>
            <w:tcW w:w="3827" w:type="dxa"/>
            <w:shd w:val="clear" w:color="000000" w:fill="FFFFFF"/>
            <w:vAlign w:val="center"/>
          </w:tcPr>
          <w:p w14:paraId="7D5C2253">
            <w:pPr>
              <w:pStyle w:val="78"/>
              <w:rPr>
                <w:rFonts w:cs="Times New Roman"/>
                <w:szCs w:val="21"/>
              </w:rPr>
            </w:pPr>
            <w:r>
              <w:rPr>
                <w:rFonts w:cs="Times New Roman"/>
                <w:szCs w:val="21"/>
              </w:rPr>
              <w:t>对环境可能有害。</w:t>
            </w:r>
          </w:p>
        </w:tc>
      </w:tr>
      <w:tr w14:paraId="412A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08B9AA35">
            <w:pPr>
              <w:pStyle w:val="78"/>
              <w:rPr>
                <w:rFonts w:cs="Times New Roman"/>
                <w:szCs w:val="21"/>
              </w:rPr>
            </w:pPr>
            <w:r>
              <w:rPr>
                <w:rFonts w:cs="Times New Roman"/>
                <w:szCs w:val="21"/>
              </w:rPr>
              <w:t>应急措施</w:t>
            </w:r>
          </w:p>
        </w:tc>
        <w:tc>
          <w:tcPr>
            <w:tcW w:w="1559" w:type="dxa"/>
            <w:shd w:val="clear" w:color="000000" w:fill="FFFFFF"/>
            <w:noWrap/>
            <w:vAlign w:val="center"/>
          </w:tcPr>
          <w:p w14:paraId="55C37198">
            <w:pPr>
              <w:pStyle w:val="78"/>
              <w:rPr>
                <w:rFonts w:cs="Times New Roman"/>
                <w:szCs w:val="21"/>
              </w:rPr>
            </w:pPr>
            <w:r>
              <w:rPr>
                <w:rFonts w:cs="Times New Roman"/>
                <w:szCs w:val="21"/>
              </w:rPr>
              <w:t>急救措施</w:t>
            </w:r>
          </w:p>
        </w:tc>
        <w:tc>
          <w:tcPr>
            <w:tcW w:w="3969" w:type="dxa"/>
            <w:shd w:val="clear" w:color="000000" w:fill="FFFFFF"/>
            <w:vAlign w:val="center"/>
          </w:tcPr>
          <w:p w14:paraId="45E9B2DA">
            <w:pPr>
              <w:pStyle w:val="78"/>
              <w:rPr>
                <w:rFonts w:cs="Times New Roman"/>
                <w:szCs w:val="21"/>
              </w:rPr>
            </w:pPr>
            <w:r>
              <w:rPr>
                <w:rFonts w:cs="Times New Roman"/>
                <w:szCs w:val="21"/>
              </w:rPr>
              <w:t>迅速脱离现场至空气新鲜处。保持呼吸道通畅。如呼吸困难，给输氧。呼吸、心跳停止，立即进行心肺复苏术。就医。不会通过该途径接触。冻伤时，用大量水冲洗，不要脱去衣服。给予医疗护理。先用大量水冲洗几分钟（如可能易行，摘除隐形眼镜），然后就医。</w:t>
            </w:r>
          </w:p>
        </w:tc>
        <w:tc>
          <w:tcPr>
            <w:tcW w:w="3969" w:type="dxa"/>
            <w:shd w:val="clear" w:color="000000" w:fill="FFFFFF"/>
            <w:vAlign w:val="center"/>
          </w:tcPr>
          <w:p w14:paraId="317F3ED8">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不会通过该途径接触。如发生冻伤，用温水（38℃～42℃）复温，忌用热水或辐射热，不要揉搓。就医。先用大量水冲洗几分钟（如可能易行，摘除隐形眼镜），然后就医。</w:t>
            </w:r>
          </w:p>
        </w:tc>
        <w:tc>
          <w:tcPr>
            <w:tcW w:w="3827" w:type="dxa"/>
            <w:shd w:val="clear" w:color="000000" w:fill="FFFFFF"/>
            <w:vAlign w:val="center"/>
          </w:tcPr>
          <w:p w14:paraId="799AC2A7">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不会通过该途径接触。如发生冻伤，用温水（38℃～42℃）复温，忌用热水或辐射热，不要揉搓。就医。</w:t>
            </w:r>
            <w:r>
              <w:rPr>
                <w:rFonts w:cs="Times New Roman"/>
                <w:szCs w:val="21"/>
              </w:rPr>
              <w:br w:type="textWrapping"/>
            </w:r>
            <w:r>
              <w:rPr>
                <w:rFonts w:cs="Times New Roman"/>
                <w:szCs w:val="21"/>
              </w:rPr>
              <w:t>立即分开眼睑，用流动清水或生理盐水彻底冲洗。就医。</w:t>
            </w:r>
          </w:p>
        </w:tc>
      </w:tr>
      <w:tr w14:paraId="6469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2B94990">
            <w:pPr>
              <w:pStyle w:val="78"/>
              <w:rPr>
                <w:rFonts w:cs="Times New Roman"/>
                <w:szCs w:val="21"/>
              </w:rPr>
            </w:pPr>
          </w:p>
        </w:tc>
        <w:tc>
          <w:tcPr>
            <w:tcW w:w="1559" w:type="dxa"/>
            <w:shd w:val="clear" w:color="000000" w:fill="FFFFFF"/>
            <w:vAlign w:val="center"/>
          </w:tcPr>
          <w:p w14:paraId="6947D6E7">
            <w:pPr>
              <w:pStyle w:val="78"/>
              <w:rPr>
                <w:rFonts w:cs="Times New Roman"/>
                <w:szCs w:val="21"/>
              </w:rPr>
            </w:pPr>
            <w:r>
              <w:rPr>
                <w:rFonts w:cs="Times New Roman"/>
                <w:szCs w:val="21"/>
              </w:rPr>
              <w:t>泄漏应急处置</w:t>
            </w:r>
          </w:p>
        </w:tc>
        <w:tc>
          <w:tcPr>
            <w:tcW w:w="3969" w:type="dxa"/>
            <w:shd w:val="clear" w:color="000000" w:fill="FFFFFF"/>
            <w:vAlign w:val="center"/>
          </w:tcPr>
          <w:p w14:paraId="040C419A">
            <w:pPr>
              <w:pStyle w:val="78"/>
              <w:rPr>
                <w:rFonts w:cs="Times New Roman"/>
                <w:szCs w:val="21"/>
              </w:rPr>
            </w:pPr>
            <w:r>
              <w:rPr>
                <w:rFonts w:cs="Times New Roman"/>
                <w:szCs w:val="21"/>
              </w:rPr>
              <w:t>隔离泄漏区直至气体散尽。</w:t>
            </w:r>
          </w:p>
        </w:tc>
        <w:tc>
          <w:tcPr>
            <w:tcW w:w="3969" w:type="dxa"/>
            <w:shd w:val="clear" w:color="000000" w:fill="FFFFFF"/>
            <w:vAlign w:val="center"/>
          </w:tcPr>
          <w:p w14:paraId="653D50B7">
            <w:pPr>
              <w:pStyle w:val="78"/>
              <w:rPr>
                <w:rFonts w:cs="Times New Roman"/>
                <w:szCs w:val="21"/>
              </w:rPr>
            </w:pPr>
            <w:r>
              <w:rPr>
                <w:rFonts w:cs="Times New Roman"/>
                <w:szCs w:val="21"/>
              </w:rPr>
              <w:t>隔离泄漏区直至气体散尽。</w:t>
            </w:r>
          </w:p>
        </w:tc>
        <w:tc>
          <w:tcPr>
            <w:tcW w:w="3827" w:type="dxa"/>
            <w:shd w:val="clear" w:color="000000" w:fill="FFFFFF"/>
            <w:vAlign w:val="center"/>
          </w:tcPr>
          <w:p w14:paraId="7C4E56EA">
            <w:pPr>
              <w:pStyle w:val="78"/>
              <w:rPr>
                <w:rFonts w:cs="Times New Roman"/>
                <w:szCs w:val="21"/>
              </w:rPr>
            </w:pPr>
            <w:r>
              <w:rPr>
                <w:rFonts w:cs="Times New Roman"/>
                <w:szCs w:val="21"/>
              </w:rPr>
              <w:t>隔离泄漏区直至气体散尽。</w:t>
            </w:r>
          </w:p>
        </w:tc>
      </w:tr>
      <w:tr w14:paraId="6D4A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8722C88">
            <w:pPr>
              <w:pStyle w:val="78"/>
              <w:rPr>
                <w:rFonts w:cs="Times New Roman"/>
                <w:szCs w:val="21"/>
              </w:rPr>
            </w:pPr>
          </w:p>
        </w:tc>
        <w:tc>
          <w:tcPr>
            <w:tcW w:w="1559" w:type="dxa"/>
            <w:shd w:val="clear" w:color="000000" w:fill="FFFFFF"/>
            <w:noWrap/>
            <w:vAlign w:val="center"/>
          </w:tcPr>
          <w:p w14:paraId="0F233C92">
            <w:pPr>
              <w:pStyle w:val="78"/>
              <w:rPr>
                <w:rFonts w:cs="Times New Roman"/>
                <w:szCs w:val="21"/>
              </w:rPr>
            </w:pPr>
            <w:r>
              <w:rPr>
                <w:rFonts w:cs="Times New Roman"/>
                <w:szCs w:val="21"/>
              </w:rPr>
              <w:t>灭火方法</w:t>
            </w:r>
          </w:p>
        </w:tc>
        <w:tc>
          <w:tcPr>
            <w:tcW w:w="3969" w:type="dxa"/>
            <w:shd w:val="clear" w:color="000000" w:fill="FFFFFF"/>
            <w:vAlign w:val="center"/>
          </w:tcPr>
          <w:p w14:paraId="55D75460">
            <w:pPr>
              <w:pStyle w:val="78"/>
              <w:rPr>
                <w:rFonts w:cs="Times New Roman"/>
                <w:szCs w:val="21"/>
              </w:rPr>
            </w:pPr>
            <w:r>
              <w:rPr>
                <w:rFonts w:cs="Times New Roman"/>
                <w:szCs w:val="21"/>
              </w:rPr>
              <w:t>切断气源。若不能切断气源，则不允许熄灭泄漏处的火焰。消防人员必须佩戴空气呼吸器、穿全身防火防毒服，在上风向灭火。尽可能将容器从火场移至空旷处。喷水保持火场容器冷却，直至灭火结束。</w:t>
            </w:r>
          </w:p>
        </w:tc>
        <w:tc>
          <w:tcPr>
            <w:tcW w:w="3969" w:type="dxa"/>
            <w:shd w:val="clear" w:color="000000" w:fill="FFFFFF"/>
            <w:vAlign w:val="center"/>
          </w:tcPr>
          <w:p w14:paraId="40CCCE93">
            <w:pPr>
              <w:pStyle w:val="78"/>
              <w:rPr>
                <w:rFonts w:cs="Times New Roman"/>
                <w:szCs w:val="21"/>
              </w:rPr>
            </w:pPr>
            <w:r>
              <w:rPr>
                <w:rFonts w:cs="Times New Roman"/>
                <w:szCs w:val="21"/>
              </w:rPr>
              <w:t>切断气源。若不能切断气源，则不允许熄灭泄漏处的火焰。消防人员必须佩戴空气呼吸器、穿全身防火防毒服，在上风向灭火。尽可能将容器从火场移至空旷处。喷水保持火场容器冷却，直至灭火结束。</w:t>
            </w:r>
          </w:p>
        </w:tc>
        <w:tc>
          <w:tcPr>
            <w:tcW w:w="3827" w:type="dxa"/>
            <w:shd w:val="clear" w:color="000000" w:fill="FFFFFF"/>
            <w:vAlign w:val="center"/>
          </w:tcPr>
          <w:p w14:paraId="0C1DC63B">
            <w:pPr>
              <w:pStyle w:val="78"/>
              <w:rPr>
                <w:rFonts w:cs="Times New Roman"/>
                <w:szCs w:val="21"/>
              </w:rPr>
            </w:pPr>
            <w:r>
              <w:rPr>
                <w:rFonts w:cs="Times New Roman"/>
                <w:szCs w:val="21"/>
              </w:rPr>
              <w:t>切断气源。若不能切断气源，则不允许熄灭泄漏处的火焰。消防人员必须佩戴空气呼吸器、穿全身防火防毒服，在上风向灭火。尽可能将容器从火场移至空旷处。喷水保持火场容器冷却，直至灭火结束。</w:t>
            </w:r>
          </w:p>
        </w:tc>
      </w:tr>
      <w:tr w14:paraId="4654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5DB6ECAF">
            <w:pPr>
              <w:pStyle w:val="78"/>
              <w:rPr>
                <w:rFonts w:cs="Times New Roman"/>
                <w:b/>
                <w:szCs w:val="21"/>
              </w:rPr>
            </w:pPr>
            <w:r>
              <w:rPr>
                <w:rFonts w:cs="Times New Roman"/>
                <w:b/>
                <w:szCs w:val="21"/>
              </w:rPr>
              <w:t>物质</w:t>
            </w:r>
          </w:p>
        </w:tc>
        <w:tc>
          <w:tcPr>
            <w:tcW w:w="3969" w:type="dxa"/>
            <w:shd w:val="clear" w:color="000000" w:fill="FFFFFF"/>
            <w:vAlign w:val="center"/>
          </w:tcPr>
          <w:p w14:paraId="4DA2E870">
            <w:pPr>
              <w:pStyle w:val="78"/>
              <w:rPr>
                <w:rFonts w:cs="Times New Roman"/>
                <w:b/>
                <w:szCs w:val="21"/>
              </w:rPr>
            </w:pPr>
            <w:r>
              <w:rPr>
                <w:rFonts w:cs="Times New Roman"/>
                <w:b/>
                <w:szCs w:val="21"/>
              </w:rPr>
              <w:t>丁烷</w:t>
            </w:r>
          </w:p>
        </w:tc>
        <w:tc>
          <w:tcPr>
            <w:tcW w:w="3969" w:type="dxa"/>
            <w:shd w:val="clear" w:color="000000" w:fill="FFFFFF"/>
            <w:vAlign w:val="center"/>
          </w:tcPr>
          <w:p w14:paraId="7DBBFBFB">
            <w:pPr>
              <w:pStyle w:val="78"/>
              <w:rPr>
                <w:rFonts w:cs="Times New Roman"/>
                <w:b/>
                <w:szCs w:val="21"/>
              </w:rPr>
            </w:pPr>
            <w:r>
              <w:rPr>
                <w:rFonts w:cs="Times New Roman"/>
                <w:b/>
                <w:szCs w:val="21"/>
              </w:rPr>
              <w:t>丁烯</w:t>
            </w:r>
          </w:p>
        </w:tc>
        <w:tc>
          <w:tcPr>
            <w:tcW w:w="3827" w:type="dxa"/>
            <w:shd w:val="clear" w:color="000000" w:fill="FFFFFF"/>
            <w:vAlign w:val="center"/>
          </w:tcPr>
          <w:p w14:paraId="2FBED095">
            <w:pPr>
              <w:pStyle w:val="78"/>
              <w:rPr>
                <w:rFonts w:cs="Times New Roman"/>
                <w:b/>
                <w:szCs w:val="21"/>
              </w:rPr>
            </w:pPr>
            <w:r>
              <w:rPr>
                <w:rFonts w:cs="Times New Roman"/>
                <w:b/>
                <w:szCs w:val="21"/>
              </w:rPr>
              <w:t>1,3-丁二烯</w:t>
            </w:r>
          </w:p>
        </w:tc>
      </w:tr>
      <w:tr w14:paraId="18AC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3BCF275A">
            <w:pPr>
              <w:pStyle w:val="78"/>
              <w:rPr>
                <w:rFonts w:cs="Times New Roman"/>
                <w:szCs w:val="21"/>
              </w:rPr>
            </w:pPr>
            <w:r>
              <w:rPr>
                <w:rFonts w:cs="Times New Roman"/>
                <w:szCs w:val="21"/>
              </w:rPr>
              <w:t>物化性质</w:t>
            </w:r>
          </w:p>
        </w:tc>
        <w:tc>
          <w:tcPr>
            <w:tcW w:w="1559" w:type="dxa"/>
            <w:shd w:val="clear" w:color="000000" w:fill="FFFFFF"/>
            <w:vAlign w:val="center"/>
          </w:tcPr>
          <w:p w14:paraId="152586C8">
            <w:pPr>
              <w:pStyle w:val="78"/>
              <w:rPr>
                <w:rFonts w:cs="Times New Roman"/>
                <w:szCs w:val="21"/>
              </w:rPr>
            </w:pPr>
            <w:r>
              <w:rPr>
                <w:rFonts w:cs="Times New Roman"/>
                <w:szCs w:val="21"/>
              </w:rPr>
              <w:t>CAS号</w:t>
            </w:r>
          </w:p>
        </w:tc>
        <w:tc>
          <w:tcPr>
            <w:tcW w:w="3969" w:type="dxa"/>
            <w:shd w:val="clear" w:color="000000" w:fill="FFFFFF"/>
            <w:vAlign w:val="center"/>
          </w:tcPr>
          <w:p w14:paraId="5BB06D63">
            <w:pPr>
              <w:pStyle w:val="78"/>
              <w:rPr>
                <w:rFonts w:cs="Times New Roman"/>
                <w:szCs w:val="21"/>
              </w:rPr>
            </w:pPr>
            <w:r>
              <w:rPr>
                <w:rFonts w:cs="Times New Roman"/>
                <w:szCs w:val="21"/>
              </w:rPr>
              <w:t>106-97-8</w:t>
            </w:r>
          </w:p>
        </w:tc>
        <w:tc>
          <w:tcPr>
            <w:tcW w:w="3969" w:type="dxa"/>
            <w:shd w:val="clear" w:color="000000" w:fill="FFFFFF"/>
            <w:vAlign w:val="center"/>
          </w:tcPr>
          <w:p w14:paraId="1A615ACA">
            <w:pPr>
              <w:pStyle w:val="78"/>
              <w:rPr>
                <w:rFonts w:cs="Times New Roman"/>
                <w:szCs w:val="21"/>
              </w:rPr>
            </w:pPr>
            <w:r>
              <w:rPr>
                <w:rFonts w:cs="Times New Roman"/>
                <w:szCs w:val="21"/>
              </w:rPr>
              <w:t>25167-67-3</w:t>
            </w:r>
          </w:p>
        </w:tc>
        <w:tc>
          <w:tcPr>
            <w:tcW w:w="3827" w:type="dxa"/>
            <w:shd w:val="clear" w:color="000000" w:fill="FFFFFF"/>
            <w:vAlign w:val="center"/>
          </w:tcPr>
          <w:p w14:paraId="23E4B979">
            <w:pPr>
              <w:pStyle w:val="78"/>
              <w:rPr>
                <w:rFonts w:cs="Times New Roman"/>
                <w:szCs w:val="21"/>
              </w:rPr>
            </w:pPr>
            <w:r>
              <w:rPr>
                <w:rFonts w:cs="Times New Roman"/>
                <w:szCs w:val="21"/>
              </w:rPr>
              <w:t>106-99-0</w:t>
            </w:r>
          </w:p>
        </w:tc>
      </w:tr>
      <w:tr w14:paraId="335C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C49C84A">
            <w:pPr>
              <w:pStyle w:val="78"/>
              <w:rPr>
                <w:rFonts w:cs="Times New Roman"/>
                <w:szCs w:val="21"/>
              </w:rPr>
            </w:pPr>
          </w:p>
        </w:tc>
        <w:tc>
          <w:tcPr>
            <w:tcW w:w="1559" w:type="dxa"/>
            <w:shd w:val="clear" w:color="000000" w:fill="FFFFFF"/>
            <w:vAlign w:val="center"/>
          </w:tcPr>
          <w:p w14:paraId="5595896F">
            <w:pPr>
              <w:pStyle w:val="78"/>
              <w:rPr>
                <w:rFonts w:cs="Times New Roman"/>
                <w:szCs w:val="21"/>
              </w:rPr>
            </w:pPr>
            <w:r>
              <w:rPr>
                <w:rFonts w:cs="Times New Roman"/>
                <w:szCs w:val="21"/>
              </w:rPr>
              <w:t>中文名称/别名</w:t>
            </w:r>
          </w:p>
        </w:tc>
        <w:tc>
          <w:tcPr>
            <w:tcW w:w="3969" w:type="dxa"/>
            <w:shd w:val="clear" w:color="000000" w:fill="FFFFFF"/>
            <w:vAlign w:val="center"/>
          </w:tcPr>
          <w:p w14:paraId="64C65D42">
            <w:pPr>
              <w:pStyle w:val="78"/>
              <w:rPr>
                <w:rFonts w:cs="Times New Roman"/>
                <w:szCs w:val="21"/>
              </w:rPr>
            </w:pPr>
            <w:r>
              <w:rPr>
                <w:rFonts w:cs="Times New Roman"/>
                <w:szCs w:val="21"/>
              </w:rPr>
              <w:t>正丁烷;丁烷;正丁烷(液化的)(钢瓶)</w:t>
            </w:r>
          </w:p>
        </w:tc>
        <w:tc>
          <w:tcPr>
            <w:tcW w:w="3969" w:type="dxa"/>
            <w:shd w:val="clear" w:color="000000" w:fill="FFFFFF"/>
            <w:vAlign w:val="center"/>
          </w:tcPr>
          <w:p w14:paraId="28F4A96F">
            <w:pPr>
              <w:pStyle w:val="78"/>
              <w:rPr>
                <w:rFonts w:cs="Times New Roman"/>
                <w:szCs w:val="21"/>
              </w:rPr>
            </w:pPr>
            <w:r>
              <w:rPr>
                <w:rFonts w:cs="Times New Roman"/>
                <w:szCs w:val="21"/>
              </w:rPr>
              <w:t>丁烯</w:t>
            </w:r>
          </w:p>
        </w:tc>
        <w:tc>
          <w:tcPr>
            <w:tcW w:w="3827" w:type="dxa"/>
            <w:shd w:val="clear" w:color="000000" w:fill="FFFFFF"/>
            <w:vAlign w:val="center"/>
          </w:tcPr>
          <w:p w14:paraId="4D14D5D9">
            <w:pPr>
              <w:pStyle w:val="78"/>
              <w:rPr>
                <w:rFonts w:cs="Times New Roman"/>
                <w:szCs w:val="21"/>
              </w:rPr>
            </w:pPr>
            <w:r>
              <w:rPr>
                <w:rFonts w:cs="Times New Roman"/>
                <w:szCs w:val="21"/>
              </w:rPr>
              <w:t>1,3-丁二烯[稳定的];丁二烯;联乙烯;丁烯基乙烯</w:t>
            </w:r>
          </w:p>
        </w:tc>
      </w:tr>
      <w:tr w14:paraId="26E3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A42E35D">
            <w:pPr>
              <w:pStyle w:val="78"/>
              <w:rPr>
                <w:rFonts w:cs="Times New Roman"/>
                <w:szCs w:val="21"/>
              </w:rPr>
            </w:pPr>
          </w:p>
        </w:tc>
        <w:tc>
          <w:tcPr>
            <w:tcW w:w="1559" w:type="dxa"/>
            <w:shd w:val="clear" w:color="000000" w:fill="FFFFFF"/>
            <w:vAlign w:val="center"/>
          </w:tcPr>
          <w:p w14:paraId="431922CE">
            <w:pPr>
              <w:pStyle w:val="78"/>
              <w:rPr>
                <w:rFonts w:cs="Times New Roman"/>
                <w:szCs w:val="21"/>
              </w:rPr>
            </w:pPr>
            <w:r>
              <w:rPr>
                <w:rFonts w:cs="Times New Roman"/>
                <w:szCs w:val="21"/>
              </w:rPr>
              <w:t>分子式</w:t>
            </w:r>
          </w:p>
        </w:tc>
        <w:tc>
          <w:tcPr>
            <w:tcW w:w="3969" w:type="dxa"/>
            <w:shd w:val="clear" w:color="000000" w:fill="FFFFFF"/>
            <w:noWrap/>
            <w:vAlign w:val="center"/>
          </w:tcPr>
          <w:p w14:paraId="3658FF45">
            <w:pPr>
              <w:pStyle w:val="78"/>
              <w:rPr>
                <w:rFonts w:cs="Times New Roman"/>
                <w:szCs w:val="21"/>
              </w:rPr>
            </w:pPr>
            <w:r>
              <w:rPr>
                <w:rFonts w:cs="Times New Roman"/>
                <w:szCs w:val="21"/>
              </w:rPr>
              <w:t>C</w:t>
            </w:r>
            <w:r>
              <w:rPr>
                <w:rFonts w:cs="Times New Roman"/>
                <w:szCs w:val="21"/>
                <w:vertAlign w:val="subscript"/>
              </w:rPr>
              <w:t>4</w:t>
            </w:r>
            <w:r>
              <w:rPr>
                <w:rFonts w:cs="Times New Roman"/>
                <w:szCs w:val="21"/>
              </w:rPr>
              <w:t>H</w:t>
            </w:r>
            <w:r>
              <w:rPr>
                <w:rFonts w:cs="Times New Roman"/>
                <w:szCs w:val="21"/>
                <w:vertAlign w:val="subscript"/>
              </w:rPr>
              <w:t>10</w:t>
            </w:r>
          </w:p>
        </w:tc>
        <w:tc>
          <w:tcPr>
            <w:tcW w:w="3969" w:type="dxa"/>
            <w:shd w:val="clear" w:color="000000" w:fill="FFFFFF"/>
            <w:noWrap/>
            <w:vAlign w:val="center"/>
          </w:tcPr>
          <w:p w14:paraId="0F45CA05">
            <w:pPr>
              <w:pStyle w:val="78"/>
              <w:rPr>
                <w:rFonts w:cs="Times New Roman"/>
                <w:szCs w:val="21"/>
              </w:rPr>
            </w:pPr>
            <w:r>
              <w:rPr>
                <w:rFonts w:cs="Times New Roman"/>
                <w:szCs w:val="21"/>
              </w:rPr>
              <w:t>C</w:t>
            </w:r>
            <w:r>
              <w:rPr>
                <w:rFonts w:cs="Times New Roman"/>
                <w:szCs w:val="21"/>
                <w:vertAlign w:val="subscript"/>
              </w:rPr>
              <w:t>4</w:t>
            </w:r>
            <w:r>
              <w:rPr>
                <w:rFonts w:cs="Times New Roman"/>
                <w:szCs w:val="21"/>
              </w:rPr>
              <w:t>H</w:t>
            </w:r>
            <w:r>
              <w:rPr>
                <w:rFonts w:cs="Times New Roman"/>
                <w:szCs w:val="21"/>
                <w:vertAlign w:val="subscript"/>
              </w:rPr>
              <w:t>8</w:t>
            </w:r>
          </w:p>
        </w:tc>
        <w:tc>
          <w:tcPr>
            <w:tcW w:w="3827" w:type="dxa"/>
            <w:shd w:val="clear" w:color="000000" w:fill="FFFFFF"/>
            <w:noWrap/>
            <w:vAlign w:val="center"/>
          </w:tcPr>
          <w:p w14:paraId="0363CE07">
            <w:pPr>
              <w:pStyle w:val="78"/>
              <w:rPr>
                <w:rFonts w:cs="Times New Roman"/>
                <w:szCs w:val="21"/>
              </w:rPr>
            </w:pPr>
            <w:r>
              <w:rPr>
                <w:rFonts w:cs="Times New Roman"/>
                <w:szCs w:val="21"/>
              </w:rPr>
              <w:t>C</w:t>
            </w:r>
            <w:r>
              <w:rPr>
                <w:rFonts w:cs="Times New Roman"/>
                <w:szCs w:val="21"/>
                <w:vertAlign w:val="subscript"/>
              </w:rPr>
              <w:t>4</w:t>
            </w:r>
            <w:r>
              <w:rPr>
                <w:rFonts w:cs="Times New Roman"/>
                <w:szCs w:val="21"/>
              </w:rPr>
              <w:t>H</w:t>
            </w:r>
            <w:r>
              <w:rPr>
                <w:rFonts w:cs="Times New Roman"/>
                <w:szCs w:val="21"/>
                <w:vertAlign w:val="subscript"/>
              </w:rPr>
              <w:t>6</w:t>
            </w:r>
          </w:p>
        </w:tc>
      </w:tr>
      <w:tr w14:paraId="040F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4F6445F">
            <w:pPr>
              <w:pStyle w:val="78"/>
              <w:rPr>
                <w:rFonts w:cs="Times New Roman"/>
                <w:szCs w:val="21"/>
              </w:rPr>
            </w:pPr>
          </w:p>
        </w:tc>
        <w:tc>
          <w:tcPr>
            <w:tcW w:w="1559" w:type="dxa"/>
            <w:shd w:val="clear" w:color="000000" w:fill="FFFFFF"/>
            <w:vAlign w:val="center"/>
          </w:tcPr>
          <w:p w14:paraId="76A99A65">
            <w:pPr>
              <w:pStyle w:val="78"/>
              <w:rPr>
                <w:rFonts w:cs="Times New Roman"/>
                <w:szCs w:val="21"/>
              </w:rPr>
            </w:pPr>
            <w:r>
              <w:rPr>
                <w:rFonts w:cs="Times New Roman"/>
                <w:szCs w:val="21"/>
              </w:rPr>
              <w:t>分子量</w:t>
            </w:r>
          </w:p>
        </w:tc>
        <w:tc>
          <w:tcPr>
            <w:tcW w:w="3969" w:type="dxa"/>
            <w:shd w:val="clear" w:color="000000" w:fill="FFFFFF"/>
            <w:noWrap/>
            <w:vAlign w:val="center"/>
          </w:tcPr>
          <w:p w14:paraId="63950322">
            <w:pPr>
              <w:pStyle w:val="78"/>
              <w:rPr>
                <w:rFonts w:cs="Times New Roman"/>
                <w:szCs w:val="21"/>
              </w:rPr>
            </w:pPr>
            <w:r>
              <w:rPr>
                <w:rFonts w:cs="Times New Roman"/>
                <w:szCs w:val="21"/>
              </w:rPr>
              <w:t>58.12</w:t>
            </w:r>
          </w:p>
        </w:tc>
        <w:tc>
          <w:tcPr>
            <w:tcW w:w="3969" w:type="dxa"/>
            <w:shd w:val="clear" w:color="000000" w:fill="FFFFFF"/>
            <w:noWrap/>
            <w:vAlign w:val="center"/>
          </w:tcPr>
          <w:p w14:paraId="66A625A9">
            <w:pPr>
              <w:pStyle w:val="78"/>
              <w:rPr>
                <w:rFonts w:cs="Times New Roman"/>
                <w:szCs w:val="21"/>
              </w:rPr>
            </w:pPr>
            <w:r>
              <w:rPr>
                <w:rFonts w:cs="Times New Roman"/>
                <w:szCs w:val="21"/>
              </w:rPr>
              <w:t>56.11</w:t>
            </w:r>
          </w:p>
        </w:tc>
        <w:tc>
          <w:tcPr>
            <w:tcW w:w="3827" w:type="dxa"/>
            <w:shd w:val="clear" w:color="000000" w:fill="FFFFFF"/>
            <w:noWrap/>
            <w:vAlign w:val="center"/>
          </w:tcPr>
          <w:p w14:paraId="0EFFBD55">
            <w:pPr>
              <w:pStyle w:val="78"/>
              <w:rPr>
                <w:rFonts w:cs="Times New Roman"/>
                <w:szCs w:val="21"/>
              </w:rPr>
            </w:pPr>
            <w:r>
              <w:rPr>
                <w:rFonts w:cs="Times New Roman"/>
                <w:szCs w:val="21"/>
              </w:rPr>
              <w:t>54.09</w:t>
            </w:r>
          </w:p>
        </w:tc>
      </w:tr>
      <w:tr w14:paraId="5F28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343BE9C">
            <w:pPr>
              <w:pStyle w:val="78"/>
              <w:rPr>
                <w:rFonts w:cs="Times New Roman"/>
                <w:szCs w:val="21"/>
              </w:rPr>
            </w:pPr>
          </w:p>
        </w:tc>
        <w:tc>
          <w:tcPr>
            <w:tcW w:w="1559" w:type="dxa"/>
            <w:shd w:val="clear" w:color="000000" w:fill="FFFFFF"/>
            <w:vAlign w:val="center"/>
          </w:tcPr>
          <w:p w14:paraId="68F436EB">
            <w:pPr>
              <w:pStyle w:val="78"/>
              <w:rPr>
                <w:rFonts w:cs="Times New Roman"/>
                <w:szCs w:val="21"/>
              </w:rPr>
            </w:pPr>
            <w:r>
              <w:rPr>
                <w:rFonts w:cs="Times New Roman"/>
                <w:szCs w:val="21"/>
              </w:rPr>
              <w:t>外观性状</w:t>
            </w:r>
          </w:p>
        </w:tc>
        <w:tc>
          <w:tcPr>
            <w:tcW w:w="3969" w:type="dxa"/>
            <w:shd w:val="clear" w:color="000000" w:fill="FFFFFF"/>
            <w:vAlign w:val="center"/>
          </w:tcPr>
          <w:p w14:paraId="7BEBC3D0">
            <w:pPr>
              <w:pStyle w:val="78"/>
              <w:rPr>
                <w:rFonts w:cs="Times New Roman"/>
                <w:szCs w:val="21"/>
              </w:rPr>
            </w:pPr>
            <w:r>
              <w:rPr>
                <w:rFonts w:cs="Times New Roman"/>
                <w:szCs w:val="21"/>
              </w:rPr>
              <w:t>无色压缩或液化气体，有轻微的不愉快气味，纯品无味。</w:t>
            </w:r>
          </w:p>
        </w:tc>
        <w:tc>
          <w:tcPr>
            <w:tcW w:w="3969" w:type="dxa"/>
            <w:shd w:val="clear" w:color="000000" w:fill="FFFFFF"/>
            <w:vAlign w:val="center"/>
          </w:tcPr>
          <w:p w14:paraId="1EC3F8BA">
            <w:pPr>
              <w:pStyle w:val="78"/>
              <w:rPr>
                <w:rFonts w:cs="Times New Roman"/>
                <w:szCs w:val="21"/>
              </w:rPr>
            </w:pPr>
            <w:r>
              <w:rPr>
                <w:rFonts w:cs="Times New Roman"/>
                <w:szCs w:val="21"/>
              </w:rPr>
              <w:t>无色气体。</w:t>
            </w:r>
          </w:p>
        </w:tc>
        <w:tc>
          <w:tcPr>
            <w:tcW w:w="3827" w:type="dxa"/>
            <w:shd w:val="clear" w:color="000000" w:fill="FFFFFF"/>
            <w:vAlign w:val="center"/>
          </w:tcPr>
          <w:p w14:paraId="5F29BC47">
            <w:pPr>
              <w:pStyle w:val="78"/>
              <w:rPr>
                <w:rFonts w:cs="Times New Roman"/>
                <w:szCs w:val="21"/>
              </w:rPr>
            </w:pPr>
            <w:r>
              <w:rPr>
                <w:rFonts w:cs="Times New Roman"/>
                <w:szCs w:val="21"/>
              </w:rPr>
              <w:t>轻微芳香味无色气体。</w:t>
            </w:r>
          </w:p>
        </w:tc>
      </w:tr>
      <w:tr w14:paraId="6639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E0AD826">
            <w:pPr>
              <w:pStyle w:val="78"/>
              <w:rPr>
                <w:rFonts w:cs="Times New Roman"/>
                <w:szCs w:val="21"/>
              </w:rPr>
            </w:pPr>
          </w:p>
        </w:tc>
        <w:tc>
          <w:tcPr>
            <w:tcW w:w="1559" w:type="dxa"/>
            <w:shd w:val="clear" w:color="000000" w:fill="FFFFFF"/>
            <w:vAlign w:val="center"/>
          </w:tcPr>
          <w:p w14:paraId="41130179">
            <w:pPr>
              <w:pStyle w:val="78"/>
              <w:rPr>
                <w:rFonts w:cs="Times New Roman"/>
                <w:szCs w:val="21"/>
              </w:rPr>
            </w:pPr>
            <w:r>
              <w:rPr>
                <w:rFonts w:cs="Times New Roman"/>
                <w:szCs w:val="21"/>
              </w:rPr>
              <w:t>沸点，℃</w:t>
            </w:r>
          </w:p>
        </w:tc>
        <w:tc>
          <w:tcPr>
            <w:tcW w:w="3969" w:type="dxa"/>
            <w:shd w:val="clear" w:color="000000" w:fill="FFFFFF"/>
            <w:vAlign w:val="center"/>
          </w:tcPr>
          <w:p w14:paraId="112C465E">
            <w:pPr>
              <w:pStyle w:val="78"/>
              <w:rPr>
                <w:rFonts w:cs="Times New Roman"/>
                <w:szCs w:val="21"/>
              </w:rPr>
            </w:pPr>
            <w:r>
              <w:rPr>
                <w:rFonts w:cs="Times New Roman"/>
                <w:szCs w:val="21"/>
              </w:rPr>
              <w:t>-0.5</w:t>
            </w:r>
          </w:p>
        </w:tc>
        <w:tc>
          <w:tcPr>
            <w:tcW w:w="3969" w:type="dxa"/>
            <w:shd w:val="clear" w:color="000000" w:fill="FFFFFF"/>
            <w:vAlign w:val="center"/>
          </w:tcPr>
          <w:p w14:paraId="6A943B98">
            <w:pPr>
              <w:pStyle w:val="78"/>
              <w:rPr>
                <w:rFonts w:cs="Times New Roman"/>
                <w:szCs w:val="21"/>
              </w:rPr>
            </w:pPr>
            <w:r>
              <w:rPr>
                <w:rFonts w:cs="Times New Roman"/>
                <w:szCs w:val="21"/>
              </w:rPr>
              <w:t>-6.3/1-丁烯/</w:t>
            </w:r>
          </w:p>
        </w:tc>
        <w:tc>
          <w:tcPr>
            <w:tcW w:w="3827" w:type="dxa"/>
            <w:shd w:val="clear" w:color="000000" w:fill="FFFFFF"/>
            <w:vAlign w:val="center"/>
          </w:tcPr>
          <w:p w14:paraId="53BF1FF1">
            <w:pPr>
              <w:pStyle w:val="78"/>
              <w:rPr>
                <w:rFonts w:cs="Times New Roman"/>
                <w:szCs w:val="21"/>
              </w:rPr>
            </w:pPr>
            <w:r>
              <w:rPr>
                <w:rFonts w:cs="Times New Roman"/>
                <w:szCs w:val="21"/>
              </w:rPr>
              <w:t>-4.4</w:t>
            </w:r>
          </w:p>
        </w:tc>
      </w:tr>
      <w:tr w14:paraId="460C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E33EC79">
            <w:pPr>
              <w:pStyle w:val="78"/>
              <w:rPr>
                <w:rFonts w:cs="Times New Roman"/>
                <w:szCs w:val="21"/>
              </w:rPr>
            </w:pPr>
          </w:p>
        </w:tc>
        <w:tc>
          <w:tcPr>
            <w:tcW w:w="1559" w:type="dxa"/>
            <w:shd w:val="clear" w:color="000000" w:fill="FFFFFF"/>
            <w:vAlign w:val="center"/>
          </w:tcPr>
          <w:p w14:paraId="6903AEE1">
            <w:pPr>
              <w:pStyle w:val="78"/>
              <w:rPr>
                <w:rFonts w:cs="Times New Roman"/>
                <w:szCs w:val="21"/>
              </w:rPr>
            </w:pPr>
            <w:r>
              <w:rPr>
                <w:rFonts w:cs="Times New Roman"/>
                <w:szCs w:val="21"/>
              </w:rPr>
              <w:t>熔点，℃</w:t>
            </w:r>
          </w:p>
        </w:tc>
        <w:tc>
          <w:tcPr>
            <w:tcW w:w="3969" w:type="dxa"/>
            <w:shd w:val="clear" w:color="000000" w:fill="FFFFFF"/>
            <w:vAlign w:val="center"/>
          </w:tcPr>
          <w:p w14:paraId="4D58CE2C">
            <w:pPr>
              <w:pStyle w:val="78"/>
              <w:rPr>
                <w:rFonts w:cs="Times New Roman"/>
                <w:szCs w:val="21"/>
              </w:rPr>
            </w:pPr>
            <w:r>
              <w:rPr>
                <w:rFonts w:cs="Times New Roman"/>
                <w:szCs w:val="21"/>
              </w:rPr>
              <w:t>-138.4</w:t>
            </w:r>
          </w:p>
        </w:tc>
        <w:tc>
          <w:tcPr>
            <w:tcW w:w="3969" w:type="dxa"/>
            <w:shd w:val="clear" w:color="000000" w:fill="FFFFFF"/>
            <w:vAlign w:val="center"/>
          </w:tcPr>
          <w:p w14:paraId="62EA3F0E">
            <w:pPr>
              <w:pStyle w:val="78"/>
              <w:rPr>
                <w:rFonts w:cs="Times New Roman"/>
                <w:szCs w:val="21"/>
              </w:rPr>
            </w:pPr>
            <w:r>
              <w:rPr>
                <w:rFonts w:cs="Times New Roman"/>
                <w:szCs w:val="21"/>
              </w:rPr>
              <w:t>-145~-105.5</w:t>
            </w:r>
          </w:p>
        </w:tc>
        <w:tc>
          <w:tcPr>
            <w:tcW w:w="3827" w:type="dxa"/>
            <w:shd w:val="clear" w:color="000000" w:fill="FFFFFF"/>
            <w:vAlign w:val="center"/>
          </w:tcPr>
          <w:p w14:paraId="4F81EA74">
            <w:pPr>
              <w:pStyle w:val="78"/>
              <w:rPr>
                <w:rFonts w:cs="Times New Roman"/>
                <w:szCs w:val="21"/>
              </w:rPr>
            </w:pPr>
            <w:r>
              <w:rPr>
                <w:rFonts w:cs="Times New Roman"/>
                <w:szCs w:val="21"/>
              </w:rPr>
              <w:t>-108.9</w:t>
            </w:r>
          </w:p>
        </w:tc>
      </w:tr>
      <w:tr w14:paraId="32E1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61E5D2FF">
            <w:pPr>
              <w:pStyle w:val="78"/>
              <w:rPr>
                <w:rFonts w:cs="Times New Roman"/>
                <w:szCs w:val="21"/>
              </w:rPr>
            </w:pPr>
          </w:p>
        </w:tc>
        <w:tc>
          <w:tcPr>
            <w:tcW w:w="1559" w:type="dxa"/>
            <w:shd w:val="clear" w:color="000000" w:fill="FFFFFF"/>
            <w:vAlign w:val="center"/>
          </w:tcPr>
          <w:p w14:paraId="48DC68C9">
            <w:pPr>
              <w:pStyle w:val="78"/>
              <w:rPr>
                <w:rFonts w:cs="Times New Roman"/>
                <w:szCs w:val="21"/>
              </w:rPr>
            </w:pPr>
            <w:r>
              <w:rPr>
                <w:rFonts w:cs="Times New Roman"/>
                <w:szCs w:val="21"/>
              </w:rPr>
              <w:t>饱和蒸汽压，kPa</w:t>
            </w:r>
          </w:p>
        </w:tc>
        <w:tc>
          <w:tcPr>
            <w:tcW w:w="3969" w:type="dxa"/>
            <w:shd w:val="clear" w:color="000000" w:fill="FFFFFF"/>
            <w:vAlign w:val="center"/>
          </w:tcPr>
          <w:p w14:paraId="4AACD34A">
            <w:pPr>
              <w:pStyle w:val="78"/>
              <w:rPr>
                <w:rFonts w:cs="Times New Roman"/>
                <w:szCs w:val="21"/>
              </w:rPr>
            </w:pPr>
            <w:r>
              <w:rPr>
                <w:rFonts w:cs="Times New Roman"/>
                <w:szCs w:val="21"/>
              </w:rPr>
              <w:t>213.7(21.1℃)</w:t>
            </w:r>
          </w:p>
        </w:tc>
        <w:tc>
          <w:tcPr>
            <w:tcW w:w="3969" w:type="dxa"/>
            <w:shd w:val="clear" w:color="000000" w:fill="FFFFFF"/>
            <w:vAlign w:val="center"/>
          </w:tcPr>
          <w:p w14:paraId="6332A9C7">
            <w:pPr>
              <w:pStyle w:val="78"/>
              <w:rPr>
                <w:rFonts w:cs="Times New Roman"/>
                <w:szCs w:val="21"/>
              </w:rPr>
            </w:pPr>
            <w:r>
              <w:rPr>
                <w:rFonts w:cs="Times New Roman"/>
                <w:szCs w:val="21"/>
              </w:rPr>
              <w:t>1160(25°C)；1100(25°C)；484-605(25°C)</w:t>
            </w:r>
          </w:p>
        </w:tc>
        <w:tc>
          <w:tcPr>
            <w:tcW w:w="3827" w:type="dxa"/>
            <w:shd w:val="clear" w:color="000000" w:fill="FFFFFF"/>
            <w:vAlign w:val="center"/>
          </w:tcPr>
          <w:p w14:paraId="29A826B7">
            <w:pPr>
              <w:pStyle w:val="78"/>
              <w:rPr>
                <w:rFonts w:cs="Times New Roman"/>
                <w:szCs w:val="21"/>
              </w:rPr>
            </w:pPr>
            <w:r>
              <w:rPr>
                <w:rFonts w:cs="Times New Roman"/>
                <w:szCs w:val="21"/>
              </w:rPr>
              <w:t>245.27(21℃)</w:t>
            </w:r>
          </w:p>
        </w:tc>
      </w:tr>
      <w:tr w14:paraId="412A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21053B15">
            <w:pPr>
              <w:pStyle w:val="78"/>
              <w:rPr>
                <w:rFonts w:cs="Times New Roman"/>
                <w:szCs w:val="21"/>
              </w:rPr>
            </w:pPr>
            <w:r>
              <w:rPr>
                <w:rFonts w:cs="Times New Roman"/>
                <w:szCs w:val="21"/>
              </w:rPr>
              <w:t>危险性类别</w:t>
            </w:r>
          </w:p>
        </w:tc>
        <w:tc>
          <w:tcPr>
            <w:tcW w:w="3969" w:type="dxa"/>
            <w:shd w:val="clear" w:color="000000" w:fill="FFFFFF"/>
            <w:vAlign w:val="center"/>
          </w:tcPr>
          <w:p w14:paraId="60B85BA9">
            <w:pPr>
              <w:pStyle w:val="78"/>
              <w:rPr>
                <w:rFonts w:cs="Times New Roman"/>
                <w:szCs w:val="21"/>
              </w:rPr>
            </w:pPr>
            <w:r>
              <w:rPr>
                <w:rFonts w:cs="Times New Roman"/>
                <w:szCs w:val="21"/>
              </w:rPr>
              <w:t>易燃气体,类别1,加压气体,</w:t>
            </w:r>
          </w:p>
        </w:tc>
        <w:tc>
          <w:tcPr>
            <w:tcW w:w="3969" w:type="dxa"/>
            <w:shd w:val="clear" w:color="000000" w:fill="FFFFFF"/>
            <w:vAlign w:val="center"/>
          </w:tcPr>
          <w:p w14:paraId="1BA143BB">
            <w:pPr>
              <w:pStyle w:val="78"/>
              <w:rPr>
                <w:rFonts w:cs="Times New Roman"/>
                <w:szCs w:val="21"/>
              </w:rPr>
            </w:pPr>
            <w:r>
              <w:rPr>
                <w:rFonts w:cs="Times New Roman"/>
                <w:szCs w:val="21"/>
              </w:rPr>
              <w:t>易燃气体,类别1,加压气体,液化气体</w:t>
            </w:r>
          </w:p>
        </w:tc>
        <w:tc>
          <w:tcPr>
            <w:tcW w:w="3827" w:type="dxa"/>
            <w:shd w:val="clear" w:color="000000" w:fill="FFFFFF"/>
            <w:vAlign w:val="center"/>
          </w:tcPr>
          <w:p w14:paraId="14B00E8A">
            <w:pPr>
              <w:pStyle w:val="78"/>
              <w:rPr>
                <w:rFonts w:cs="Times New Roman"/>
                <w:szCs w:val="21"/>
              </w:rPr>
            </w:pPr>
            <w:r>
              <w:rPr>
                <w:rFonts w:cs="Times New Roman"/>
                <w:szCs w:val="21"/>
              </w:rPr>
              <w:t>易燃气体,类别1,加压气体,,生殖细胞致突变性,类别1B,致癌性,类别1A</w:t>
            </w:r>
          </w:p>
        </w:tc>
      </w:tr>
      <w:tr w14:paraId="35A3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16A59D0D">
            <w:pPr>
              <w:pStyle w:val="78"/>
              <w:rPr>
                <w:rFonts w:cs="Times New Roman"/>
                <w:szCs w:val="21"/>
              </w:rPr>
            </w:pPr>
            <w:r>
              <w:rPr>
                <w:rFonts w:cs="Times New Roman"/>
                <w:szCs w:val="21"/>
              </w:rPr>
              <w:t>危险特性</w:t>
            </w:r>
          </w:p>
        </w:tc>
        <w:tc>
          <w:tcPr>
            <w:tcW w:w="3969" w:type="dxa"/>
            <w:shd w:val="clear" w:color="000000" w:fill="FFFFFF"/>
            <w:vAlign w:val="center"/>
          </w:tcPr>
          <w:p w14:paraId="6A86C094">
            <w:pPr>
              <w:pStyle w:val="78"/>
              <w:rPr>
                <w:rFonts w:cs="Times New Roman"/>
                <w:szCs w:val="21"/>
              </w:rPr>
            </w:pPr>
            <w:r>
              <w:rPr>
                <w:rFonts w:cs="Times New Roman"/>
                <w:szCs w:val="21"/>
              </w:rPr>
              <w:t>极易燃，与空气混合能形成爆炸性混合物。</w:t>
            </w:r>
          </w:p>
          <w:p w14:paraId="4E96EB32">
            <w:pPr>
              <w:pStyle w:val="78"/>
              <w:rPr>
                <w:rFonts w:cs="Times New Roman"/>
                <w:szCs w:val="21"/>
              </w:rPr>
            </w:pPr>
            <w:r>
              <w:rPr>
                <w:rFonts w:cs="Times New Roman"/>
                <w:szCs w:val="21"/>
              </w:rPr>
              <w:t>与强氧化剂等禁配物接触，有发生火灾和爆炸的危险。</w:t>
            </w:r>
          </w:p>
        </w:tc>
        <w:tc>
          <w:tcPr>
            <w:tcW w:w="3969" w:type="dxa"/>
            <w:shd w:val="clear" w:color="000000" w:fill="FFFFFF"/>
            <w:vAlign w:val="center"/>
          </w:tcPr>
          <w:p w14:paraId="0EC9B98E">
            <w:pPr>
              <w:pStyle w:val="78"/>
              <w:rPr>
                <w:rFonts w:cs="Times New Roman"/>
                <w:szCs w:val="21"/>
              </w:rPr>
            </w:pPr>
            <w:r>
              <w:rPr>
                <w:rFonts w:cs="Times New Roman"/>
                <w:szCs w:val="21"/>
              </w:rPr>
              <w:t>极易燃气体，内装加压气体；遇热可能爆炸。</w:t>
            </w:r>
          </w:p>
          <w:p w14:paraId="6BE02EA3">
            <w:pPr>
              <w:pStyle w:val="78"/>
              <w:rPr>
                <w:rFonts w:cs="Times New Roman"/>
                <w:szCs w:val="21"/>
              </w:rPr>
            </w:pPr>
            <w:r>
              <w:rPr>
                <w:rFonts w:cs="Times New Roman"/>
                <w:szCs w:val="21"/>
              </w:rPr>
              <w:t>与强氧化剂接触，有发生火灾和爆炸的危险。</w:t>
            </w:r>
          </w:p>
        </w:tc>
        <w:tc>
          <w:tcPr>
            <w:tcW w:w="3827" w:type="dxa"/>
            <w:shd w:val="clear" w:color="000000" w:fill="FFFFFF"/>
            <w:vAlign w:val="center"/>
          </w:tcPr>
          <w:p w14:paraId="126A09F2">
            <w:pPr>
              <w:pStyle w:val="78"/>
              <w:rPr>
                <w:rFonts w:cs="Times New Roman"/>
                <w:szCs w:val="21"/>
              </w:rPr>
            </w:pPr>
            <w:r>
              <w:rPr>
                <w:rFonts w:cs="Times New Roman"/>
                <w:szCs w:val="21"/>
              </w:rPr>
              <w:t>极易燃，与空气混合能形成爆炸性混合物。</w:t>
            </w:r>
          </w:p>
          <w:p w14:paraId="090C3D98">
            <w:pPr>
              <w:pStyle w:val="78"/>
              <w:rPr>
                <w:rFonts w:cs="Times New Roman"/>
                <w:szCs w:val="21"/>
              </w:rPr>
            </w:pPr>
            <w:r>
              <w:rPr>
                <w:rFonts w:cs="Times New Roman"/>
                <w:szCs w:val="21"/>
              </w:rPr>
              <w:t>与强氧化剂、卤素等禁配物接触，有发生火灾和爆炸的危险。</w:t>
            </w:r>
          </w:p>
        </w:tc>
      </w:tr>
      <w:tr w14:paraId="4056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600869A3">
            <w:pPr>
              <w:pStyle w:val="78"/>
              <w:rPr>
                <w:rFonts w:cs="Times New Roman"/>
                <w:szCs w:val="21"/>
              </w:rPr>
            </w:pPr>
            <w:r>
              <w:rPr>
                <w:rFonts w:cs="Times New Roman"/>
                <w:szCs w:val="21"/>
              </w:rPr>
              <w:t>禁忌物</w:t>
            </w:r>
          </w:p>
        </w:tc>
        <w:tc>
          <w:tcPr>
            <w:tcW w:w="3969" w:type="dxa"/>
            <w:shd w:val="clear" w:color="000000" w:fill="FFFFFF"/>
            <w:vAlign w:val="center"/>
          </w:tcPr>
          <w:p w14:paraId="3DC98CCC">
            <w:pPr>
              <w:pStyle w:val="78"/>
              <w:rPr>
                <w:rFonts w:cs="Times New Roman"/>
                <w:szCs w:val="21"/>
              </w:rPr>
            </w:pPr>
            <w:r>
              <w:rPr>
                <w:rFonts w:cs="Times New Roman"/>
                <w:szCs w:val="21"/>
              </w:rPr>
              <w:t>强氧化剂、强酸、强碱、卤素。</w:t>
            </w:r>
          </w:p>
        </w:tc>
        <w:tc>
          <w:tcPr>
            <w:tcW w:w="3969" w:type="dxa"/>
            <w:shd w:val="clear" w:color="000000" w:fill="FFFFFF"/>
            <w:vAlign w:val="center"/>
          </w:tcPr>
          <w:p w14:paraId="782B4E3D">
            <w:pPr>
              <w:pStyle w:val="78"/>
              <w:rPr>
                <w:rFonts w:cs="Times New Roman"/>
                <w:szCs w:val="21"/>
              </w:rPr>
            </w:pPr>
            <w:r>
              <w:rPr>
                <w:rFonts w:cs="Times New Roman"/>
                <w:szCs w:val="21"/>
              </w:rPr>
              <w:t>氧化剂、卤素。</w:t>
            </w:r>
          </w:p>
        </w:tc>
        <w:tc>
          <w:tcPr>
            <w:tcW w:w="3827" w:type="dxa"/>
            <w:shd w:val="clear" w:color="000000" w:fill="FFFFFF"/>
            <w:vAlign w:val="center"/>
          </w:tcPr>
          <w:p w14:paraId="30657C16">
            <w:pPr>
              <w:pStyle w:val="78"/>
              <w:rPr>
                <w:rFonts w:cs="Times New Roman"/>
                <w:szCs w:val="21"/>
              </w:rPr>
            </w:pPr>
            <w:r>
              <w:rPr>
                <w:rFonts w:cs="Times New Roman"/>
                <w:szCs w:val="21"/>
              </w:rPr>
              <w:t>强氧化剂、卤素、氧、铜合金、酸类。</w:t>
            </w:r>
          </w:p>
        </w:tc>
      </w:tr>
      <w:tr w14:paraId="6B17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45948C1F">
            <w:pPr>
              <w:pStyle w:val="78"/>
              <w:rPr>
                <w:rFonts w:cs="Times New Roman"/>
                <w:szCs w:val="21"/>
              </w:rPr>
            </w:pPr>
            <w:r>
              <w:rPr>
                <w:rFonts w:cs="Times New Roman"/>
                <w:szCs w:val="21"/>
              </w:rPr>
              <w:t>毒性及健康危害</w:t>
            </w:r>
          </w:p>
        </w:tc>
        <w:tc>
          <w:tcPr>
            <w:tcW w:w="1559" w:type="dxa"/>
            <w:shd w:val="clear" w:color="000000" w:fill="FFFFFF"/>
            <w:vAlign w:val="center"/>
          </w:tcPr>
          <w:p w14:paraId="6ED04FDC">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48949984">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：658000ppm（大鼠吸入，4h）</w:t>
            </w:r>
          </w:p>
        </w:tc>
        <w:tc>
          <w:tcPr>
            <w:tcW w:w="3969" w:type="dxa"/>
            <w:shd w:val="clear" w:color="000000" w:fill="FFFFFF"/>
            <w:vAlign w:val="center"/>
          </w:tcPr>
          <w:p w14:paraId="07D23AB1">
            <w:pPr>
              <w:pStyle w:val="78"/>
              <w:rPr>
                <w:rFonts w:cs="Times New Roman"/>
                <w:szCs w:val="21"/>
              </w:rPr>
            </w:pPr>
            <w:r>
              <w:rPr>
                <w:rFonts w:cs="Times New Roman"/>
                <w:szCs w:val="21"/>
              </w:rPr>
              <w:t>/</w:t>
            </w:r>
          </w:p>
        </w:tc>
        <w:tc>
          <w:tcPr>
            <w:tcW w:w="3827" w:type="dxa"/>
            <w:shd w:val="clear" w:color="000000" w:fill="FFFFFF"/>
            <w:vAlign w:val="center"/>
          </w:tcPr>
          <w:p w14:paraId="272254B2">
            <w:pPr>
              <w:pStyle w:val="78"/>
              <w:rPr>
                <w:rFonts w:cs="Times New Roman"/>
                <w:szCs w:val="21"/>
              </w:rPr>
            </w:pPr>
            <w:r>
              <w:rPr>
                <w:rFonts w:cs="Times New Roman"/>
                <w:szCs w:val="21"/>
              </w:rPr>
              <w:t>LD</w:t>
            </w:r>
            <w:r>
              <w:rPr>
                <w:rFonts w:cs="Times New Roman"/>
                <w:szCs w:val="21"/>
                <w:vertAlign w:val="subscript"/>
              </w:rPr>
              <w:t>50</w:t>
            </w:r>
            <w:r>
              <w:rPr>
                <w:rFonts w:cs="Times New Roman"/>
                <w:szCs w:val="21"/>
              </w:rPr>
              <w:t>：5480mg/kg（大鼠经口）；3210mg/kg（小鼠经口）</w:t>
            </w:r>
            <w:r>
              <w:rPr>
                <w:rFonts w:cs="Times New Roman"/>
                <w:szCs w:val="21"/>
              </w:rPr>
              <w:br w:type="textWrapping"/>
            </w:r>
            <w:r>
              <w:rPr>
                <w:rFonts w:cs="Times New Roman"/>
                <w:szCs w:val="21"/>
              </w:rPr>
              <w:t>LC</w:t>
            </w:r>
            <w:r>
              <w:rPr>
                <w:rFonts w:cs="Times New Roman"/>
                <w:szCs w:val="21"/>
                <w:vertAlign w:val="subscript"/>
              </w:rPr>
              <w:t>50</w:t>
            </w:r>
            <w:r>
              <w:rPr>
                <w:rFonts w:cs="Times New Roman"/>
                <w:szCs w:val="21"/>
              </w:rPr>
              <w:t>：285000mg/m3（大鼠吸入，4h）；259ppm（小鼠吸入，7h）</w:t>
            </w:r>
          </w:p>
        </w:tc>
      </w:tr>
      <w:tr w14:paraId="4BEF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0E8301D">
            <w:pPr>
              <w:pStyle w:val="78"/>
              <w:rPr>
                <w:rFonts w:cs="Times New Roman"/>
                <w:szCs w:val="21"/>
              </w:rPr>
            </w:pPr>
          </w:p>
        </w:tc>
        <w:tc>
          <w:tcPr>
            <w:tcW w:w="1559" w:type="dxa"/>
            <w:shd w:val="clear" w:color="000000" w:fill="FFFFFF"/>
            <w:vAlign w:val="center"/>
          </w:tcPr>
          <w:p w14:paraId="368A769E">
            <w:pPr>
              <w:pStyle w:val="78"/>
              <w:rPr>
                <w:rFonts w:cs="Times New Roman"/>
                <w:szCs w:val="21"/>
              </w:rPr>
            </w:pPr>
            <w:r>
              <w:rPr>
                <w:rFonts w:cs="Times New Roman"/>
                <w:szCs w:val="21"/>
              </w:rPr>
              <w:t>中毒途径</w:t>
            </w:r>
          </w:p>
        </w:tc>
        <w:tc>
          <w:tcPr>
            <w:tcW w:w="3969" w:type="dxa"/>
            <w:shd w:val="clear" w:color="000000" w:fill="FFFFFF"/>
            <w:noWrap/>
            <w:vAlign w:val="center"/>
          </w:tcPr>
          <w:p w14:paraId="78F55A12">
            <w:pPr>
              <w:pStyle w:val="78"/>
              <w:rPr>
                <w:rFonts w:cs="Times New Roman"/>
                <w:szCs w:val="21"/>
              </w:rPr>
            </w:pPr>
            <w:r>
              <w:rPr>
                <w:rFonts w:cs="Times New Roman"/>
                <w:szCs w:val="21"/>
              </w:rPr>
              <w:t>吸入</w:t>
            </w:r>
          </w:p>
        </w:tc>
        <w:tc>
          <w:tcPr>
            <w:tcW w:w="3969" w:type="dxa"/>
            <w:shd w:val="clear" w:color="000000" w:fill="FFFFFF"/>
            <w:noWrap/>
            <w:vAlign w:val="center"/>
          </w:tcPr>
          <w:p w14:paraId="778D5A19">
            <w:pPr>
              <w:pStyle w:val="78"/>
              <w:rPr>
                <w:rFonts w:cs="Times New Roman"/>
                <w:szCs w:val="21"/>
              </w:rPr>
            </w:pPr>
            <w:r>
              <w:rPr>
                <w:rFonts w:cs="Times New Roman"/>
                <w:szCs w:val="21"/>
              </w:rPr>
              <w:t>/</w:t>
            </w:r>
          </w:p>
        </w:tc>
        <w:tc>
          <w:tcPr>
            <w:tcW w:w="3827" w:type="dxa"/>
            <w:shd w:val="clear" w:color="000000" w:fill="FFFFFF"/>
            <w:noWrap/>
            <w:vAlign w:val="center"/>
          </w:tcPr>
          <w:p w14:paraId="04C67123">
            <w:pPr>
              <w:pStyle w:val="78"/>
              <w:rPr>
                <w:rFonts w:cs="Times New Roman"/>
                <w:szCs w:val="21"/>
              </w:rPr>
            </w:pPr>
            <w:r>
              <w:rPr>
                <w:rFonts w:cs="Times New Roman"/>
                <w:szCs w:val="21"/>
              </w:rPr>
              <w:t>吸入、食入、皮肤接触</w:t>
            </w:r>
          </w:p>
        </w:tc>
      </w:tr>
      <w:tr w14:paraId="35A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D337048">
            <w:pPr>
              <w:pStyle w:val="78"/>
              <w:rPr>
                <w:rFonts w:cs="Times New Roman"/>
                <w:szCs w:val="21"/>
              </w:rPr>
            </w:pPr>
          </w:p>
        </w:tc>
        <w:tc>
          <w:tcPr>
            <w:tcW w:w="1559" w:type="dxa"/>
            <w:shd w:val="clear" w:color="000000" w:fill="FFFFFF"/>
            <w:vAlign w:val="center"/>
          </w:tcPr>
          <w:p w14:paraId="29674383">
            <w:pPr>
              <w:pStyle w:val="78"/>
              <w:rPr>
                <w:rFonts w:cs="Times New Roman"/>
                <w:szCs w:val="21"/>
              </w:rPr>
            </w:pPr>
            <w:r>
              <w:rPr>
                <w:rFonts w:cs="Times New Roman"/>
                <w:szCs w:val="21"/>
              </w:rPr>
              <w:t>健康危害</w:t>
            </w:r>
          </w:p>
        </w:tc>
        <w:tc>
          <w:tcPr>
            <w:tcW w:w="3969" w:type="dxa"/>
            <w:shd w:val="clear" w:color="000000" w:fill="FFFFFF"/>
            <w:vAlign w:val="center"/>
          </w:tcPr>
          <w:p w14:paraId="7995CBC2">
            <w:pPr>
              <w:pStyle w:val="78"/>
              <w:rPr>
                <w:rFonts w:cs="Times New Roman"/>
                <w:szCs w:val="21"/>
              </w:rPr>
            </w:pPr>
            <w:r>
              <w:rPr>
                <w:rFonts w:cs="Times New Roman"/>
                <w:szCs w:val="21"/>
              </w:rPr>
              <w:t>高浓度有窒息和麻醉作用。急性中毒：主要症状有头晕、头痛、嗜睡和酒醉状态，严重者可昏迷。</w:t>
            </w:r>
            <w:r>
              <w:rPr>
                <w:rFonts w:cs="Times New Roman"/>
                <w:szCs w:val="21"/>
              </w:rPr>
              <w:br w:type="textWrapping"/>
            </w:r>
            <w:r>
              <w:rPr>
                <w:rFonts w:cs="Times New Roman"/>
                <w:szCs w:val="21"/>
              </w:rPr>
              <w:t>皮肤接触液态本品可引起冻伤。慢性影响：接触以丁烷为主的工人有头晕、头痛、睡眠不佳、疲倦等。</w:t>
            </w:r>
          </w:p>
        </w:tc>
        <w:tc>
          <w:tcPr>
            <w:tcW w:w="3969" w:type="dxa"/>
            <w:shd w:val="clear" w:color="000000" w:fill="FFFFFF"/>
            <w:vAlign w:val="center"/>
          </w:tcPr>
          <w:p w14:paraId="02B6C326">
            <w:pPr>
              <w:pStyle w:val="78"/>
              <w:rPr>
                <w:rFonts w:cs="Times New Roman"/>
                <w:szCs w:val="21"/>
              </w:rPr>
            </w:pPr>
            <w:r>
              <w:rPr>
                <w:rFonts w:cs="Times New Roman"/>
                <w:szCs w:val="21"/>
              </w:rPr>
              <w:t>/</w:t>
            </w:r>
          </w:p>
        </w:tc>
        <w:tc>
          <w:tcPr>
            <w:tcW w:w="3827" w:type="dxa"/>
            <w:shd w:val="clear" w:color="000000" w:fill="FFFFFF"/>
            <w:vAlign w:val="center"/>
          </w:tcPr>
          <w:p w14:paraId="38692B0C">
            <w:pPr>
              <w:pStyle w:val="78"/>
              <w:rPr>
                <w:rFonts w:cs="Times New Roman"/>
                <w:szCs w:val="21"/>
              </w:rPr>
            </w:pPr>
            <w:r>
              <w:rPr>
                <w:rFonts w:cs="Times New Roman"/>
                <w:szCs w:val="21"/>
              </w:rPr>
              <w:t>本品具有麻醉和刺激作用。急性中毒：轻者有头痛、头晕、恶心、咽痛、耳鸣、全身乏力、嗜睡等。重者出现酒醉状态、呼吸困难、脉速等，后转入意识丧失和抽搐，有时也可有烦躁不安、到处乱跑等精神症状。脱离接触后，迅速恢复。头痛和嗜睡有时可持续一段时间。皮肤直接接触丁二烯可发生灼伤或冻伤。</w:t>
            </w:r>
            <w:r>
              <w:rPr>
                <w:rFonts w:cs="Times New Roman"/>
                <w:szCs w:val="21"/>
              </w:rPr>
              <w:br w:type="textWrapping"/>
            </w:r>
            <w:r>
              <w:rPr>
                <w:rFonts w:cs="Times New Roman"/>
                <w:szCs w:val="21"/>
              </w:rPr>
              <w:t>慢性影响：长期接触一定浓度的丁二烯可出现头痛、头晕、全身乏力、失眠、多梦、记忆力减退、恶心、心悸等症状。偶见皮炎和多发性神经炎。</w:t>
            </w:r>
          </w:p>
        </w:tc>
      </w:tr>
      <w:tr w14:paraId="02B9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06AFD8F">
            <w:pPr>
              <w:pStyle w:val="78"/>
              <w:rPr>
                <w:rFonts w:cs="Times New Roman"/>
                <w:szCs w:val="21"/>
              </w:rPr>
            </w:pPr>
          </w:p>
        </w:tc>
        <w:tc>
          <w:tcPr>
            <w:tcW w:w="1559" w:type="dxa"/>
            <w:shd w:val="clear" w:color="000000" w:fill="FFFFFF"/>
            <w:noWrap/>
            <w:vAlign w:val="center"/>
          </w:tcPr>
          <w:p w14:paraId="438E12AB">
            <w:pPr>
              <w:pStyle w:val="78"/>
              <w:rPr>
                <w:rFonts w:cs="Times New Roman"/>
                <w:szCs w:val="21"/>
              </w:rPr>
            </w:pPr>
            <w:r>
              <w:rPr>
                <w:rFonts w:cs="Times New Roman"/>
                <w:szCs w:val="21"/>
              </w:rPr>
              <w:t>环境危害</w:t>
            </w:r>
          </w:p>
        </w:tc>
        <w:tc>
          <w:tcPr>
            <w:tcW w:w="3969" w:type="dxa"/>
            <w:shd w:val="clear" w:color="000000" w:fill="FFFFFF"/>
            <w:vAlign w:val="center"/>
          </w:tcPr>
          <w:p w14:paraId="3C6EFB0B">
            <w:pPr>
              <w:pStyle w:val="78"/>
              <w:rPr>
                <w:rFonts w:cs="Times New Roman"/>
                <w:szCs w:val="21"/>
              </w:rPr>
            </w:pPr>
            <w:r>
              <w:rPr>
                <w:rFonts w:cs="Times New Roman"/>
                <w:szCs w:val="21"/>
              </w:rPr>
              <w:t>对环境可能有害。</w:t>
            </w:r>
          </w:p>
        </w:tc>
        <w:tc>
          <w:tcPr>
            <w:tcW w:w="3969" w:type="dxa"/>
            <w:shd w:val="clear" w:color="000000" w:fill="FFFFFF"/>
            <w:vAlign w:val="center"/>
          </w:tcPr>
          <w:p w14:paraId="08A1B56F">
            <w:pPr>
              <w:pStyle w:val="78"/>
              <w:rPr>
                <w:rFonts w:cs="Times New Roman"/>
                <w:szCs w:val="21"/>
              </w:rPr>
            </w:pPr>
            <w:r>
              <w:rPr>
                <w:rFonts w:cs="Times New Roman"/>
                <w:szCs w:val="21"/>
              </w:rPr>
              <w:t>/</w:t>
            </w:r>
          </w:p>
        </w:tc>
        <w:tc>
          <w:tcPr>
            <w:tcW w:w="3827" w:type="dxa"/>
            <w:shd w:val="clear" w:color="000000" w:fill="FFFFFF"/>
            <w:vAlign w:val="center"/>
          </w:tcPr>
          <w:p w14:paraId="3EBA0E09">
            <w:pPr>
              <w:pStyle w:val="78"/>
              <w:rPr>
                <w:rFonts w:cs="Times New Roman"/>
                <w:szCs w:val="21"/>
              </w:rPr>
            </w:pPr>
            <w:r>
              <w:rPr>
                <w:rFonts w:cs="Times New Roman"/>
                <w:szCs w:val="21"/>
              </w:rPr>
              <w:t>对环境可能有害。</w:t>
            </w:r>
          </w:p>
        </w:tc>
      </w:tr>
      <w:tr w14:paraId="4E17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168A67A0">
            <w:pPr>
              <w:pStyle w:val="78"/>
              <w:rPr>
                <w:rFonts w:cs="Times New Roman"/>
                <w:szCs w:val="21"/>
              </w:rPr>
            </w:pPr>
            <w:r>
              <w:rPr>
                <w:rFonts w:cs="Times New Roman"/>
                <w:szCs w:val="21"/>
              </w:rPr>
              <w:t>应急措施</w:t>
            </w:r>
          </w:p>
        </w:tc>
        <w:tc>
          <w:tcPr>
            <w:tcW w:w="1559" w:type="dxa"/>
            <w:shd w:val="clear" w:color="000000" w:fill="FFFFFF"/>
            <w:noWrap/>
            <w:vAlign w:val="center"/>
          </w:tcPr>
          <w:p w14:paraId="56B62DE2">
            <w:pPr>
              <w:pStyle w:val="78"/>
              <w:rPr>
                <w:rFonts w:cs="Times New Roman"/>
                <w:szCs w:val="21"/>
              </w:rPr>
            </w:pPr>
            <w:r>
              <w:rPr>
                <w:rFonts w:cs="Times New Roman"/>
                <w:szCs w:val="21"/>
              </w:rPr>
              <w:t>急救措施</w:t>
            </w:r>
          </w:p>
        </w:tc>
        <w:tc>
          <w:tcPr>
            <w:tcW w:w="3969" w:type="dxa"/>
            <w:shd w:val="clear" w:color="000000" w:fill="FFFFFF"/>
            <w:vAlign w:val="center"/>
          </w:tcPr>
          <w:p w14:paraId="260B0FE5">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不会通过该途径接触。如发生冻伤，用温水（38℃～42℃）复温，忌用热水或辐射热，不要揉搓。就医。先用大量水冲洗几分钟（如可能易行，摘除隐形眼镜），然后就医。</w:t>
            </w:r>
          </w:p>
        </w:tc>
        <w:tc>
          <w:tcPr>
            <w:tcW w:w="3969" w:type="dxa"/>
            <w:shd w:val="clear" w:color="000000" w:fill="FFFFFF"/>
            <w:vAlign w:val="center"/>
          </w:tcPr>
          <w:p w14:paraId="116D8109">
            <w:pPr>
              <w:pStyle w:val="78"/>
              <w:rPr>
                <w:rFonts w:cs="Times New Roman"/>
                <w:szCs w:val="21"/>
              </w:rPr>
            </w:pPr>
            <w:r>
              <w:rPr>
                <w:rFonts w:cs="Times New Roman"/>
                <w:szCs w:val="21"/>
              </w:rPr>
              <w:t>迅速脱离现场至空气新鲜处。保持呼吸道通畅。如呼吸困难，给输氧。呼吸、心跳停止，立即进行心肺复苏术。就医。不会通过该途径接触。不会通过该途径接触。不会通过该途径接触。</w:t>
            </w:r>
          </w:p>
        </w:tc>
        <w:tc>
          <w:tcPr>
            <w:tcW w:w="3827" w:type="dxa"/>
            <w:shd w:val="clear" w:color="000000" w:fill="FFFFFF"/>
            <w:vAlign w:val="center"/>
          </w:tcPr>
          <w:p w14:paraId="30FBFCA1">
            <w:pPr>
              <w:pStyle w:val="78"/>
              <w:rPr>
                <w:rFonts w:cs="Times New Roman"/>
                <w:szCs w:val="21"/>
              </w:rPr>
            </w:pPr>
            <w:r>
              <w:rPr>
                <w:rFonts w:cs="Times New Roman"/>
                <w:szCs w:val="21"/>
              </w:rPr>
              <w:t>迅速脱离现场至空气新鲜处。保持呼吸道通畅。如呼吸困难，给输氧。呼吸、心跳停止，立即进行心肺复苏术。就医。</w:t>
            </w:r>
            <w:r>
              <w:rPr>
                <w:rFonts w:cs="Times New Roman"/>
                <w:szCs w:val="21"/>
              </w:rPr>
              <w:br w:type="textWrapping"/>
            </w:r>
            <w:r>
              <w:rPr>
                <w:rFonts w:cs="Times New Roman"/>
                <w:szCs w:val="21"/>
              </w:rPr>
              <w:t>不会通过该途径接触。如发生冻伤，用温水（38℃～42℃）复温，忌用热水或辐射热，不要揉搓。就医。先用大量水冲洗几分钟（如可能易行，摘除隐形眼镜），然后就医。</w:t>
            </w:r>
          </w:p>
        </w:tc>
      </w:tr>
      <w:tr w14:paraId="63F3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5025348">
            <w:pPr>
              <w:pStyle w:val="78"/>
              <w:rPr>
                <w:rFonts w:cs="Times New Roman"/>
                <w:szCs w:val="21"/>
              </w:rPr>
            </w:pPr>
          </w:p>
        </w:tc>
        <w:tc>
          <w:tcPr>
            <w:tcW w:w="1559" w:type="dxa"/>
            <w:shd w:val="clear" w:color="000000" w:fill="FFFFFF"/>
            <w:vAlign w:val="center"/>
          </w:tcPr>
          <w:p w14:paraId="7541F76D">
            <w:pPr>
              <w:pStyle w:val="78"/>
              <w:rPr>
                <w:rFonts w:cs="Times New Roman"/>
                <w:szCs w:val="21"/>
              </w:rPr>
            </w:pPr>
            <w:r>
              <w:rPr>
                <w:rFonts w:cs="Times New Roman"/>
                <w:szCs w:val="21"/>
              </w:rPr>
              <w:t>泄漏应急处置</w:t>
            </w:r>
          </w:p>
        </w:tc>
        <w:tc>
          <w:tcPr>
            <w:tcW w:w="3969" w:type="dxa"/>
            <w:shd w:val="clear" w:color="000000" w:fill="FFFFFF"/>
            <w:vAlign w:val="center"/>
          </w:tcPr>
          <w:p w14:paraId="7EBDFD9D">
            <w:pPr>
              <w:pStyle w:val="78"/>
              <w:rPr>
                <w:rFonts w:cs="Times New Roman"/>
                <w:szCs w:val="21"/>
              </w:rPr>
            </w:pPr>
            <w:r>
              <w:rPr>
                <w:rFonts w:cs="Times New Roman"/>
                <w:szCs w:val="21"/>
              </w:rPr>
              <w:t>隔离泄漏区直至气体散尽。</w:t>
            </w:r>
          </w:p>
        </w:tc>
        <w:tc>
          <w:tcPr>
            <w:tcW w:w="3969" w:type="dxa"/>
            <w:shd w:val="clear" w:color="000000" w:fill="FFFFFF"/>
            <w:vAlign w:val="center"/>
          </w:tcPr>
          <w:p w14:paraId="59B77B53">
            <w:pPr>
              <w:pStyle w:val="78"/>
              <w:rPr>
                <w:rFonts w:cs="Times New Roman"/>
                <w:szCs w:val="21"/>
              </w:rPr>
            </w:pPr>
            <w:r>
              <w:rPr>
                <w:rFonts w:cs="Times New Roman"/>
                <w:szCs w:val="21"/>
              </w:rPr>
              <w:t>泄漏场所保持通风。喷雾状水驱散蒸气或改变蒸气云流向。隔离泄漏区直至气体散尽。</w:t>
            </w:r>
          </w:p>
        </w:tc>
        <w:tc>
          <w:tcPr>
            <w:tcW w:w="3827" w:type="dxa"/>
            <w:shd w:val="clear" w:color="000000" w:fill="FFFFFF"/>
            <w:noWrap/>
            <w:vAlign w:val="center"/>
          </w:tcPr>
          <w:p w14:paraId="6F0312C4">
            <w:pPr>
              <w:pStyle w:val="78"/>
              <w:rPr>
                <w:rFonts w:cs="Times New Roman"/>
                <w:szCs w:val="21"/>
              </w:rPr>
            </w:pPr>
            <w:r>
              <w:rPr>
                <w:rFonts w:cs="Times New Roman"/>
                <w:szCs w:val="21"/>
              </w:rPr>
              <w:t>隔离泄漏区直至气体散尽。</w:t>
            </w:r>
          </w:p>
        </w:tc>
      </w:tr>
      <w:tr w14:paraId="7AE1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B1DDCD8">
            <w:pPr>
              <w:pStyle w:val="78"/>
              <w:rPr>
                <w:rFonts w:cs="Times New Roman"/>
                <w:szCs w:val="21"/>
              </w:rPr>
            </w:pPr>
          </w:p>
        </w:tc>
        <w:tc>
          <w:tcPr>
            <w:tcW w:w="1559" w:type="dxa"/>
            <w:shd w:val="clear" w:color="000000" w:fill="FFFFFF"/>
            <w:noWrap/>
            <w:vAlign w:val="center"/>
          </w:tcPr>
          <w:p w14:paraId="63AE0E0D">
            <w:pPr>
              <w:pStyle w:val="78"/>
              <w:rPr>
                <w:rFonts w:cs="Times New Roman"/>
                <w:szCs w:val="21"/>
              </w:rPr>
            </w:pPr>
            <w:r>
              <w:rPr>
                <w:rFonts w:cs="Times New Roman"/>
                <w:szCs w:val="21"/>
              </w:rPr>
              <w:t>灭火方法</w:t>
            </w:r>
          </w:p>
        </w:tc>
        <w:tc>
          <w:tcPr>
            <w:tcW w:w="3969" w:type="dxa"/>
            <w:shd w:val="clear" w:color="000000" w:fill="FFFFFF"/>
            <w:vAlign w:val="center"/>
          </w:tcPr>
          <w:p w14:paraId="275E02C8">
            <w:pPr>
              <w:pStyle w:val="78"/>
              <w:rPr>
                <w:rFonts w:cs="Times New Roman"/>
                <w:szCs w:val="21"/>
              </w:rPr>
            </w:pPr>
            <w:r>
              <w:rPr>
                <w:rFonts w:cs="Times New Roman"/>
                <w:szCs w:val="21"/>
              </w:rPr>
              <w:t>切断气源。若不能切断气源，则不允许熄灭泄漏处的火焰。消防人员必须佩戴空气呼吸器、穿全身防火防毒服，在上风向灭火。尽可能将容器从火场移至空旷处。喷水保持火场容器冷却，直至灭火结束。</w:t>
            </w:r>
          </w:p>
        </w:tc>
        <w:tc>
          <w:tcPr>
            <w:tcW w:w="3969" w:type="dxa"/>
            <w:shd w:val="clear" w:color="000000" w:fill="FFFFFF"/>
            <w:vAlign w:val="center"/>
          </w:tcPr>
          <w:p w14:paraId="5C9D885F">
            <w:pPr>
              <w:pStyle w:val="78"/>
              <w:rPr>
                <w:rFonts w:cs="Times New Roman"/>
                <w:szCs w:val="21"/>
              </w:rPr>
            </w:pPr>
            <w:r>
              <w:rPr>
                <w:rFonts w:cs="Times New Roman"/>
                <w:szCs w:val="21"/>
              </w:rPr>
              <w:t>切断气源。若不能切断气源，则不允许熄灭泄漏处的火焰。灭火时穿消防员灭火防护服，佩戴防毒面具，在安全距离以外，在上风向灭火。首先扑灭外围被火源引燃的可燃物火势，切断火势蔓延途径，控制火势范围。喷水冷却容器，可能的话将容器从火场移至空旷处。如果火势中有压力容器或有受到火焰辐射热威胁的压力容器，能疏散的尽量在水枪的掩护下疏散到安全地带，不能疏散的应部署足够的水枪进行冷却保护。为防止容器爆裂伤人，消防人员应尽量采用低姿势射水或利用现场坚实的掩蔽体防护。对于卧式贮罐，冷却人员应选择贮罐四侧角作为射水阵地。遇有火势熄灭后较长时间未能恢复稳定燃烧或受热辐射的容器安全阀火焰变亮耀眼、尖叫、晃动等爆裂征兆时，应迅速撤离。</w:t>
            </w:r>
          </w:p>
        </w:tc>
        <w:tc>
          <w:tcPr>
            <w:tcW w:w="3827" w:type="dxa"/>
            <w:shd w:val="clear" w:color="000000" w:fill="FFFFFF"/>
            <w:vAlign w:val="center"/>
          </w:tcPr>
          <w:p w14:paraId="22859CEC">
            <w:pPr>
              <w:pStyle w:val="78"/>
              <w:rPr>
                <w:rFonts w:cs="Times New Roman"/>
                <w:szCs w:val="21"/>
              </w:rPr>
            </w:pPr>
            <w:r>
              <w:rPr>
                <w:rFonts w:cs="Times New Roman"/>
                <w:szCs w:val="21"/>
              </w:rPr>
              <w:t>切断气源。若不能切断气源，则不允许熄灭泄漏处的火焰。消防人员必须佩戴空气呼吸器、穿全身防火防毒服，在上风向灭火。尽可能将容器从火场移至空旷处。喷水保持火场容器冷却，直至灭火结束。</w:t>
            </w:r>
          </w:p>
        </w:tc>
      </w:tr>
      <w:tr w14:paraId="0AA6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464BF6EE">
            <w:pPr>
              <w:pStyle w:val="78"/>
              <w:rPr>
                <w:b/>
              </w:rPr>
            </w:pPr>
            <w:r>
              <w:rPr>
                <w:b/>
              </w:rPr>
              <w:t>物质</w:t>
            </w:r>
          </w:p>
        </w:tc>
        <w:tc>
          <w:tcPr>
            <w:tcW w:w="3969" w:type="dxa"/>
            <w:shd w:val="clear" w:color="000000" w:fill="FFFFFF"/>
            <w:vAlign w:val="center"/>
          </w:tcPr>
          <w:p w14:paraId="6B4CD629">
            <w:pPr>
              <w:pStyle w:val="78"/>
              <w:rPr>
                <w:b/>
              </w:rPr>
            </w:pPr>
            <w:r>
              <w:rPr>
                <w:rFonts w:hint="eastAsia"/>
                <w:b/>
              </w:rPr>
              <w:t>甲烷</w:t>
            </w:r>
          </w:p>
        </w:tc>
        <w:tc>
          <w:tcPr>
            <w:tcW w:w="3969" w:type="dxa"/>
            <w:shd w:val="clear" w:color="000000" w:fill="FFFFFF"/>
            <w:vAlign w:val="center"/>
          </w:tcPr>
          <w:p w14:paraId="7DC0CA98">
            <w:pPr>
              <w:pStyle w:val="78"/>
              <w:rPr>
                <w:b/>
                <w:bCs/>
              </w:rPr>
            </w:pPr>
            <w:r>
              <w:rPr>
                <w:rFonts w:hint="eastAsia"/>
                <w:b/>
                <w:bCs/>
              </w:rPr>
              <w:t>盐酸</w:t>
            </w:r>
          </w:p>
        </w:tc>
        <w:tc>
          <w:tcPr>
            <w:tcW w:w="3827" w:type="dxa"/>
            <w:shd w:val="clear" w:color="000000" w:fill="FFFFFF"/>
            <w:vAlign w:val="center"/>
          </w:tcPr>
          <w:p w14:paraId="6829120B">
            <w:pPr>
              <w:pStyle w:val="78"/>
              <w:rPr>
                <w:b/>
                <w:bCs/>
              </w:rPr>
            </w:pPr>
            <w:r>
              <w:rPr>
                <w:rFonts w:hint="eastAsia"/>
                <w:b/>
                <w:bCs/>
              </w:rPr>
              <w:t>氨水</w:t>
            </w:r>
          </w:p>
        </w:tc>
      </w:tr>
      <w:tr w14:paraId="1B12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1F80A0A8">
            <w:pPr>
              <w:pStyle w:val="78"/>
              <w:rPr>
                <w:rFonts w:cs="Times New Roman"/>
                <w:szCs w:val="21"/>
              </w:rPr>
            </w:pPr>
            <w:r>
              <w:rPr>
                <w:rFonts w:cs="Times New Roman"/>
                <w:szCs w:val="21"/>
              </w:rPr>
              <w:t>物化性质</w:t>
            </w:r>
          </w:p>
        </w:tc>
        <w:tc>
          <w:tcPr>
            <w:tcW w:w="1559" w:type="dxa"/>
            <w:shd w:val="clear" w:color="000000" w:fill="FFFFFF"/>
            <w:vAlign w:val="center"/>
          </w:tcPr>
          <w:p w14:paraId="24A01557">
            <w:pPr>
              <w:pStyle w:val="78"/>
              <w:rPr>
                <w:rFonts w:cs="Times New Roman"/>
                <w:szCs w:val="21"/>
              </w:rPr>
            </w:pPr>
            <w:r>
              <w:rPr>
                <w:rFonts w:cs="Times New Roman"/>
                <w:szCs w:val="21"/>
              </w:rPr>
              <w:t>CAS号</w:t>
            </w:r>
          </w:p>
        </w:tc>
        <w:tc>
          <w:tcPr>
            <w:tcW w:w="3969" w:type="dxa"/>
            <w:shd w:val="clear" w:color="000000" w:fill="FFFFFF"/>
            <w:vAlign w:val="center"/>
          </w:tcPr>
          <w:p w14:paraId="2C5F68F3">
            <w:pPr>
              <w:pStyle w:val="78"/>
              <w:rPr>
                <w:rFonts w:cs="Times New Roman"/>
                <w:szCs w:val="21"/>
              </w:rPr>
            </w:pPr>
            <w:r>
              <w:rPr>
                <w:rFonts w:cs="Times New Roman"/>
                <w:szCs w:val="21"/>
              </w:rPr>
              <w:t>74-82-8</w:t>
            </w:r>
          </w:p>
        </w:tc>
        <w:tc>
          <w:tcPr>
            <w:tcW w:w="3969" w:type="dxa"/>
            <w:shd w:val="clear" w:color="000000" w:fill="FFFFFF"/>
            <w:vAlign w:val="center"/>
          </w:tcPr>
          <w:p w14:paraId="6349EA8C">
            <w:pPr>
              <w:pStyle w:val="78"/>
              <w:rPr>
                <w:rFonts w:cs="Times New Roman"/>
                <w:szCs w:val="21"/>
              </w:rPr>
            </w:pPr>
            <w:r>
              <w:rPr>
                <w:rFonts w:hint="eastAsia" w:cs="Times New Roman"/>
                <w:kern w:val="0"/>
                <w:sz w:val="18"/>
                <w:szCs w:val="18"/>
              </w:rPr>
              <w:t>7647-01-0</w:t>
            </w:r>
          </w:p>
        </w:tc>
        <w:tc>
          <w:tcPr>
            <w:tcW w:w="3827" w:type="dxa"/>
            <w:shd w:val="clear" w:color="000000" w:fill="FFFFFF"/>
            <w:vAlign w:val="center"/>
          </w:tcPr>
          <w:p w14:paraId="25B7E683">
            <w:pPr>
              <w:pStyle w:val="78"/>
              <w:rPr>
                <w:rFonts w:cs="Times New Roman"/>
                <w:szCs w:val="21"/>
              </w:rPr>
            </w:pPr>
            <w:r>
              <w:rPr>
                <w:rFonts w:hint="eastAsia" w:cs="Times New Roman"/>
                <w:sz w:val="24"/>
              </w:rPr>
              <w:t>1336-21-6</w:t>
            </w:r>
          </w:p>
        </w:tc>
      </w:tr>
      <w:tr w14:paraId="0FB1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F448D59">
            <w:pPr>
              <w:pStyle w:val="78"/>
              <w:rPr>
                <w:rFonts w:cs="Times New Roman"/>
                <w:szCs w:val="21"/>
              </w:rPr>
            </w:pPr>
          </w:p>
        </w:tc>
        <w:tc>
          <w:tcPr>
            <w:tcW w:w="1559" w:type="dxa"/>
            <w:shd w:val="clear" w:color="000000" w:fill="FFFFFF"/>
            <w:vAlign w:val="center"/>
          </w:tcPr>
          <w:p w14:paraId="43EF5FE1">
            <w:pPr>
              <w:pStyle w:val="78"/>
              <w:rPr>
                <w:rFonts w:cs="Times New Roman"/>
                <w:szCs w:val="21"/>
              </w:rPr>
            </w:pPr>
            <w:r>
              <w:rPr>
                <w:rFonts w:cs="Times New Roman"/>
                <w:szCs w:val="21"/>
              </w:rPr>
              <w:t>中文名称/别名</w:t>
            </w:r>
          </w:p>
        </w:tc>
        <w:tc>
          <w:tcPr>
            <w:tcW w:w="3969" w:type="dxa"/>
            <w:shd w:val="clear" w:color="000000" w:fill="FFFFFF"/>
            <w:vAlign w:val="center"/>
          </w:tcPr>
          <w:p w14:paraId="513E1EB1">
            <w:pPr>
              <w:pStyle w:val="78"/>
              <w:rPr>
                <w:rFonts w:cs="Times New Roman"/>
                <w:szCs w:val="21"/>
              </w:rPr>
            </w:pPr>
            <w:r>
              <w:rPr>
                <w:rFonts w:hint="eastAsia" w:cs="Times New Roman"/>
                <w:szCs w:val="21"/>
              </w:rPr>
              <w:t>沼气</w:t>
            </w:r>
          </w:p>
        </w:tc>
        <w:tc>
          <w:tcPr>
            <w:tcW w:w="3969" w:type="dxa"/>
            <w:shd w:val="clear" w:color="000000" w:fill="FFFFFF"/>
            <w:vAlign w:val="center"/>
          </w:tcPr>
          <w:p w14:paraId="572C51FA">
            <w:pPr>
              <w:pStyle w:val="78"/>
              <w:rPr>
                <w:rFonts w:cs="Times New Roman"/>
                <w:szCs w:val="21"/>
              </w:rPr>
            </w:pPr>
            <w:r>
              <w:rPr>
                <w:rFonts w:cs="Times New Roman"/>
                <w:bCs/>
                <w:szCs w:val="21"/>
              </w:rPr>
              <w:t>氢氯酸</w:t>
            </w:r>
          </w:p>
        </w:tc>
        <w:tc>
          <w:tcPr>
            <w:tcW w:w="3827" w:type="dxa"/>
            <w:shd w:val="clear" w:color="000000" w:fill="FFFFFF"/>
            <w:vAlign w:val="center"/>
          </w:tcPr>
          <w:p w14:paraId="5A51D051">
            <w:pPr>
              <w:pStyle w:val="78"/>
              <w:rPr>
                <w:rFonts w:cs="Times New Roman"/>
                <w:szCs w:val="21"/>
              </w:rPr>
            </w:pPr>
            <w:r>
              <w:rPr>
                <w:rFonts w:hint="eastAsia" w:cs="Times New Roman"/>
                <w:sz w:val="24"/>
              </w:rPr>
              <w:t>氨溶液</w:t>
            </w:r>
          </w:p>
        </w:tc>
      </w:tr>
      <w:tr w14:paraId="63EB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99C3A58">
            <w:pPr>
              <w:pStyle w:val="78"/>
              <w:rPr>
                <w:rFonts w:cs="Times New Roman"/>
                <w:szCs w:val="21"/>
              </w:rPr>
            </w:pPr>
          </w:p>
        </w:tc>
        <w:tc>
          <w:tcPr>
            <w:tcW w:w="1559" w:type="dxa"/>
            <w:shd w:val="clear" w:color="000000" w:fill="FFFFFF"/>
            <w:vAlign w:val="center"/>
          </w:tcPr>
          <w:p w14:paraId="6976FA63">
            <w:pPr>
              <w:pStyle w:val="78"/>
              <w:rPr>
                <w:rFonts w:cs="Times New Roman"/>
                <w:szCs w:val="21"/>
              </w:rPr>
            </w:pPr>
            <w:r>
              <w:rPr>
                <w:rFonts w:cs="Times New Roman"/>
                <w:szCs w:val="21"/>
              </w:rPr>
              <w:t>分子式</w:t>
            </w:r>
          </w:p>
        </w:tc>
        <w:tc>
          <w:tcPr>
            <w:tcW w:w="3969" w:type="dxa"/>
            <w:shd w:val="clear" w:color="000000" w:fill="FFFFFF"/>
            <w:vAlign w:val="center"/>
          </w:tcPr>
          <w:p w14:paraId="14709F8E">
            <w:pPr>
              <w:pStyle w:val="78"/>
              <w:rPr>
                <w:rFonts w:cs="Times New Roman"/>
                <w:szCs w:val="21"/>
              </w:rPr>
            </w:pPr>
            <w:r>
              <w:rPr>
                <w:rFonts w:cs="Times New Roman"/>
                <w:szCs w:val="21"/>
              </w:rPr>
              <w:t>CH</w:t>
            </w:r>
            <w:r>
              <w:rPr>
                <w:rFonts w:cs="Times New Roman"/>
                <w:szCs w:val="21"/>
                <w:vertAlign w:val="subscript"/>
              </w:rPr>
              <w:t>4</w:t>
            </w:r>
          </w:p>
        </w:tc>
        <w:tc>
          <w:tcPr>
            <w:tcW w:w="3969" w:type="dxa"/>
            <w:shd w:val="clear" w:color="000000" w:fill="FFFFFF"/>
            <w:vAlign w:val="center"/>
          </w:tcPr>
          <w:p w14:paraId="3FA5BA2A">
            <w:pPr>
              <w:pStyle w:val="78"/>
              <w:rPr>
                <w:rFonts w:cs="Times New Roman"/>
                <w:szCs w:val="21"/>
              </w:rPr>
            </w:pPr>
            <w:r>
              <w:rPr>
                <w:rFonts w:hint="eastAsia" w:cs="Times New Roman"/>
                <w:szCs w:val="21"/>
              </w:rPr>
              <w:t>HCl</w:t>
            </w:r>
          </w:p>
        </w:tc>
        <w:tc>
          <w:tcPr>
            <w:tcW w:w="3827" w:type="dxa"/>
            <w:shd w:val="clear" w:color="000000" w:fill="FFFFFF"/>
            <w:vAlign w:val="center"/>
          </w:tcPr>
          <w:p w14:paraId="53E3C435">
            <w:pPr>
              <w:pStyle w:val="78"/>
              <w:rPr>
                <w:rFonts w:cs="Times New Roman"/>
                <w:szCs w:val="21"/>
              </w:rPr>
            </w:pPr>
            <w:r>
              <w:rPr>
                <w:rFonts w:cs="Times New Roman"/>
                <w:szCs w:val="21"/>
              </w:rPr>
              <w:t>NH3·H2O</w:t>
            </w:r>
          </w:p>
        </w:tc>
      </w:tr>
      <w:tr w14:paraId="5E56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C96275E">
            <w:pPr>
              <w:pStyle w:val="78"/>
              <w:rPr>
                <w:rFonts w:cs="Times New Roman"/>
                <w:szCs w:val="21"/>
              </w:rPr>
            </w:pPr>
          </w:p>
        </w:tc>
        <w:tc>
          <w:tcPr>
            <w:tcW w:w="1559" w:type="dxa"/>
            <w:shd w:val="clear" w:color="000000" w:fill="FFFFFF"/>
            <w:vAlign w:val="center"/>
          </w:tcPr>
          <w:p w14:paraId="37712A93">
            <w:pPr>
              <w:pStyle w:val="78"/>
              <w:rPr>
                <w:rFonts w:cs="Times New Roman"/>
                <w:szCs w:val="21"/>
              </w:rPr>
            </w:pPr>
            <w:r>
              <w:rPr>
                <w:rFonts w:cs="Times New Roman"/>
                <w:szCs w:val="21"/>
              </w:rPr>
              <w:t>分子量</w:t>
            </w:r>
          </w:p>
        </w:tc>
        <w:tc>
          <w:tcPr>
            <w:tcW w:w="3969" w:type="dxa"/>
            <w:shd w:val="clear" w:color="000000" w:fill="FFFFFF"/>
            <w:noWrap/>
            <w:vAlign w:val="center"/>
          </w:tcPr>
          <w:p w14:paraId="0B7B12B0">
            <w:pPr>
              <w:pStyle w:val="78"/>
            </w:pPr>
            <w:r>
              <w:t>16.043</w:t>
            </w:r>
          </w:p>
        </w:tc>
        <w:tc>
          <w:tcPr>
            <w:tcW w:w="3969" w:type="dxa"/>
            <w:shd w:val="clear" w:color="000000" w:fill="FFFFFF"/>
            <w:noWrap/>
            <w:vAlign w:val="center"/>
          </w:tcPr>
          <w:p w14:paraId="0B888FC8">
            <w:pPr>
              <w:pStyle w:val="78"/>
              <w:rPr>
                <w:rFonts w:cs="Times New Roman"/>
                <w:szCs w:val="21"/>
              </w:rPr>
            </w:pPr>
            <w:r>
              <w:rPr>
                <w:rFonts w:cs="Times New Roman"/>
                <w:szCs w:val="21"/>
              </w:rPr>
              <w:t>36.46</w:t>
            </w:r>
          </w:p>
        </w:tc>
        <w:tc>
          <w:tcPr>
            <w:tcW w:w="3827" w:type="dxa"/>
            <w:shd w:val="clear" w:color="000000" w:fill="FFFFFF"/>
            <w:noWrap/>
            <w:vAlign w:val="center"/>
          </w:tcPr>
          <w:p w14:paraId="110094B8">
            <w:pPr>
              <w:pStyle w:val="78"/>
            </w:pPr>
            <w:r>
              <w:rPr>
                <w:rFonts w:hint="eastAsia"/>
              </w:rPr>
              <w:t>35.05</w:t>
            </w:r>
          </w:p>
        </w:tc>
      </w:tr>
      <w:tr w14:paraId="3195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8F019C5">
            <w:pPr>
              <w:pStyle w:val="78"/>
              <w:rPr>
                <w:rFonts w:cs="Times New Roman"/>
                <w:szCs w:val="21"/>
              </w:rPr>
            </w:pPr>
          </w:p>
        </w:tc>
        <w:tc>
          <w:tcPr>
            <w:tcW w:w="1559" w:type="dxa"/>
            <w:shd w:val="clear" w:color="000000" w:fill="FFFFFF"/>
            <w:vAlign w:val="center"/>
          </w:tcPr>
          <w:p w14:paraId="1E195B15">
            <w:pPr>
              <w:pStyle w:val="78"/>
              <w:rPr>
                <w:rFonts w:cs="Times New Roman"/>
                <w:szCs w:val="21"/>
              </w:rPr>
            </w:pPr>
            <w:r>
              <w:rPr>
                <w:rFonts w:cs="Times New Roman"/>
                <w:szCs w:val="21"/>
              </w:rPr>
              <w:t>外观性状</w:t>
            </w:r>
          </w:p>
        </w:tc>
        <w:tc>
          <w:tcPr>
            <w:tcW w:w="3969" w:type="dxa"/>
            <w:shd w:val="clear" w:color="000000" w:fill="FFFFFF"/>
            <w:vAlign w:val="center"/>
          </w:tcPr>
          <w:p w14:paraId="4DC7F72A">
            <w:pPr>
              <w:pStyle w:val="78"/>
              <w:rPr>
                <w:rFonts w:cs="Times New Roman"/>
                <w:szCs w:val="21"/>
              </w:rPr>
            </w:pPr>
            <w:r>
              <w:rPr>
                <w:rFonts w:hint="eastAsia" w:cs="Times New Roman"/>
                <w:szCs w:val="21"/>
              </w:rPr>
              <w:t>无色无味气体</w:t>
            </w:r>
            <w:r>
              <w:rPr>
                <w:rFonts w:cs="Times New Roman"/>
                <w:szCs w:val="21"/>
              </w:rPr>
              <w:t>。</w:t>
            </w:r>
          </w:p>
        </w:tc>
        <w:tc>
          <w:tcPr>
            <w:tcW w:w="3969" w:type="dxa"/>
            <w:shd w:val="clear" w:color="000000" w:fill="FFFFFF"/>
            <w:vAlign w:val="center"/>
          </w:tcPr>
          <w:p w14:paraId="0B61EB7D">
            <w:pPr>
              <w:pStyle w:val="78"/>
              <w:rPr>
                <w:rFonts w:cs="Times New Roman"/>
                <w:szCs w:val="21"/>
              </w:rPr>
            </w:pPr>
            <w:r>
              <w:rPr>
                <w:rFonts w:cs="Times New Roman"/>
                <w:bCs/>
                <w:szCs w:val="21"/>
              </w:rPr>
              <w:t>无色或微黄色发烟液体，有刺鼻的酸味。</w:t>
            </w:r>
          </w:p>
        </w:tc>
        <w:tc>
          <w:tcPr>
            <w:tcW w:w="3827" w:type="dxa"/>
            <w:shd w:val="clear" w:color="000000" w:fill="FFFFFF"/>
            <w:vAlign w:val="center"/>
          </w:tcPr>
          <w:p w14:paraId="4693DD19">
            <w:pPr>
              <w:pStyle w:val="78"/>
            </w:pPr>
            <w:r>
              <w:rPr>
                <w:rFonts w:hint="eastAsia"/>
              </w:rPr>
              <w:t>无色透明液体，有强烈的刺激性臭味</w:t>
            </w:r>
          </w:p>
        </w:tc>
      </w:tr>
      <w:tr w14:paraId="128A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C14C2E8">
            <w:pPr>
              <w:pStyle w:val="78"/>
              <w:rPr>
                <w:rFonts w:cs="Times New Roman"/>
                <w:szCs w:val="21"/>
              </w:rPr>
            </w:pPr>
          </w:p>
        </w:tc>
        <w:tc>
          <w:tcPr>
            <w:tcW w:w="1559" w:type="dxa"/>
            <w:shd w:val="clear" w:color="000000" w:fill="FFFFFF"/>
            <w:vAlign w:val="center"/>
          </w:tcPr>
          <w:p w14:paraId="23863233">
            <w:pPr>
              <w:pStyle w:val="78"/>
              <w:rPr>
                <w:rFonts w:cs="Times New Roman"/>
                <w:szCs w:val="21"/>
              </w:rPr>
            </w:pPr>
            <w:r>
              <w:rPr>
                <w:rFonts w:cs="Times New Roman"/>
                <w:szCs w:val="21"/>
              </w:rPr>
              <w:t>沸点，℃</w:t>
            </w:r>
          </w:p>
        </w:tc>
        <w:tc>
          <w:tcPr>
            <w:tcW w:w="3969" w:type="dxa"/>
            <w:shd w:val="clear" w:color="000000" w:fill="FFFFFF"/>
            <w:vAlign w:val="center"/>
          </w:tcPr>
          <w:p w14:paraId="6E4081ED">
            <w:pPr>
              <w:pStyle w:val="78"/>
              <w:rPr>
                <w:rFonts w:cs="Times New Roman"/>
                <w:szCs w:val="21"/>
              </w:rPr>
            </w:pPr>
            <w:r>
              <w:rPr>
                <w:rFonts w:cs="Times New Roman"/>
                <w:szCs w:val="21"/>
              </w:rPr>
              <w:t>-161.4</w:t>
            </w:r>
          </w:p>
        </w:tc>
        <w:tc>
          <w:tcPr>
            <w:tcW w:w="3969" w:type="dxa"/>
            <w:shd w:val="clear" w:color="000000" w:fill="FFFFFF"/>
            <w:vAlign w:val="center"/>
          </w:tcPr>
          <w:p w14:paraId="3BC5522A">
            <w:pPr>
              <w:pStyle w:val="78"/>
              <w:rPr>
                <w:rFonts w:cs="Times New Roman"/>
                <w:szCs w:val="21"/>
              </w:rPr>
            </w:pPr>
            <w:r>
              <w:rPr>
                <w:rFonts w:cs="Times New Roman"/>
                <w:szCs w:val="21"/>
              </w:rPr>
              <w:t>108.6(20%)</w:t>
            </w:r>
          </w:p>
        </w:tc>
        <w:tc>
          <w:tcPr>
            <w:tcW w:w="3827" w:type="dxa"/>
            <w:shd w:val="clear" w:color="000000" w:fill="FFFFFF"/>
            <w:vAlign w:val="center"/>
          </w:tcPr>
          <w:p w14:paraId="1BEDF2D9">
            <w:pPr>
              <w:pStyle w:val="78"/>
            </w:pPr>
            <w:r>
              <w:rPr>
                <w:rFonts w:hint="eastAsia"/>
              </w:rPr>
              <w:t>/</w:t>
            </w:r>
          </w:p>
        </w:tc>
      </w:tr>
      <w:tr w14:paraId="47CD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7926B09">
            <w:pPr>
              <w:pStyle w:val="78"/>
              <w:rPr>
                <w:rFonts w:cs="Times New Roman"/>
                <w:szCs w:val="21"/>
              </w:rPr>
            </w:pPr>
          </w:p>
        </w:tc>
        <w:tc>
          <w:tcPr>
            <w:tcW w:w="1559" w:type="dxa"/>
            <w:shd w:val="clear" w:color="000000" w:fill="FFFFFF"/>
            <w:vAlign w:val="center"/>
          </w:tcPr>
          <w:p w14:paraId="2721193B">
            <w:pPr>
              <w:pStyle w:val="78"/>
              <w:rPr>
                <w:rFonts w:cs="Times New Roman"/>
                <w:szCs w:val="21"/>
              </w:rPr>
            </w:pPr>
            <w:r>
              <w:rPr>
                <w:rFonts w:cs="Times New Roman"/>
                <w:szCs w:val="21"/>
              </w:rPr>
              <w:t>熔点，℃</w:t>
            </w:r>
          </w:p>
        </w:tc>
        <w:tc>
          <w:tcPr>
            <w:tcW w:w="3969" w:type="dxa"/>
            <w:shd w:val="clear" w:color="000000" w:fill="FFFFFF"/>
            <w:vAlign w:val="center"/>
          </w:tcPr>
          <w:p w14:paraId="3BD1A18F">
            <w:pPr>
              <w:pStyle w:val="78"/>
              <w:rPr>
                <w:rFonts w:cs="Times New Roman"/>
                <w:szCs w:val="21"/>
              </w:rPr>
            </w:pPr>
            <w:r>
              <w:rPr>
                <w:rFonts w:cs="Times New Roman"/>
                <w:szCs w:val="21"/>
              </w:rPr>
              <w:t>-182.6</w:t>
            </w:r>
          </w:p>
        </w:tc>
        <w:tc>
          <w:tcPr>
            <w:tcW w:w="3969" w:type="dxa"/>
            <w:shd w:val="clear" w:color="000000" w:fill="FFFFFF"/>
            <w:vAlign w:val="center"/>
          </w:tcPr>
          <w:p w14:paraId="742FBC78">
            <w:pPr>
              <w:pStyle w:val="78"/>
              <w:rPr>
                <w:rFonts w:cs="Times New Roman"/>
                <w:szCs w:val="21"/>
              </w:rPr>
            </w:pPr>
            <w:r>
              <w:rPr>
                <w:rFonts w:cs="Times New Roman"/>
                <w:szCs w:val="21"/>
              </w:rPr>
              <w:t>-114.8 (纯)</w:t>
            </w:r>
          </w:p>
        </w:tc>
        <w:tc>
          <w:tcPr>
            <w:tcW w:w="3827" w:type="dxa"/>
            <w:shd w:val="clear" w:color="000000" w:fill="FFFFFF"/>
            <w:vAlign w:val="center"/>
          </w:tcPr>
          <w:p w14:paraId="665E3968">
            <w:pPr>
              <w:pStyle w:val="78"/>
            </w:pPr>
            <w:r>
              <w:rPr>
                <w:rFonts w:hint="eastAsia"/>
              </w:rPr>
              <w:t>/</w:t>
            </w:r>
          </w:p>
        </w:tc>
      </w:tr>
      <w:tr w14:paraId="1927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2943FCE9">
            <w:pPr>
              <w:pStyle w:val="78"/>
              <w:rPr>
                <w:rFonts w:cs="Times New Roman"/>
                <w:szCs w:val="21"/>
              </w:rPr>
            </w:pPr>
          </w:p>
        </w:tc>
        <w:tc>
          <w:tcPr>
            <w:tcW w:w="1559" w:type="dxa"/>
            <w:shd w:val="clear" w:color="000000" w:fill="FFFFFF"/>
            <w:vAlign w:val="center"/>
          </w:tcPr>
          <w:p w14:paraId="304A458C">
            <w:pPr>
              <w:pStyle w:val="78"/>
              <w:rPr>
                <w:rFonts w:cs="Times New Roman"/>
                <w:szCs w:val="21"/>
              </w:rPr>
            </w:pPr>
            <w:r>
              <w:rPr>
                <w:rFonts w:cs="Times New Roman"/>
                <w:szCs w:val="21"/>
              </w:rPr>
              <w:t>饱和蒸汽压，kPa</w:t>
            </w:r>
          </w:p>
        </w:tc>
        <w:tc>
          <w:tcPr>
            <w:tcW w:w="3969" w:type="dxa"/>
            <w:shd w:val="clear" w:color="000000" w:fill="FFFFFF"/>
            <w:vAlign w:val="center"/>
          </w:tcPr>
          <w:p w14:paraId="2C5AC99A">
            <w:pPr>
              <w:pStyle w:val="78"/>
              <w:rPr>
                <w:rFonts w:cs="Times New Roman"/>
                <w:szCs w:val="21"/>
              </w:rPr>
            </w:pPr>
            <w:r>
              <w:rPr>
                <w:rFonts w:hint="eastAsia" w:cs="Times New Roman"/>
                <w:szCs w:val="21"/>
              </w:rPr>
              <w:t>5</w:t>
            </w:r>
            <w:r>
              <w:rPr>
                <w:rFonts w:cs="Times New Roman"/>
                <w:szCs w:val="21"/>
              </w:rPr>
              <w:t>3.32</w:t>
            </w:r>
            <w:r>
              <w:rPr>
                <w:rFonts w:hint="eastAsia" w:cs="Times New Roman"/>
                <w:szCs w:val="21"/>
              </w:rPr>
              <w:t>（-</w:t>
            </w:r>
            <w:r>
              <w:rPr>
                <w:rFonts w:cs="Times New Roman"/>
                <w:szCs w:val="21"/>
              </w:rPr>
              <w:t>168.08℃</w:t>
            </w:r>
            <w:r>
              <w:rPr>
                <w:rFonts w:hint="eastAsia" w:cs="Times New Roman"/>
                <w:szCs w:val="21"/>
              </w:rPr>
              <w:t>）</w:t>
            </w:r>
          </w:p>
        </w:tc>
        <w:tc>
          <w:tcPr>
            <w:tcW w:w="3969" w:type="dxa"/>
            <w:shd w:val="clear" w:color="000000" w:fill="FFFFFF"/>
            <w:vAlign w:val="center"/>
          </w:tcPr>
          <w:p w14:paraId="31F4E633">
            <w:pPr>
              <w:pStyle w:val="78"/>
              <w:rPr>
                <w:rFonts w:cs="Times New Roman"/>
                <w:szCs w:val="21"/>
              </w:rPr>
            </w:pPr>
            <w:r>
              <w:rPr>
                <w:rFonts w:cs="Times New Roman"/>
                <w:szCs w:val="21"/>
              </w:rPr>
              <w:t>30.66(21℃)</w:t>
            </w:r>
          </w:p>
        </w:tc>
        <w:tc>
          <w:tcPr>
            <w:tcW w:w="3827" w:type="dxa"/>
            <w:shd w:val="clear" w:color="000000" w:fill="FFFFFF"/>
            <w:vAlign w:val="center"/>
          </w:tcPr>
          <w:p w14:paraId="1B2FF06C">
            <w:pPr>
              <w:pStyle w:val="78"/>
            </w:pPr>
            <w:r>
              <w:rPr>
                <w:rFonts w:hint="eastAsia"/>
              </w:rPr>
              <w:t>/</w:t>
            </w:r>
          </w:p>
        </w:tc>
      </w:tr>
      <w:tr w14:paraId="7935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0B395F77">
            <w:pPr>
              <w:pStyle w:val="78"/>
              <w:rPr>
                <w:rFonts w:cs="Times New Roman"/>
                <w:szCs w:val="21"/>
              </w:rPr>
            </w:pPr>
            <w:r>
              <w:rPr>
                <w:rFonts w:cs="Times New Roman"/>
                <w:szCs w:val="21"/>
              </w:rPr>
              <w:t>危险性类别</w:t>
            </w:r>
          </w:p>
        </w:tc>
        <w:tc>
          <w:tcPr>
            <w:tcW w:w="3969" w:type="dxa"/>
            <w:shd w:val="clear" w:color="000000" w:fill="FFFFFF"/>
            <w:vAlign w:val="center"/>
          </w:tcPr>
          <w:p w14:paraId="33100DCE">
            <w:pPr>
              <w:pStyle w:val="78"/>
              <w:rPr>
                <w:rFonts w:cs="Times New Roman"/>
                <w:szCs w:val="21"/>
              </w:rPr>
            </w:pPr>
            <w:r>
              <w:rPr>
                <w:rFonts w:hint="eastAsia" w:cs="Times New Roman"/>
                <w:szCs w:val="21"/>
              </w:rPr>
              <w:t>易燃气体，类别1，加压气体</w:t>
            </w:r>
          </w:p>
        </w:tc>
        <w:tc>
          <w:tcPr>
            <w:tcW w:w="3969" w:type="dxa"/>
            <w:shd w:val="clear" w:color="000000" w:fill="FFFFFF"/>
            <w:vAlign w:val="center"/>
          </w:tcPr>
          <w:p w14:paraId="09EE6CCF">
            <w:pPr>
              <w:pStyle w:val="78"/>
              <w:rPr>
                <w:rFonts w:cs="Times New Roman"/>
                <w:szCs w:val="21"/>
              </w:rPr>
            </w:pPr>
            <w:r>
              <w:rPr>
                <w:rFonts w:cs="Times New Roman"/>
                <w:bCs/>
                <w:szCs w:val="21"/>
              </w:rPr>
              <w:t>皮肤腐蚀 / 刺激，类别 1B，严重眼损伤 / 眼刺激，类别 1，特异性靶器官毒性 - 一次接触，类别 3（呼吸道刺激），危害水生环境 - 急性危害，类别 2</w:t>
            </w:r>
          </w:p>
        </w:tc>
        <w:tc>
          <w:tcPr>
            <w:tcW w:w="3827" w:type="dxa"/>
            <w:shd w:val="clear" w:color="000000" w:fill="FFFFFF"/>
            <w:vAlign w:val="center"/>
          </w:tcPr>
          <w:p w14:paraId="1AD0F3EE">
            <w:pPr>
              <w:pStyle w:val="78"/>
            </w:pPr>
            <w:r>
              <w:rPr>
                <w:rFonts w:hint="eastAsia"/>
              </w:rPr>
              <w:t>皮肤腐蚀</w:t>
            </w:r>
            <w:r>
              <w:t>/</w:t>
            </w:r>
            <w:r>
              <w:rPr>
                <w:rFonts w:hint="eastAsia"/>
              </w:rPr>
              <w:t>刺激，类别</w:t>
            </w:r>
            <w:r>
              <w:t>1B</w:t>
            </w:r>
          </w:p>
          <w:p w14:paraId="5D2AA3D0">
            <w:pPr>
              <w:pStyle w:val="78"/>
            </w:pPr>
            <w:r>
              <w:rPr>
                <w:rFonts w:hint="eastAsia"/>
              </w:rPr>
              <w:t>严重眼损伤</w:t>
            </w:r>
            <w:r>
              <w:t>/</w:t>
            </w:r>
            <w:r>
              <w:rPr>
                <w:rFonts w:hint="eastAsia"/>
              </w:rPr>
              <w:t>眼刺激，类别</w:t>
            </w:r>
            <w:r>
              <w:t>1</w:t>
            </w:r>
          </w:p>
          <w:p w14:paraId="47DB3ECD">
            <w:pPr>
              <w:pStyle w:val="78"/>
            </w:pPr>
            <w:r>
              <w:rPr>
                <w:rFonts w:hint="eastAsia"/>
              </w:rPr>
              <w:t>对水环境的危害</w:t>
            </w:r>
            <w:r>
              <w:t>-</w:t>
            </w:r>
            <w:r>
              <w:rPr>
                <w:rFonts w:hint="eastAsia"/>
              </w:rPr>
              <w:t>急性危害，类别</w:t>
            </w:r>
            <w:r>
              <w:t>1</w:t>
            </w:r>
          </w:p>
          <w:p w14:paraId="410508F4">
            <w:pPr>
              <w:pStyle w:val="78"/>
            </w:pPr>
            <w:r>
              <w:rPr>
                <w:rFonts w:hint="eastAsia"/>
              </w:rPr>
              <w:t>特异性靶器官毒性</w:t>
            </w:r>
            <w:r>
              <w:t>-</w:t>
            </w:r>
            <w:r>
              <w:rPr>
                <w:rFonts w:hint="eastAsia"/>
              </w:rPr>
              <w:t>一次接触，类别</w:t>
            </w:r>
            <w:r>
              <w:t>3</w:t>
            </w:r>
          </w:p>
        </w:tc>
      </w:tr>
      <w:tr w14:paraId="402E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0B14E81B">
            <w:pPr>
              <w:pStyle w:val="78"/>
              <w:rPr>
                <w:rFonts w:cs="Times New Roman"/>
                <w:szCs w:val="21"/>
              </w:rPr>
            </w:pPr>
            <w:r>
              <w:rPr>
                <w:rFonts w:cs="Times New Roman"/>
                <w:szCs w:val="21"/>
              </w:rPr>
              <w:t>危险特性</w:t>
            </w:r>
          </w:p>
        </w:tc>
        <w:tc>
          <w:tcPr>
            <w:tcW w:w="3969" w:type="dxa"/>
            <w:shd w:val="clear" w:color="000000" w:fill="FFFFFF"/>
            <w:vAlign w:val="center"/>
          </w:tcPr>
          <w:p w14:paraId="3C18FB99">
            <w:pPr>
              <w:pStyle w:val="78"/>
              <w:rPr>
                <w:rFonts w:cs="Times New Roman"/>
                <w:szCs w:val="21"/>
              </w:rPr>
            </w:pPr>
            <w:r>
              <w:rPr>
                <w:rFonts w:cs="Times New Roman"/>
                <w:szCs w:val="21"/>
              </w:rPr>
              <w:t>极易燃，与空气混合能形成爆炸性混合物。</w:t>
            </w:r>
          </w:p>
          <w:p w14:paraId="2578E15E">
            <w:pPr>
              <w:pStyle w:val="78"/>
              <w:rPr>
                <w:rFonts w:cs="Times New Roman"/>
                <w:szCs w:val="21"/>
              </w:rPr>
            </w:pPr>
            <w:r>
              <w:rPr>
                <w:rFonts w:cs="Times New Roman"/>
                <w:szCs w:val="21"/>
              </w:rPr>
              <w:t>与强氧化剂等禁配物接触，有发生火灾和爆炸的危险。</w:t>
            </w:r>
          </w:p>
        </w:tc>
        <w:tc>
          <w:tcPr>
            <w:tcW w:w="3969" w:type="dxa"/>
            <w:shd w:val="clear" w:color="000000" w:fill="FFFFFF"/>
            <w:vAlign w:val="center"/>
          </w:tcPr>
          <w:p w14:paraId="296AA340">
            <w:pPr>
              <w:pStyle w:val="78"/>
              <w:rPr>
                <w:rFonts w:cs="Times New Roman"/>
                <w:szCs w:val="21"/>
              </w:rPr>
            </w:pPr>
            <w:r>
              <w:rPr>
                <w:rFonts w:cs="Times New Roman"/>
                <w:szCs w:val="21"/>
              </w:rPr>
              <w:t>造成严重的皮肤灼伤和眼损伤</w:t>
            </w:r>
            <w:r>
              <w:rPr>
                <w:rFonts w:hint="eastAsia" w:cs="Times New Roman"/>
                <w:szCs w:val="21"/>
              </w:rPr>
              <w:t>。</w:t>
            </w:r>
            <w:r>
              <w:rPr>
                <w:rFonts w:cs="Times New Roman"/>
                <w:szCs w:val="21"/>
              </w:rPr>
              <w:t>可能引起呼吸道刺激</w:t>
            </w:r>
            <w:r>
              <w:rPr>
                <w:rFonts w:hint="eastAsia" w:cs="Times New Roman"/>
                <w:szCs w:val="21"/>
              </w:rPr>
              <w:t>。</w:t>
            </w:r>
            <w:r>
              <w:rPr>
                <w:rFonts w:cs="Times New Roman"/>
                <w:szCs w:val="21"/>
              </w:rPr>
              <w:t>对水生生物有毒</w:t>
            </w:r>
            <w:r>
              <w:rPr>
                <w:rFonts w:hint="eastAsia" w:cs="Times New Roman"/>
                <w:szCs w:val="21"/>
              </w:rPr>
              <w:t>。</w:t>
            </w:r>
          </w:p>
        </w:tc>
        <w:tc>
          <w:tcPr>
            <w:tcW w:w="3827" w:type="dxa"/>
            <w:shd w:val="clear" w:color="000000" w:fill="FFFFFF"/>
          </w:tcPr>
          <w:p w14:paraId="7B058864">
            <w:pPr>
              <w:pStyle w:val="78"/>
            </w:pPr>
            <w:r>
              <w:rPr>
                <w:rFonts w:hint="eastAsia"/>
              </w:rPr>
              <w:t>对水生生物毒性非常大，对环境有危害。</w:t>
            </w:r>
          </w:p>
          <w:p w14:paraId="1E4E62BC">
            <w:pPr>
              <w:pStyle w:val="78"/>
            </w:pPr>
            <w:r>
              <w:rPr>
                <w:rFonts w:hint="eastAsia"/>
              </w:rPr>
              <w:t>易分解放出氨气，可形成爆炸性气氛。</w:t>
            </w:r>
          </w:p>
        </w:tc>
      </w:tr>
      <w:tr w14:paraId="2C45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547AD626">
            <w:pPr>
              <w:pStyle w:val="78"/>
              <w:rPr>
                <w:rFonts w:cs="Times New Roman"/>
                <w:szCs w:val="21"/>
              </w:rPr>
            </w:pPr>
            <w:r>
              <w:rPr>
                <w:rFonts w:cs="Times New Roman"/>
                <w:szCs w:val="21"/>
              </w:rPr>
              <w:t>禁忌物</w:t>
            </w:r>
          </w:p>
        </w:tc>
        <w:tc>
          <w:tcPr>
            <w:tcW w:w="3969" w:type="dxa"/>
            <w:shd w:val="clear" w:color="000000" w:fill="FFFFFF"/>
            <w:vAlign w:val="center"/>
          </w:tcPr>
          <w:p w14:paraId="07765749">
            <w:pPr>
              <w:pStyle w:val="78"/>
              <w:rPr>
                <w:rFonts w:cs="Times New Roman"/>
                <w:szCs w:val="21"/>
              </w:rPr>
            </w:pPr>
            <w:r>
              <w:rPr>
                <w:rFonts w:cs="Times New Roman"/>
                <w:szCs w:val="21"/>
              </w:rPr>
              <w:t>强氧化剂、强酸、强碱、卤素。</w:t>
            </w:r>
          </w:p>
        </w:tc>
        <w:tc>
          <w:tcPr>
            <w:tcW w:w="3969" w:type="dxa"/>
            <w:shd w:val="clear" w:color="000000" w:fill="FFFFFF"/>
            <w:vAlign w:val="center"/>
          </w:tcPr>
          <w:p w14:paraId="61FF3913">
            <w:pPr>
              <w:pStyle w:val="78"/>
              <w:rPr>
                <w:rFonts w:cs="Times New Roman"/>
                <w:szCs w:val="21"/>
              </w:rPr>
            </w:pPr>
            <w:r>
              <w:rPr>
                <w:rFonts w:hint="eastAsia" w:cs="Times New Roman"/>
                <w:szCs w:val="21"/>
              </w:rPr>
              <w:t>碱类、胺类、碱金属。</w:t>
            </w:r>
          </w:p>
        </w:tc>
        <w:tc>
          <w:tcPr>
            <w:tcW w:w="3827" w:type="dxa"/>
            <w:shd w:val="clear" w:color="000000" w:fill="FFFFFF"/>
            <w:vAlign w:val="center"/>
          </w:tcPr>
          <w:p w14:paraId="173D7887">
            <w:pPr>
              <w:pStyle w:val="78"/>
            </w:pPr>
            <w:r>
              <w:rPr>
                <w:rFonts w:hint="eastAsia"/>
              </w:rPr>
              <w:t>强氧化剂、酸类、铝、铜。</w:t>
            </w:r>
          </w:p>
        </w:tc>
      </w:tr>
      <w:tr w14:paraId="2FB4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0500EE91">
            <w:pPr>
              <w:pStyle w:val="78"/>
              <w:rPr>
                <w:rFonts w:cs="Times New Roman"/>
                <w:szCs w:val="21"/>
              </w:rPr>
            </w:pPr>
            <w:r>
              <w:rPr>
                <w:rFonts w:cs="Times New Roman"/>
                <w:szCs w:val="21"/>
              </w:rPr>
              <w:t>毒性及健康危害</w:t>
            </w:r>
          </w:p>
        </w:tc>
        <w:tc>
          <w:tcPr>
            <w:tcW w:w="1559" w:type="dxa"/>
            <w:shd w:val="clear" w:color="000000" w:fill="FFFFFF"/>
            <w:vAlign w:val="center"/>
          </w:tcPr>
          <w:p w14:paraId="0FCCDFBC">
            <w:pPr>
              <w:pStyle w:val="78"/>
              <w:rPr>
                <w:rFonts w:cs="Times New Roman"/>
                <w:szCs w:val="21"/>
              </w:rPr>
            </w:pPr>
            <w:r>
              <w:rPr>
                <w:rFonts w:cs="Times New Roman"/>
                <w:szCs w:val="21"/>
              </w:rPr>
              <w:t>LC</w:t>
            </w:r>
            <w:r>
              <w:rPr>
                <w:rFonts w:cs="Times New Roman"/>
                <w:szCs w:val="21"/>
                <w:vertAlign w:val="subscript"/>
              </w:rPr>
              <w:t>50</w:t>
            </w:r>
            <w:r>
              <w:rPr>
                <w:rFonts w:cs="Times New Roman"/>
                <w:szCs w:val="21"/>
              </w:rPr>
              <w:t>/LD</w:t>
            </w:r>
            <w:r>
              <w:rPr>
                <w:rFonts w:cs="Times New Roman"/>
                <w:szCs w:val="21"/>
                <w:vertAlign w:val="subscript"/>
              </w:rPr>
              <w:t>50</w:t>
            </w:r>
          </w:p>
        </w:tc>
        <w:tc>
          <w:tcPr>
            <w:tcW w:w="3969" w:type="dxa"/>
            <w:shd w:val="clear" w:color="000000" w:fill="FFFFFF"/>
            <w:vAlign w:val="center"/>
          </w:tcPr>
          <w:p w14:paraId="41AFE578">
            <w:pPr>
              <w:pStyle w:val="78"/>
              <w:rPr>
                <w:rFonts w:cs="Times New Roman"/>
                <w:szCs w:val="21"/>
              </w:rPr>
            </w:pPr>
            <w:r>
              <w:rPr>
                <w:rFonts w:hint="eastAsia" w:cs="Times New Roman"/>
                <w:szCs w:val="21"/>
              </w:rPr>
              <w:t>L</w:t>
            </w:r>
            <w:r>
              <w:rPr>
                <w:rFonts w:cs="Times New Roman"/>
                <w:szCs w:val="21"/>
              </w:rPr>
              <w:t>C50</w:t>
            </w:r>
            <w:r>
              <w:rPr>
                <w:rFonts w:hint="eastAsia" w:cs="Times New Roman"/>
                <w:szCs w:val="21"/>
              </w:rPr>
              <w:t>：5</w:t>
            </w:r>
            <w:r>
              <w:rPr>
                <w:rFonts w:cs="Times New Roman"/>
                <w:szCs w:val="21"/>
              </w:rPr>
              <w:t>0</w:t>
            </w:r>
            <w:r>
              <w:rPr>
                <w:rFonts w:hint="eastAsia" w:cs="Times New Roman"/>
                <w:szCs w:val="21"/>
              </w:rPr>
              <w:t>pph（小鼠吸入，2h）</w:t>
            </w:r>
            <w:r>
              <w:rPr>
                <w:rFonts w:cs="Times New Roman"/>
                <w:szCs w:val="21"/>
              </w:rPr>
              <w:t>。</w:t>
            </w:r>
          </w:p>
        </w:tc>
        <w:tc>
          <w:tcPr>
            <w:tcW w:w="3969" w:type="dxa"/>
            <w:shd w:val="clear" w:color="000000" w:fill="FFFFFF"/>
            <w:vAlign w:val="center"/>
          </w:tcPr>
          <w:p w14:paraId="140312F3">
            <w:pPr>
              <w:pStyle w:val="78"/>
              <w:rPr>
                <w:rFonts w:cs="Times New Roman"/>
                <w:szCs w:val="21"/>
              </w:rPr>
            </w:pPr>
            <w:r>
              <w:rPr>
                <w:rFonts w:cs="Times New Roman"/>
                <w:szCs w:val="21"/>
              </w:rPr>
              <w:t>LD50：900mg/kg（兔经口）</w:t>
            </w:r>
            <w:r>
              <w:rPr>
                <w:rFonts w:cs="Times New Roman"/>
                <w:szCs w:val="21"/>
              </w:rPr>
              <w:br w:type="textWrapping"/>
            </w:r>
            <w:r>
              <w:rPr>
                <w:rFonts w:cs="Times New Roman"/>
                <w:szCs w:val="21"/>
              </w:rPr>
              <w:t>LC50：3124ppm（大鼠吸入，1h）；1108mg/ppm（小鼠吸入，1h）</w:t>
            </w:r>
          </w:p>
        </w:tc>
        <w:tc>
          <w:tcPr>
            <w:tcW w:w="3827" w:type="dxa"/>
            <w:shd w:val="clear" w:color="000000" w:fill="FFFFFF"/>
            <w:vAlign w:val="center"/>
          </w:tcPr>
          <w:p w14:paraId="54FAAC66">
            <w:pPr>
              <w:pStyle w:val="78"/>
            </w:pPr>
            <w:r>
              <w:t>LD50:350mg/kg（大鼠经口），属低度类，主要对上呼吸道有刺激和腐蚀作用，浓度过高时，尚可使中枢神经系统兴奋性增强，引起痉挛。在3.5~5.0g/m3的浓度作用1.5~4h,对生命有危害或引起肺炎：7g/m3左右半小时可引起死亡</w:t>
            </w:r>
            <w:r>
              <w:rPr>
                <w:rFonts w:hint="eastAsia"/>
              </w:rPr>
              <w:t>。</w:t>
            </w:r>
          </w:p>
        </w:tc>
      </w:tr>
      <w:tr w14:paraId="11D6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F8865A1">
            <w:pPr>
              <w:pStyle w:val="78"/>
              <w:rPr>
                <w:rFonts w:cs="Times New Roman"/>
                <w:szCs w:val="21"/>
              </w:rPr>
            </w:pPr>
          </w:p>
        </w:tc>
        <w:tc>
          <w:tcPr>
            <w:tcW w:w="1559" w:type="dxa"/>
            <w:shd w:val="clear" w:color="000000" w:fill="FFFFFF"/>
            <w:vAlign w:val="center"/>
          </w:tcPr>
          <w:p w14:paraId="6EAFB6F0">
            <w:pPr>
              <w:pStyle w:val="78"/>
              <w:rPr>
                <w:rFonts w:cs="Times New Roman"/>
                <w:szCs w:val="21"/>
              </w:rPr>
            </w:pPr>
            <w:r>
              <w:rPr>
                <w:rFonts w:cs="Times New Roman"/>
                <w:szCs w:val="21"/>
              </w:rPr>
              <w:t>中毒途径</w:t>
            </w:r>
          </w:p>
        </w:tc>
        <w:tc>
          <w:tcPr>
            <w:tcW w:w="3969" w:type="dxa"/>
            <w:shd w:val="clear" w:color="000000" w:fill="FFFFFF"/>
            <w:vAlign w:val="center"/>
          </w:tcPr>
          <w:p w14:paraId="660A1324">
            <w:pPr>
              <w:pStyle w:val="78"/>
              <w:rPr>
                <w:rFonts w:cs="Times New Roman"/>
                <w:szCs w:val="21"/>
              </w:rPr>
            </w:pPr>
            <w:r>
              <w:rPr>
                <w:rFonts w:cs="Times New Roman"/>
                <w:szCs w:val="21"/>
              </w:rPr>
              <w:t>吸入</w:t>
            </w:r>
          </w:p>
        </w:tc>
        <w:tc>
          <w:tcPr>
            <w:tcW w:w="3969" w:type="dxa"/>
            <w:shd w:val="clear" w:color="000000" w:fill="FFFFFF"/>
            <w:vAlign w:val="center"/>
          </w:tcPr>
          <w:p w14:paraId="2B8D32F5">
            <w:pPr>
              <w:pStyle w:val="78"/>
              <w:rPr>
                <w:rFonts w:cs="Times New Roman"/>
                <w:szCs w:val="21"/>
              </w:rPr>
            </w:pPr>
            <w:r>
              <w:rPr>
                <w:rFonts w:cs="Times New Roman"/>
                <w:szCs w:val="21"/>
              </w:rPr>
              <w:t>吸入</w:t>
            </w:r>
            <w:r>
              <w:rPr>
                <w:rFonts w:hint="eastAsia" w:cs="Times New Roman"/>
                <w:szCs w:val="21"/>
              </w:rPr>
              <w:t>、</w:t>
            </w:r>
            <w:r>
              <w:rPr>
                <w:rFonts w:cs="Times New Roman"/>
                <w:szCs w:val="21"/>
              </w:rPr>
              <w:t>食入</w:t>
            </w:r>
          </w:p>
        </w:tc>
        <w:tc>
          <w:tcPr>
            <w:tcW w:w="3827" w:type="dxa"/>
            <w:shd w:val="clear" w:color="000000" w:fill="FFFFFF"/>
            <w:vAlign w:val="center"/>
          </w:tcPr>
          <w:p w14:paraId="62E8A38A">
            <w:pPr>
              <w:pStyle w:val="78"/>
            </w:pPr>
            <w:r>
              <w:rPr>
                <w:rFonts w:hint="eastAsia"/>
              </w:rPr>
              <w:t>吸入、接触</w:t>
            </w:r>
          </w:p>
        </w:tc>
      </w:tr>
      <w:tr w14:paraId="1FF1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781E1478">
            <w:pPr>
              <w:pStyle w:val="78"/>
              <w:rPr>
                <w:rFonts w:cs="Times New Roman"/>
                <w:szCs w:val="21"/>
              </w:rPr>
            </w:pPr>
          </w:p>
        </w:tc>
        <w:tc>
          <w:tcPr>
            <w:tcW w:w="1559" w:type="dxa"/>
            <w:shd w:val="clear" w:color="000000" w:fill="FFFFFF"/>
            <w:vAlign w:val="center"/>
          </w:tcPr>
          <w:p w14:paraId="350432C2">
            <w:pPr>
              <w:pStyle w:val="78"/>
              <w:rPr>
                <w:rFonts w:cs="Times New Roman"/>
                <w:szCs w:val="21"/>
              </w:rPr>
            </w:pPr>
            <w:r>
              <w:rPr>
                <w:rFonts w:cs="Times New Roman"/>
                <w:szCs w:val="21"/>
              </w:rPr>
              <w:t>健康危害</w:t>
            </w:r>
          </w:p>
        </w:tc>
        <w:tc>
          <w:tcPr>
            <w:tcW w:w="3969" w:type="dxa"/>
            <w:shd w:val="clear" w:color="000000" w:fill="FFFFFF"/>
            <w:vAlign w:val="center"/>
          </w:tcPr>
          <w:p w14:paraId="7D1C1D5B">
            <w:pPr>
              <w:pStyle w:val="78"/>
              <w:rPr>
                <w:rFonts w:cs="Times New Roman"/>
                <w:szCs w:val="21"/>
              </w:rPr>
            </w:pPr>
            <w:r>
              <w:rPr>
                <w:rFonts w:hint="eastAsia" w:cs="Times New Roman"/>
                <w:szCs w:val="21"/>
              </w:rPr>
              <w:t>空气中甲烷浓度过高，能使人窒息。当空气中甲烷达2</w:t>
            </w:r>
            <w:r>
              <w:rPr>
                <w:rFonts w:cs="Times New Roman"/>
                <w:szCs w:val="21"/>
              </w:rPr>
              <w:t>5%~30%</w:t>
            </w:r>
            <w:r>
              <w:rPr>
                <w:rFonts w:hint="eastAsia" w:cs="Times New Roman"/>
                <w:szCs w:val="21"/>
              </w:rPr>
              <w:t>时，可引起头痛、头晕、乏力、注意力不集中、呼吸和心跳加速，共济失调。若不及时脱离，可致窒息死亡。批复接触液化气体可致冻伤。</w:t>
            </w:r>
          </w:p>
        </w:tc>
        <w:tc>
          <w:tcPr>
            <w:tcW w:w="3969" w:type="dxa"/>
            <w:shd w:val="clear" w:color="000000" w:fill="FFFFFF"/>
            <w:vAlign w:val="center"/>
          </w:tcPr>
          <w:p w14:paraId="3A9F26F1">
            <w:pPr>
              <w:pStyle w:val="78"/>
              <w:rPr>
                <w:rFonts w:ascii="Segoe UI" w:hAnsi="Segoe UI" w:cs="Segoe UI"/>
              </w:rPr>
            </w:pPr>
            <w:r>
              <w:rPr>
                <w:rFonts w:ascii="Segoe UI" w:hAnsi="Segoe UI" w:cs="Segoe UI"/>
              </w:rPr>
              <w:t>接触其蒸气或雾，可引起急性中毒，出现眼结膜炎，鼻及口腔黏膜有烧灼感，鼻衄，齿龈出血，气管炎等。误服可引起消化道灼伤、溃疡形成，有可能引起胃穿孔、腹膜炎等。眼和皮肤接触可致灼伤。慢性影响：长期接触，引起慢性鼻炎、慢性支气管炎、牙齿酸蚀症及皮肤损害。</w:t>
            </w:r>
          </w:p>
        </w:tc>
        <w:tc>
          <w:tcPr>
            <w:tcW w:w="3827" w:type="dxa"/>
            <w:shd w:val="clear" w:color="000000" w:fill="FFFFFF"/>
            <w:vAlign w:val="center"/>
          </w:tcPr>
          <w:p w14:paraId="06A5C133">
            <w:pPr>
              <w:pStyle w:val="78"/>
            </w:pPr>
            <w:r>
              <w:rPr>
                <w:rFonts w:hint="eastAsia"/>
              </w:rPr>
              <w:t>吸入后对鼻，喉和肺有刺激性，引起咳嗽、气短和哮喘等；可因喉头水肿而室息死亡；可发生肺水肿，引起死亡。氨水溅入眼内，可造成严重损害，甚至导致失明；皮肤接触可致灼伤。</w:t>
            </w:r>
          </w:p>
        </w:tc>
      </w:tr>
      <w:tr w14:paraId="5805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AEC3284">
            <w:pPr>
              <w:pStyle w:val="78"/>
              <w:rPr>
                <w:rFonts w:cs="Times New Roman"/>
                <w:szCs w:val="21"/>
              </w:rPr>
            </w:pPr>
          </w:p>
        </w:tc>
        <w:tc>
          <w:tcPr>
            <w:tcW w:w="1559" w:type="dxa"/>
            <w:shd w:val="clear" w:color="000000" w:fill="FFFFFF"/>
            <w:noWrap/>
            <w:vAlign w:val="center"/>
          </w:tcPr>
          <w:p w14:paraId="225AAB33">
            <w:pPr>
              <w:pStyle w:val="78"/>
              <w:rPr>
                <w:rFonts w:cs="Times New Roman"/>
                <w:szCs w:val="21"/>
              </w:rPr>
            </w:pPr>
            <w:r>
              <w:rPr>
                <w:rFonts w:cs="Times New Roman"/>
                <w:szCs w:val="21"/>
              </w:rPr>
              <w:t>环境危害</w:t>
            </w:r>
          </w:p>
        </w:tc>
        <w:tc>
          <w:tcPr>
            <w:tcW w:w="3969" w:type="dxa"/>
            <w:shd w:val="clear" w:color="000000" w:fill="FFFFFF"/>
            <w:vAlign w:val="center"/>
          </w:tcPr>
          <w:p w14:paraId="0B6694AE">
            <w:pPr>
              <w:pStyle w:val="78"/>
              <w:rPr>
                <w:rFonts w:cs="Times New Roman"/>
                <w:szCs w:val="21"/>
              </w:rPr>
            </w:pPr>
            <w:r>
              <w:rPr>
                <w:rFonts w:cs="Times New Roman"/>
                <w:szCs w:val="21"/>
              </w:rPr>
              <w:t>对环境可能有害。</w:t>
            </w:r>
          </w:p>
        </w:tc>
        <w:tc>
          <w:tcPr>
            <w:tcW w:w="3969" w:type="dxa"/>
            <w:shd w:val="clear" w:color="000000" w:fill="FFFFFF"/>
            <w:vAlign w:val="center"/>
          </w:tcPr>
          <w:p w14:paraId="79627FD2">
            <w:pPr>
              <w:pStyle w:val="78"/>
              <w:rPr>
                <w:rFonts w:cs="Times New Roman"/>
                <w:szCs w:val="21"/>
              </w:rPr>
            </w:pPr>
            <w:r>
              <w:rPr>
                <w:rFonts w:cs="Times New Roman"/>
                <w:szCs w:val="21"/>
              </w:rPr>
              <w:t>对水生生物有毒</w:t>
            </w:r>
            <w:r>
              <w:rPr>
                <w:rFonts w:hint="eastAsia" w:cs="Times New Roman"/>
                <w:szCs w:val="21"/>
              </w:rPr>
              <w:t>。</w:t>
            </w:r>
          </w:p>
        </w:tc>
        <w:tc>
          <w:tcPr>
            <w:tcW w:w="3827" w:type="dxa"/>
            <w:shd w:val="clear" w:color="000000" w:fill="FFFFFF"/>
            <w:vAlign w:val="center"/>
          </w:tcPr>
          <w:p w14:paraId="52CE865C">
            <w:pPr>
              <w:pStyle w:val="78"/>
            </w:pPr>
            <w:r>
              <w:rPr>
                <w:rFonts w:hint="eastAsia"/>
              </w:rPr>
              <w:t>对水生生物毒性非常大，对环境有危害。</w:t>
            </w:r>
          </w:p>
        </w:tc>
      </w:tr>
      <w:tr w14:paraId="1AB5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624CE381">
            <w:pPr>
              <w:pStyle w:val="78"/>
              <w:rPr>
                <w:rFonts w:cs="Times New Roman"/>
                <w:szCs w:val="21"/>
              </w:rPr>
            </w:pPr>
            <w:r>
              <w:rPr>
                <w:rFonts w:cs="Times New Roman"/>
                <w:szCs w:val="21"/>
              </w:rPr>
              <w:t>应急措施</w:t>
            </w:r>
          </w:p>
        </w:tc>
        <w:tc>
          <w:tcPr>
            <w:tcW w:w="1559" w:type="dxa"/>
            <w:shd w:val="clear" w:color="000000" w:fill="FFFFFF"/>
            <w:noWrap/>
            <w:vAlign w:val="center"/>
          </w:tcPr>
          <w:p w14:paraId="3AC0C5C6">
            <w:pPr>
              <w:pStyle w:val="78"/>
              <w:rPr>
                <w:rFonts w:cs="Times New Roman"/>
                <w:szCs w:val="21"/>
              </w:rPr>
            </w:pPr>
            <w:r>
              <w:rPr>
                <w:rFonts w:cs="Times New Roman"/>
                <w:szCs w:val="21"/>
              </w:rPr>
              <w:t>急救措施</w:t>
            </w:r>
          </w:p>
        </w:tc>
        <w:tc>
          <w:tcPr>
            <w:tcW w:w="3969" w:type="dxa"/>
            <w:shd w:val="clear" w:color="000000" w:fill="FFFFFF"/>
            <w:vAlign w:val="center"/>
          </w:tcPr>
          <w:p w14:paraId="107004B7">
            <w:pPr>
              <w:pStyle w:val="78"/>
              <w:rPr>
                <w:rFonts w:cs="Times New Roman"/>
                <w:szCs w:val="21"/>
              </w:rPr>
            </w:pPr>
            <w:r>
              <w:rPr>
                <w:rFonts w:cs="Times New Roman"/>
                <w:szCs w:val="21"/>
              </w:rPr>
              <w:t>迅速脱离现场至空气新鲜处。保持呼吸道通畅。如呼吸困难，给输氧。呼吸、心跳停止，立即进行心肺复苏术。就医。不会通过该途径接触。</w:t>
            </w:r>
            <w:r>
              <w:rPr>
                <w:rFonts w:hint="eastAsia" w:cs="Times New Roman"/>
                <w:szCs w:val="21"/>
              </w:rPr>
              <w:t>如发生冻伤，用温水复温，忌用热水或辐射热，不要揉搓。就医。</w:t>
            </w:r>
            <w:r>
              <w:rPr>
                <w:rFonts w:cs="Times New Roman"/>
                <w:szCs w:val="21"/>
              </w:rPr>
              <w:t>先用大量水冲洗几分钟（如可能易行，摘除隐形眼镜），然后就医。</w:t>
            </w:r>
          </w:p>
        </w:tc>
        <w:tc>
          <w:tcPr>
            <w:tcW w:w="3969" w:type="dxa"/>
            <w:shd w:val="clear" w:color="000000" w:fill="FFFFFF"/>
            <w:vAlign w:val="center"/>
          </w:tcPr>
          <w:p w14:paraId="34719468">
            <w:pPr>
              <w:pStyle w:val="78"/>
              <w:rPr>
                <w:rFonts w:cs="Times New Roman"/>
                <w:szCs w:val="21"/>
              </w:rPr>
            </w:pPr>
            <w:r>
              <w:rPr>
                <w:rFonts w:cs="Times New Roman"/>
                <w:bCs/>
                <w:szCs w:val="21"/>
              </w:rPr>
              <w:t>迅速脱离现场至空气新鲜处。保持呼吸道通畅。如呼吸困难，给输氧。呼吸、心跳停止，立即进行心肺复苏术。就医。</w:t>
            </w:r>
            <w:r>
              <w:rPr>
                <w:rFonts w:cs="Times New Roman"/>
                <w:bCs/>
                <w:szCs w:val="21"/>
              </w:rPr>
              <w:br w:type="textWrapping"/>
            </w:r>
            <w:r>
              <w:rPr>
                <w:rFonts w:cs="Times New Roman"/>
                <w:bCs/>
                <w:szCs w:val="21"/>
              </w:rPr>
              <w:t>用水漱口，禁止催吐。给饮牛奶或蛋清。就医。</w:t>
            </w:r>
            <w:r>
              <w:rPr>
                <w:rFonts w:cs="Times New Roman"/>
                <w:bCs/>
                <w:szCs w:val="21"/>
              </w:rPr>
              <w:br w:type="textWrapping"/>
            </w:r>
            <w:r>
              <w:rPr>
                <w:rFonts w:cs="Times New Roman"/>
                <w:bCs/>
                <w:szCs w:val="21"/>
              </w:rPr>
              <w:t>立即脱去污染的衣着，用大量流动清水彻底冲洗至少 15min。就医。</w:t>
            </w:r>
            <w:r>
              <w:rPr>
                <w:rFonts w:cs="Times New Roman"/>
                <w:bCs/>
                <w:szCs w:val="21"/>
              </w:rPr>
              <w:br w:type="textWrapping"/>
            </w:r>
            <w:r>
              <w:rPr>
                <w:rFonts w:cs="Times New Roman"/>
                <w:bCs/>
                <w:szCs w:val="21"/>
              </w:rPr>
              <w:t>立即分开眼睑，用流动清水或生理盐水彻底冲洗 5～10min。就医。</w:t>
            </w:r>
            <w:r>
              <w:rPr>
                <w:rFonts w:cs="Times New Roman"/>
                <w:bCs/>
                <w:szCs w:val="21"/>
              </w:rPr>
              <w:br w:type="textWrapping"/>
            </w:r>
            <w:r>
              <w:rPr>
                <w:rFonts w:cs="Times New Roman"/>
                <w:bCs/>
                <w:szCs w:val="21"/>
              </w:rPr>
              <w:t>食入：用水漱口，禁止催吐。给饮牛奶或蛋清。就医。</w:t>
            </w:r>
          </w:p>
        </w:tc>
        <w:tc>
          <w:tcPr>
            <w:tcW w:w="3827" w:type="dxa"/>
            <w:shd w:val="clear" w:color="000000" w:fill="FFFFFF"/>
            <w:vAlign w:val="center"/>
          </w:tcPr>
          <w:p w14:paraId="04572EE7">
            <w:pPr>
              <w:pStyle w:val="78"/>
            </w:pPr>
            <w:r>
              <w:rPr>
                <w:rFonts w:hint="eastAsia"/>
              </w:rPr>
              <w:t>立即脱去所有被污染的衣物，用大量流动清水冲洗皮肤至少</w:t>
            </w:r>
            <w:r>
              <w:t>15</w:t>
            </w:r>
            <w:r>
              <w:rPr>
                <w:rFonts w:hint="eastAsia"/>
              </w:rPr>
              <w:t>分钟，就医。</w:t>
            </w:r>
          </w:p>
          <w:p w14:paraId="1FAF1495">
            <w:pPr>
              <w:pStyle w:val="78"/>
            </w:pPr>
            <w:r>
              <w:rPr>
                <w:rFonts w:hint="eastAsia"/>
              </w:rPr>
              <w:t>立即翻开上下眼脸，用流动清水或生理盐水彻底冲洗至少</w:t>
            </w:r>
            <w:r>
              <w:t>15</w:t>
            </w:r>
            <w:r>
              <w:rPr>
                <w:rFonts w:hint="eastAsia"/>
              </w:rPr>
              <w:t>分钟，或用</w:t>
            </w:r>
            <w:r>
              <w:t>3%</w:t>
            </w:r>
            <w:r>
              <w:rPr>
                <w:rFonts w:hint="eastAsia"/>
              </w:rPr>
              <w:t>的硼酸溶液冲洗，就医。迅速脱离污染区至空气新鲜处，保持呼吸通畅。如呼吸困难，给输氧。如呼吸停止，立即进行人工呼吸，送医。误服者立即漱口，口服稀释的食用醋或食用柠檬酸，就医。</w:t>
            </w:r>
          </w:p>
        </w:tc>
      </w:tr>
      <w:tr w14:paraId="09BA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C7AB8EF">
            <w:pPr>
              <w:pStyle w:val="78"/>
              <w:rPr>
                <w:rFonts w:cs="Times New Roman"/>
                <w:szCs w:val="21"/>
              </w:rPr>
            </w:pPr>
          </w:p>
        </w:tc>
        <w:tc>
          <w:tcPr>
            <w:tcW w:w="1559" w:type="dxa"/>
            <w:shd w:val="clear" w:color="000000" w:fill="FFFFFF"/>
            <w:vAlign w:val="center"/>
          </w:tcPr>
          <w:p w14:paraId="4B156C42">
            <w:pPr>
              <w:pStyle w:val="78"/>
              <w:rPr>
                <w:rFonts w:cs="Times New Roman"/>
                <w:szCs w:val="21"/>
              </w:rPr>
            </w:pPr>
            <w:r>
              <w:rPr>
                <w:rFonts w:cs="Times New Roman"/>
                <w:szCs w:val="21"/>
              </w:rPr>
              <w:t>泄漏应急处置</w:t>
            </w:r>
          </w:p>
        </w:tc>
        <w:tc>
          <w:tcPr>
            <w:tcW w:w="3969" w:type="dxa"/>
            <w:shd w:val="clear" w:color="000000" w:fill="FFFFFF"/>
            <w:vAlign w:val="center"/>
          </w:tcPr>
          <w:p w14:paraId="0FE70C1A">
            <w:pPr>
              <w:pStyle w:val="78"/>
              <w:rPr>
                <w:rFonts w:cs="Times New Roman"/>
                <w:szCs w:val="21"/>
              </w:rPr>
            </w:pPr>
            <w:r>
              <w:rPr>
                <w:rFonts w:cs="Times New Roman"/>
                <w:szCs w:val="21"/>
              </w:rPr>
              <w:t>隔离泄漏区直至气体散尽。</w:t>
            </w:r>
          </w:p>
        </w:tc>
        <w:tc>
          <w:tcPr>
            <w:tcW w:w="3969" w:type="dxa"/>
            <w:shd w:val="clear" w:color="000000" w:fill="FFFFFF"/>
            <w:vAlign w:val="center"/>
          </w:tcPr>
          <w:p w14:paraId="2DC7F90B">
            <w:pPr>
              <w:pStyle w:val="78"/>
              <w:rPr>
                <w:rFonts w:cs="Times New Roman"/>
                <w:szCs w:val="21"/>
              </w:rPr>
            </w:pPr>
            <w:r>
              <w:rPr>
                <w:rFonts w:cs="Times New Roman"/>
                <w:szCs w:val="21"/>
              </w:rPr>
              <w:t>小量泄漏：用干燥的砂土或其他不燃材料覆盖泄漏物，也可以用大量水冲洗，洗水稀释后放入废水系统。大量泄漏：构筑围堤或挖坑收容。用粉状石灰石、熟石灰、苏打灰或碳酸氢钠中和。用抗溶性泡沫覆盖，减少蒸发。用耐腐蚀泵转移至槽车或专用收集器内。</w:t>
            </w:r>
          </w:p>
        </w:tc>
        <w:tc>
          <w:tcPr>
            <w:tcW w:w="3827" w:type="dxa"/>
            <w:shd w:val="clear" w:color="000000" w:fill="FFFFFF"/>
            <w:vAlign w:val="center"/>
          </w:tcPr>
          <w:p w14:paraId="6BA9EC4A">
            <w:pPr>
              <w:pStyle w:val="78"/>
            </w:pPr>
            <w:r>
              <w:rPr>
                <w:rFonts w:hint="eastAsia"/>
              </w:rPr>
              <w:t>大量泄漏时建议应急处置人员佩戴正压呼吸器，穿着化学防护服：少量泄漏时，可佩戴防毒面具和</w:t>
            </w:r>
            <w:r>
              <w:t>4#</w:t>
            </w:r>
            <w:r>
              <w:rPr>
                <w:rFonts w:hint="eastAsia"/>
              </w:rPr>
              <w:t>滤毒罐，穿戴长袖耐酸碱手套和耐酸碱防护靴。禁止跨越泄漏物。尽可能切断泄漏源，消除所有点火源。</w:t>
            </w:r>
          </w:p>
          <w:p w14:paraId="70DAD628">
            <w:pPr>
              <w:pStyle w:val="78"/>
            </w:pPr>
            <w:r>
              <w:rPr>
                <w:rFonts w:hint="eastAsia"/>
              </w:rPr>
              <w:t>根据液体流动和扩散的影响区划定警戒区，无关人员从侧风向、上风向撤离至安全区。</w:t>
            </w:r>
          </w:p>
          <w:p w14:paraId="16569F5D">
            <w:pPr>
              <w:pStyle w:val="78"/>
            </w:pPr>
            <w:r>
              <w:rPr>
                <w:rFonts w:hint="eastAsia"/>
              </w:rPr>
              <w:t>少量泄漏：用砂土、蛭石或其它惰性材料吸收，也可用大量水冲洗，洗水稀释后放入废水系统。</w:t>
            </w:r>
          </w:p>
          <w:p w14:paraId="142C7CBE">
            <w:pPr>
              <w:pStyle w:val="78"/>
            </w:pPr>
            <w:r>
              <w:rPr>
                <w:rFonts w:hint="eastAsia"/>
              </w:rPr>
              <w:t>大量泄漏：构筑围堤或挖坑收容泄漏物，用泵转移至槽车或专用收集器内，回收或运至废物处理场所处置。</w:t>
            </w:r>
          </w:p>
        </w:tc>
      </w:tr>
      <w:tr w14:paraId="0807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9B165AE">
            <w:pPr>
              <w:pStyle w:val="78"/>
              <w:rPr>
                <w:rFonts w:cs="Times New Roman"/>
                <w:szCs w:val="21"/>
              </w:rPr>
            </w:pPr>
          </w:p>
        </w:tc>
        <w:tc>
          <w:tcPr>
            <w:tcW w:w="1559" w:type="dxa"/>
            <w:shd w:val="clear" w:color="000000" w:fill="FFFFFF"/>
            <w:noWrap/>
            <w:vAlign w:val="center"/>
          </w:tcPr>
          <w:p w14:paraId="35968FBD">
            <w:pPr>
              <w:pStyle w:val="78"/>
              <w:rPr>
                <w:rFonts w:cs="Times New Roman"/>
                <w:szCs w:val="21"/>
              </w:rPr>
            </w:pPr>
            <w:r>
              <w:rPr>
                <w:rFonts w:cs="Times New Roman"/>
                <w:szCs w:val="21"/>
              </w:rPr>
              <w:t>灭火方法</w:t>
            </w:r>
          </w:p>
        </w:tc>
        <w:tc>
          <w:tcPr>
            <w:tcW w:w="3969" w:type="dxa"/>
            <w:shd w:val="clear" w:color="000000" w:fill="FFFFFF"/>
            <w:vAlign w:val="center"/>
          </w:tcPr>
          <w:p w14:paraId="6C152318">
            <w:pPr>
              <w:pStyle w:val="78"/>
              <w:rPr>
                <w:rFonts w:cs="Times New Roman"/>
                <w:szCs w:val="21"/>
              </w:rPr>
            </w:pPr>
            <w:r>
              <w:rPr>
                <w:rFonts w:cs="Times New Roman"/>
                <w:szCs w:val="21"/>
              </w:rPr>
              <w:t>切断气源。若不能切断气源，则不允许熄灭泄漏处的火焰。消防人员必须佩戴空气呼吸器、穿全身防火防毒服，在上风向灭火。尽可能将容器从火场移至空旷处。喷水保持火场容器冷却，直至灭火结束。</w:t>
            </w:r>
          </w:p>
        </w:tc>
        <w:tc>
          <w:tcPr>
            <w:tcW w:w="3969" w:type="dxa"/>
            <w:shd w:val="clear" w:color="000000" w:fill="FFFFFF"/>
            <w:vAlign w:val="center"/>
          </w:tcPr>
          <w:p w14:paraId="01F03CF8">
            <w:pPr>
              <w:pStyle w:val="78"/>
              <w:rPr>
                <w:rFonts w:cs="Times New Roman"/>
                <w:szCs w:val="21"/>
              </w:rPr>
            </w:pPr>
            <w:r>
              <w:rPr>
                <w:rFonts w:cs="Times New Roman"/>
                <w:szCs w:val="21"/>
              </w:rPr>
              <w:t>消防人员必须穿全身耐酸碱消防服、佩戴空气呼吸器灭火。尽可能将容器从火场移至空旷处。喷水保持火场容器冷却，直至灭火结束。</w:t>
            </w:r>
          </w:p>
        </w:tc>
        <w:tc>
          <w:tcPr>
            <w:tcW w:w="3827" w:type="dxa"/>
            <w:shd w:val="clear" w:color="000000" w:fill="FFFFFF"/>
            <w:vAlign w:val="center"/>
          </w:tcPr>
          <w:p w14:paraId="785FA346">
            <w:pPr>
              <w:pStyle w:val="78"/>
            </w:pPr>
            <w:r>
              <w:rPr>
                <w:rFonts w:hint="eastAsia"/>
              </w:rPr>
              <w:t>使用个人防护装备，雾状水、二氧化碳、沙土。</w:t>
            </w:r>
          </w:p>
        </w:tc>
      </w:tr>
      <w:tr w14:paraId="2E82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27F4D2C5">
            <w:pPr>
              <w:pStyle w:val="78"/>
              <w:rPr>
                <w:b/>
                <w:bCs/>
              </w:rPr>
            </w:pPr>
            <w:r>
              <w:rPr>
                <w:b/>
                <w:bCs/>
              </w:rPr>
              <w:t>物质</w:t>
            </w:r>
          </w:p>
        </w:tc>
        <w:tc>
          <w:tcPr>
            <w:tcW w:w="3969" w:type="dxa"/>
            <w:shd w:val="clear" w:color="000000" w:fill="FFFFFF"/>
            <w:vAlign w:val="center"/>
          </w:tcPr>
          <w:p w14:paraId="7646A295">
            <w:pPr>
              <w:pStyle w:val="78"/>
              <w:rPr>
                <w:b/>
                <w:bCs/>
              </w:rPr>
            </w:pPr>
            <w:r>
              <w:rPr>
                <w:b/>
                <w:bCs/>
              </w:rPr>
              <w:t>次氯酸钠</w:t>
            </w:r>
          </w:p>
        </w:tc>
        <w:tc>
          <w:tcPr>
            <w:tcW w:w="3969" w:type="dxa"/>
            <w:shd w:val="clear" w:color="000000" w:fill="FFFFFF"/>
            <w:vAlign w:val="center"/>
          </w:tcPr>
          <w:p w14:paraId="0ED8383A">
            <w:pPr>
              <w:pStyle w:val="78"/>
              <w:rPr>
                <w:b/>
              </w:rPr>
            </w:pPr>
          </w:p>
        </w:tc>
        <w:tc>
          <w:tcPr>
            <w:tcW w:w="3827" w:type="dxa"/>
            <w:shd w:val="clear" w:color="000000" w:fill="FFFFFF"/>
            <w:vAlign w:val="center"/>
          </w:tcPr>
          <w:p w14:paraId="17F1B38F">
            <w:pPr>
              <w:pStyle w:val="78"/>
              <w:rPr>
                <w:b/>
              </w:rPr>
            </w:pPr>
          </w:p>
        </w:tc>
      </w:tr>
      <w:tr w14:paraId="6C9A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52474FEA">
            <w:pPr>
              <w:pStyle w:val="78"/>
            </w:pPr>
            <w:r>
              <w:t>物化性质</w:t>
            </w:r>
          </w:p>
        </w:tc>
        <w:tc>
          <w:tcPr>
            <w:tcW w:w="1559" w:type="dxa"/>
            <w:shd w:val="clear" w:color="000000" w:fill="FFFFFF"/>
            <w:vAlign w:val="center"/>
          </w:tcPr>
          <w:p w14:paraId="14D1B201">
            <w:pPr>
              <w:pStyle w:val="78"/>
            </w:pPr>
            <w:r>
              <w:t>CAS号</w:t>
            </w:r>
          </w:p>
        </w:tc>
        <w:tc>
          <w:tcPr>
            <w:tcW w:w="3969" w:type="dxa"/>
            <w:shd w:val="clear" w:color="000000" w:fill="FFFFFF"/>
            <w:vAlign w:val="center"/>
          </w:tcPr>
          <w:p w14:paraId="4BA69CB7">
            <w:pPr>
              <w:pStyle w:val="78"/>
            </w:pPr>
            <w:r>
              <w:t>7681-52-9</w:t>
            </w:r>
          </w:p>
        </w:tc>
        <w:tc>
          <w:tcPr>
            <w:tcW w:w="3969" w:type="dxa"/>
            <w:shd w:val="clear" w:color="000000" w:fill="FFFFFF"/>
            <w:vAlign w:val="center"/>
          </w:tcPr>
          <w:p w14:paraId="51D6F5D7">
            <w:pPr>
              <w:pStyle w:val="78"/>
              <w:rPr>
                <w:rFonts w:cs="Times New Roman"/>
                <w:szCs w:val="21"/>
              </w:rPr>
            </w:pPr>
          </w:p>
        </w:tc>
        <w:tc>
          <w:tcPr>
            <w:tcW w:w="3827" w:type="dxa"/>
            <w:shd w:val="clear" w:color="000000" w:fill="FFFFFF"/>
            <w:vAlign w:val="center"/>
          </w:tcPr>
          <w:p w14:paraId="3EA21F62">
            <w:pPr>
              <w:pStyle w:val="78"/>
              <w:rPr>
                <w:rFonts w:cs="Times New Roman"/>
                <w:szCs w:val="21"/>
              </w:rPr>
            </w:pPr>
          </w:p>
        </w:tc>
      </w:tr>
      <w:tr w14:paraId="6EDF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948C0BC">
            <w:pPr>
              <w:pStyle w:val="78"/>
            </w:pPr>
          </w:p>
        </w:tc>
        <w:tc>
          <w:tcPr>
            <w:tcW w:w="1559" w:type="dxa"/>
            <w:shd w:val="clear" w:color="000000" w:fill="FFFFFF"/>
            <w:vAlign w:val="center"/>
          </w:tcPr>
          <w:p w14:paraId="4716AC10">
            <w:pPr>
              <w:pStyle w:val="78"/>
            </w:pPr>
            <w:r>
              <w:t>中文名称/别名</w:t>
            </w:r>
          </w:p>
        </w:tc>
        <w:tc>
          <w:tcPr>
            <w:tcW w:w="3969" w:type="dxa"/>
            <w:shd w:val="clear" w:color="000000" w:fill="FFFFFF"/>
            <w:vAlign w:val="center"/>
          </w:tcPr>
          <w:p w14:paraId="4BD3AB64">
            <w:pPr>
              <w:pStyle w:val="78"/>
            </w:pPr>
            <w:r>
              <w:t>次氯酸钠</w:t>
            </w:r>
          </w:p>
        </w:tc>
        <w:tc>
          <w:tcPr>
            <w:tcW w:w="3969" w:type="dxa"/>
            <w:shd w:val="clear" w:color="000000" w:fill="FFFFFF"/>
            <w:vAlign w:val="center"/>
          </w:tcPr>
          <w:p w14:paraId="12630368">
            <w:pPr>
              <w:pStyle w:val="78"/>
              <w:rPr>
                <w:rFonts w:cs="Times New Roman"/>
                <w:szCs w:val="21"/>
              </w:rPr>
            </w:pPr>
          </w:p>
        </w:tc>
        <w:tc>
          <w:tcPr>
            <w:tcW w:w="3827" w:type="dxa"/>
            <w:shd w:val="clear" w:color="000000" w:fill="FFFFFF"/>
            <w:vAlign w:val="center"/>
          </w:tcPr>
          <w:p w14:paraId="7B866BB8">
            <w:pPr>
              <w:pStyle w:val="78"/>
              <w:rPr>
                <w:rFonts w:cs="Times New Roman"/>
                <w:szCs w:val="21"/>
              </w:rPr>
            </w:pPr>
          </w:p>
        </w:tc>
      </w:tr>
      <w:tr w14:paraId="520F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ABA240B">
            <w:pPr>
              <w:pStyle w:val="78"/>
            </w:pPr>
          </w:p>
        </w:tc>
        <w:tc>
          <w:tcPr>
            <w:tcW w:w="1559" w:type="dxa"/>
            <w:shd w:val="clear" w:color="000000" w:fill="FFFFFF"/>
            <w:vAlign w:val="center"/>
          </w:tcPr>
          <w:p w14:paraId="22057BDC">
            <w:pPr>
              <w:pStyle w:val="78"/>
            </w:pPr>
            <w:r>
              <w:t>分子式</w:t>
            </w:r>
          </w:p>
        </w:tc>
        <w:tc>
          <w:tcPr>
            <w:tcW w:w="3969" w:type="dxa"/>
            <w:shd w:val="clear" w:color="000000" w:fill="FFFFFF"/>
            <w:vAlign w:val="center"/>
          </w:tcPr>
          <w:p w14:paraId="476D73CC">
            <w:pPr>
              <w:pStyle w:val="78"/>
            </w:pPr>
            <w:r>
              <w:t>NaClO</w:t>
            </w:r>
          </w:p>
        </w:tc>
        <w:tc>
          <w:tcPr>
            <w:tcW w:w="3969" w:type="dxa"/>
            <w:shd w:val="clear" w:color="000000" w:fill="FFFFFF"/>
            <w:vAlign w:val="center"/>
          </w:tcPr>
          <w:p w14:paraId="4D0040E2">
            <w:pPr>
              <w:pStyle w:val="78"/>
              <w:rPr>
                <w:rFonts w:cs="Times New Roman"/>
                <w:szCs w:val="21"/>
              </w:rPr>
            </w:pPr>
          </w:p>
        </w:tc>
        <w:tc>
          <w:tcPr>
            <w:tcW w:w="3827" w:type="dxa"/>
            <w:shd w:val="clear" w:color="000000" w:fill="FFFFFF"/>
            <w:vAlign w:val="center"/>
          </w:tcPr>
          <w:p w14:paraId="1DC60DE6">
            <w:pPr>
              <w:pStyle w:val="78"/>
              <w:rPr>
                <w:rFonts w:cs="Times New Roman"/>
                <w:szCs w:val="21"/>
              </w:rPr>
            </w:pPr>
          </w:p>
        </w:tc>
      </w:tr>
      <w:tr w14:paraId="6094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6B75810">
            <w:pPr>
              <w:pStyle w:val="78"/>
            </w:pPr>
          </w:p>
        </w:tc>
        <w:tc>
          <w:tcPr>
            <w:tcW w:w="1559" w:type="dxa"/>
            <w:shd w:val="clear" w:color="000000" w:fill="FFFFFF"/>
            <w:vAlign w:val="center"/>
          </w:tcPr>
          <w:p w14:paraId="02BA26B9">
            <w:pPr>
              <w:pStyle w:val="78"/>
            </w:pPr>
            <w:r>
              <w:t>分子量</w:t>
            </w:r>
          </w:p>
        </w:tc>
        <w:tc>
          <w:tcPr>
            <w:tcW w:w="3969" w:type="dxa"/>
            <w:shd w:val="clear" w:color="000000" w:fill="FFFFFF"/>
            <w:noWrap/>
            <w:vAlign w:val="center"/>
          </w:tcPr>
          <w:p w14:paraId="3A6C3091">
            <w:pPr>
              <w:pStyle w:val="78"/>
            </w:pPr>
            <w:r>
              <w:rPr>
                <w:rFonts w:hint="eastAsia"/>
              </w:rPr>
              <w:t>74.44</w:t>
            </w:r>
          </w:p>
        </w:tc>
        <w:tc>
          <w:tcPr>
            <w:tcW w:w="3969" w:type="dxa"/>
            <w:shd w:val="clear" w:color="000000" w:fill="FFFFFF"/>
            <w:noWrap/>
            <w:vAlign w:val="center"/>
          </w:tcPr>
          <w:p w14:paraId="63900EB5">
            <w:pPr>
              <w:pStyle w:val="78"/>
              <w:rPr>
                <w:rFonts w:cs="Times New Roman"/>
                <w:szCs w:val="21"/>
              </w:rPr>
            </w:pPr>
          </w:p>
        </w:tc>
        <w:tc>
          <w:tcPr>
            <w:tcW w:w="3827" w:type="dxa"/>
            <w:shd w:val="clear" w:color="000000" w:fill="FFFFFF"/>
            <w:noWrap/>
            <w:vAlign w:val="center"/>
          </w:tcPr>
          <w:p w14:paraId="2891130B">
            <w:pPr>
              <w:pStyle w:val="78"/>
              <w:rPr>
                <w:rFonts w:cs="Times New Roman"/>
                <w:szCs w:val="21"/>
              </w:rPr>
            </w:pPr>
          </w:p>
        </w:tc>
      </w:tr>
      <w:tr w14:paraId="1277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334C0A30">
            <w:pPr>
              <w:pStyle w:val="78"/>
            </w:pPr>
          </w:p>
        </w:tc>
        <w:tc>
          <w:tcPr>
            <w:tcW w:w="1559" w:type="dxa"/>
            <w:shd w:val="clear" w:color="000000" w:fill="FFFFFF"/>
            <w:vAlign w:val="center"/>
          </w:tcPr>
          <w:p w14:paraId="072FB2E6">
            <w:pPr>
              <w:pStyle w:val="78"/>
            </w:pPr>
            <w:r>
              <w:t>外观性状</w:t>
            </w:r>
          </w:p>
        </w:tc>
        <w:tc>
          <w:tcPr>
            <w:tcW w:w="3969" w:type="dxa"/>
            <w:shd w:val="clear" w:color="000000" w:fill="FFFFFF"/>
            <w:vAlign w:val="center"/>
          </w:tcPr>
          <w:p w14:paraId="4BEEE4C4">
            <w:pPr>
              <w:pStyle w:val="78"/>
            </w:pPr>
            <w:r>
              <w:rPr>
                <w:rFonts w:hint="eastAsia"/>
              </w:rPr>
              <w:t>微黄色溶液，有似氯气的气味。</w:t>
            </w:r>
          </w:p>
        </w:tc>
        <w:tc>
          <w:tcPr>
            <w:tcW w:w="3969" w:type="dxa"/>
            <w:shd w:val="clear" w:color="000000" w:fill="FFFFFF"/>
            <w:vAlign w:val="center"/>
          </w:tcPr>
          <w:p w14:paraId="26CB0A6C">
            <w:pPr>
              <w:pStyle w:val="78"/>
              <w:rPr>
                <w:rFonts w:cs="Times New Roman"/>
                <w:szCs w:val="21"/>
              </w:rPr>
            </w:pPr>
          </w:p>
        </w:tc>
        <w:tc>
          <w:tcPr>
            <w:tcW w:w="3827" w:type="dxa"/>
            <w:shd w:val="clear" w:color="000000" w:fill="FFFFFF"/>
            <w:vAlign w:val="center"/>
          </w:tcPr>
          <w:p w14:paraId="565B9531">
            <w:pPr>
              <w:pStyle w:val="78"/>
              <w:rPr>
                <w:rFonts w:cs="Times New Roman"/>
                <w:szCs w:val="21"/>
              </w:rPr>
            </w:pPr>
          </w:p>
        </w:tc>
      </w:tr>
      <w:tr w14:paraId="2FDE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0AF71DB9">
            <w:pPr>
              <w:pStyle w:val="78"/>
            </w:pPr>
          </w:p>
        </w:tc>
        <w:tc>
          <w:tcPr>
            <w:tcW w:w="1559" w:type="dxa"/>
            <w:shd w:val="clear" w:color="000000" w:fill="FFFFFF"/>
            <w:vAlign w:val="center"/>
          </w:tcPr>
          <w:p w14:paraId="453BEFC3">
            <w:pPr>
              <w:pStyle w:val="78"/>
            </w:pPr>
            <w:r>
              <w:t>沸点，℃</w:t>
            </w:r>
          </w:p>
        </w:tc>
        <w:tc>
          <w:tcPr>
            <w:tcW w:w="3969" w:type="dxa"/>
            <w:shd w:val="clear" w:color="000000" w:fill="FFFFFF"/>
            <w:vAlign w:val="center"/>
          </w:tcPr>
          <w:p w14:paraId="2769F677">
            <w:pPr>
              <w:pStyle w:val="78"/>
            </w:pPr>
            <w:r>
              <w:rPr>
                <w:rFonts w:hint="eastAsia"/>
              </w:rPr>
              <w:t>无资料</w:t>
            </w:r>
          </w:p>
        </w:tc>
        <w:tc>
          <w:tcPr>
            <w:tcW w:w="3969" w:type="dxa"/>
            <w:shd w:val="clear" w:color="000000" w:fill="FFFFFF"/>
            <w:vAlign w:val="center"/>
          </w:tcPr>
          <w:p w14:paraId="2720F8EA">
            <w:pPr>
              <w:pStyle w:val="78"/>
              <w:rPr>
                <w:rFonts w:cs="Times New Roman"/>
                <w:szCs w:val="21"/>
              </w:rPr>
            </w:pPr>
          </w:p>
        </w:tc>
        <w:tc>
          <w:tcPr>
            <w:tcW w:w="3827" w:type="dxa"/>
            <w:shd w:val="clear" w:color="000000" w:fill="FFFFFF"/>
            <w:vAlign w:val="center"/>
          </w:tcPr>
          <w:p w14:paraId="36FA0000">
            <w:pPr>
              <w:pStyle w:val="78"/>
              <w:rPr>
                <w:rFonts w:cs="Times New Roman"/>
                <w:szCs w:val="21"/>
              </w:rPr>
            </w:pPr>
          </w:p>
        </w:tc>
      </w:tr>
      <w:tr w14:paraId="0C7F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2AE4669">
            <w:pPr>
              <w:pStyle w:val="78"/>
            </w:pPr>
          </w:p>
        </w:tc>
        <w:tc>
          <w:tcPr>
            <w:tcW w:w="1559" w:type="dxa"/>
            <w:shd w:val="clear" w:color="000000" w:fill="FFFFFF"/>
            <w:vAlign w:val="center"/>
          </w:tcPr>
          <w:p w14:paraId="42CFEA22">
            <w:pPr>
              <w:pStyle w:val="78"/>
            </w:pPr>
            <w:r>
              <w:t>熔点，℃</w:t>
            </w:r>
          </w:p>
        </w:tc>
        <w:tc>
          <w:tcPr>
            <w:tcW w:w="3969" w:type="dxa"/>
            <w:shd w:val="clear" w:color="000000" w:fill="FFFFFF"/>
            <w:vAlign w:val="center"/>
          </w:tcPr>
          <w:p w14:paraId="3D55F8D6">
            <w:pPr>
              <w:pStyle w:val="78"/>
            </w:pPr>
            <w:r>
              <w:rPr>
                <w:rFonts w:hint="eastAsia"/>
              </w:rPr>
              <w:t>-6</w:t>
            </w:r>
          </w:p>
        </w:tc>
        <w:tc>
          <w:tcPr>
            <w:tcW w:w="3969" w:type="dxa"/>
            <w:shd w:val="clear" w:color="000000" w:fill="FFFFFF"/>
            <w:vAlign w:val="center"/>
          </w:tcPr>
          <w:p w14:paraId="26380575">
            <w:pPr>
              <w:pStyle w:val="78"/>
              <w:rPr>
                <w:rFonts w:cs="Times New Roman"/>
                <w:szCs w:val="21"/>
              </w:rPr>
            </w:pPr>
          </w:p>
        </w:tc>
        <w:tc>
          <w:tcPr>
            <w:tcW w:w="3827" w:type="dxa"/>
            <w:shd w:val="clear" w:color="000000" w:fill="FFFFFF"/>
            <w:vAlign w:val="center"/>
          </w:tcPr>
          <w:p w14:paraId="4E361991">
            <w:pPr>
              <w:pStyle w:val="78"/>
              <w:rPr>
                <w:rFonts w:cs="Times New Roman"/>
                <w:szCs w:val="21"/>
              </w:rPr>
            </w:pPr>
          </w:p>
        </w:tc>
      </w:tr>
      <w:tr w14:paraId="652A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A548A95">
            <w:pPr>
              <w:pStyle w:val="78"/>
            </w:pPr>
          </w:p>
        </w:tc>
        <w:tc>
          <w:tcPr>
            <w:tcW w:w="1559" w:type="dxa"/>
            <w:shd w:val="clear" w:color="000000" w:fill="FFFFFF"/>
            <w:vAlign w:val="center"/>
          </w:tcPr>
          <w:p w14:paraId="38553691">
            <w:pPr>
              <w:pStyle w:val="78"/>
            </w:pPr>
            <w:r>
              <w:t>饱和蒸汽压，kPa</w:t>
            </w:r>
          </w:p>
        </w:tc>
        <w:tc>
          <w:tcPr>
            <w:tcW w:w="3969" w:type="dxa"/>
            <w:shd w:val="clear" w:color="000000" w:fill="FFFFFF"/>
            <w:vAlign w:val="center"/>
          </w:tcPr>
          <w:p w14:paraId="381B3A9C">
            <w:pPr>
              <w:pStyle w:val="78"/>
            </w:pPr>
            <w:r>
              <w:rPr>
                <w:rFonts w:hint="eastAsia"/>
              </w:rPr>
              <w:t>无资料</w:t>
            </w:r>
          </w:p>
        </w:tc>
        <w:tc>
          <w:tcPr>
            <w:tcW w:w="3969" w:type="dxa"/>
            <w:shd w:val="clear" w:color="000000" w:fill="FFFFFF"/>
            <w:vAlign w:val="center"/>
          </w:tcPr>
          <w:p w14:paraId="07A435A9">
            <w:pPr>
              <w:pStyle w:val="78"/>
              <w:rPr>
                <w:rFonts w:cs="Times New Roman"/>
                <w:szCs w:val="21"/>
              </w:rPr>
            </w:pPr>
          </w:p>
        </w:tc>
        <w:tc>
          <w:tcPr>
            <w:tcW w:w="3827" w:type="dxa"/>
            <w:shd w:val="clear" w:color="000000" w:fill="FFFFFF"/>
            <w:vAlign w:val="center"/>
          </w:tcPr>
          <w:p w14:paraId="41AB56B5">
            <w:pPr>
              <w:pStyle w:val="78"/>
              <w:rPr>
                <w:rFonts w:cs="Times New Roman"/>
                <w:szCs w:val="21"/>
              </w:rPr>
            </w:pPr>
          </w:p>
        </w:tc>
      </w:tr>
      <w:tr w14:paraId="7CD9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vAlign w:val="center"/>
          </w:tcPr>
          <w:p w14:paraId="1E368451">
            <w:pPr>
              <w:pStyle w:val="78"/>
            </w:pPr>
            <w:r>
              <w:t>危险性类别</w:t>
            </w:r>
          </w:p>
        </w:tc>
        <w:tc>
          <w:tcPr>
            <w:tcW w:w="3969" w:type="dxa"/>
            <w:shd w:val="clear" w:color="000000" w:fill="FFFFFF"/>
            <w:vAlign w:val="center"/>
          </w:tcPr>
          <w:p w14:paraId="2C7EE31B">
            <w:pPr>
              <w:pStyle w:val="78"/>
            </w:pPr>
            <w:r>
              <w:rPr>
                <w:rFonts w:hint="eastAsia"/>
              </w:rPr>
              <w:t>皮肤腐蚀</w:t>
            </w:r>
            <w:r>
              <w:t>/</w:t>
            </w:r>
            <w:r>
              <w:rPr>
                <w:rFonts w:hint="eastAsia"/>
              </w:rPr>
              <w:t>刺激</w:t>
            </w:r>
            <w:r>
              <w:t>(</w:t>
            </w:r>
            <w:r>
              <w:rPr>
                <w:rFonts w:hint="eastAsia"/>
              </w:rPr>
              <w:t>类别</w:t>
            </w:r>
            <w:r>
              <w:t xml:space="preserve"> 2),H315</w:t>
            </w:r>
            <w:r>
              <w:rPr>
                <w:rFonts w:hint="eastAsia"/>
              </w:rPr>
              <w:t>；严重损伤</w:t>
            </w:r>
            <w:r>
              <w:t>/</w:t>
            </w:r>
            <w:r>
              <w:rPr>
                <w:rFonts w:hint="eastAsia"/>
              </w:rPr>
              <w:t>刺激眼睛</w:t>
            </w:r>
            <w:r>
              <w:t>(</w:t>
            </w:r>
            <w:r>
              <w:rPr>
                <w:rFonts w:hint="eastAsia"/>
              </w:rPr>
              <w:t>类别</w:t>
            </w:r>
            <w:r>
              <w:t xml:space="preserve"> 1),H318</w:t>
            </w:r>
            <w:r>
              <w:rPr>
                <w:rFonts w:hint="eastAsia"/>
              </w:rPr>
              <w:t>；急性（短期）水生危害</w:t>
            </w:r>
            <w:r>
              <w:t>(</w:t>
            </w:r>
            <w:r>
              <w:rPr>
                <w:rFonts w:hint="eastAsia"/>
              </w:rPr>
              <w:t>类别</w:t>
            </w:r>
            <w:r>
              <w:t xml:space="preserve"> 1),H400</w:t>
            </w:r>
            <w:r>
              <w:rPr>
                <w:rFonts w:hint="eastAsia"/>
              </w:rPr>
              <w:t>；长期水生危害</w:t>
            </w:r>
            <w:r>
              <w:t>(</w:t>
            </w:r>
            <w:r>
              <w:rPr>
                <w:rFonts w:hint="eastAsia"/>
              </w:rPr>
              <w:t>类别</w:t>
            </w:r>
            <w:r>
              <w:t xml:space="preserve"> 2),H411</w:t>
            </w:r>
            <w:r>
              <w:rPr>
                <w:rFonts w:hint="eastAsia"/>
              </w:rPr>
              <w:t>。</w:t>
            </w:r>
          </w:p>
        </w:tc>
        <w:tc>
          <w:tcPr>
            <w:tcW w:w="3969" w:type="dxa"/>
            <w:shd w:val="clear" w:color="000000" w:fill="FFFFFF"/>
            <w:vAlign w:val="center"/>
          </w:tcPr>
          <w:p w14:paraId="1ADB47D2">
            <w:pPr>
              <w:pStyle w:val="78"/>
              <w:rPr>
                <w:rFonts w:cs="Times New Roman"/>
                <w:szCs w:val="21"/>
              </w:rPr>
            </w:pPr>
          </w:p>
        </w:tc>
        <w:tc>
          <w:tcPr>
            <w:tcW w:w="3827" w:type="dxa"/>
            <w:shd w:val="clear" w:color="000000" w:fill="FFFFFF"/>
            <w:vAlign w:val="center"/>
          </w:tcPr>
          <w:p w14:paraId="695F01ED">
            <w:pPr>
              <w:pStyle w:val="78"/>
              <w:rPr>
                <w:rFonts w:cs="Times New Roman"/>
                <w:szCs w:val="21"/>
              </w:rPr>
            </w:pPr>
          </w:p>
        </w:tc>
      </w:tr>
      <w:tr w14:paraId="2C18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4CCAA279">
            <w:pPr>
              <w:pStyle w:val="78"/>
            </w:pPr>
            <w:r>
              <w:t>危险特性</w:t>
            </w:r>
          </w:p>
        </w:tc>
        <w:tc>
          <w:tcPr>
            <w:tcW w:w="3969" w:type="dxa"/>
            <w:shd w:val="clear" w:color="000000" w:fill="FFFFFF"/>
            <w:vAlign w:val="center"/>
          </w:tcPr>
          <w:p w14:paraId="14C7DBCB">
            <w:pPr>
              <w:pStyle w:val="78"/>
            </w:pPr>
            <w:r>
              <w:rPr>
                <w:rFonts w:hint="eastAsia"/>
              </w:rPr>
              <w:t>受高热分解产生有毒的腐蚀性烟气。具有腐蚀性。</w:t>
            </w:r>
          </w:p>
        </w:tc>
        <w:tc>
          <w:tcPr>
            <w:tcW w:w="3969" w:type="dxa"/>
            <w:shd w:val="clear" w:color="000000" w:fill="FFFFFF"/>
            <w:vAlign w:val="center"/>
          </w:tcPr>
          <w:p w14:paraId="5247BA6F">
            <w:pPr>
              <w:pStyle w:val="78"/>
              <w:rPr>
                <w:rFonts w:cs="Times New Roman"/>
                <w:szCs w:val="21"/>
              </w:rPr>
            </w:pPr>
          </w:p>
        </w:tc>
        <w:tc>
          <w:tcPr>
            <w:tcW w:w="3827" w:type="dxa"/>
            <w:shd w:val="clear" w:color="000000" w:fill="FFFFFF"/>
            <w:vAlign w:val="center"/>
          </w:tcPr>
          <w:p w14:paraId="24C81D4D">
            <w:pPr>
              <w:pStyle w:val="78"/>
              <w:rPr>
                <w:rFonts w:cs="Times New Roman"/>
                <w:szCs w:val="21"/>
              </w:rPr>
            </w:pPr>
          </w:p>
        </w:tc>
      </w:tr>
      <w:tr w14:paraId="4110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0" w:type="dxa"/>
            <w:gridSpan w:val="2"/>
            <w:shd w:val="clear" w:color="000000" w:fill="FFFFFF"/>
            <w:noWrap/>
            <w:vAlign w:val="center"/>
          </w:tcPr>
          <w:p w14:paraId="50423BC4">
            <w:pPr>
              <w:pStyle w:val="78"/>
            </w:pPr>
            <w:r>
              <w:t>禁忌物</w:t>
            </w:r>
          </w:p>
        </w:tc>
        <w:tc>
          <w:tcPr>
            <w:tcW w:w="3969" w:type="dxa"/>
            <w:shd w:val="clear" w:color="000000" w:fill="FFFFFF"/>
            <w:vAlign w:val="center"/>
          </w:tcPr>
          <w:p w14:paraId="17FB9B62">
            <w:pPr>
              <w:pStyle w:val="78"/>
            </w:pPr>
            <w:r>
              <w:rPr>
                <w:rFonts w:hint="eastAsia"/>
              </w:rPr>
              <w:t>酸类</w:t>
            </w:r>
          </w:p>
        </w:tc>
        <w:tc>
          <w:tcPr>
            <w:tcW w:w="3969" w:type="dxa"/>
            <w:shd w:val="clear" w:color="000000" w:fill="FFFFFF"/>
            <w:vAlign w:val="center"/>
          </w:tcPr>
          <w:p w14:paraId="2A84B587">
            <w:pPr>
              <w:pStyle w:val="78"/>
              <w:rPr>
                <w:rFonts w:cs="Times New Roman"/>
                <w:szCs w:val="21"/>
              </w:rPr>
            </w:pPr>
          </w:p>
        </w:tc>
        <w:tc>
          <w:tcPr>
            <w:tcW w:w="3827" w:type="dxa"/>
            <w:shd w:val="clear" w:color="000000" w:fill="FFFFFF"/>
            <w:vAlign w:val="center"/>
          </w:tcPr>
          <w:p w14:paraId="4034B4FD">
            <w:pPr>
              <w:pStyle w:val="78"/>
              <w:rPr>
                <w:rFonts w:cs="Times New Roman"/>
                <w:szCs w:val="21"/>
              </w:rPr>
            </w:pPr>
          </w:p>
        </w:tc>
      </w:tr>
      <w:tr w14:paraId="5764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noWrap/>
            <w:vAlign w:val="center"/>
          </w:tcPr>
          <w:p w14:paraId="2416BF52">
            <w:pPr>
              <w:pStyle w:val="78"/>
            </w:pPr>
            <w:r>
              <w:t>毒性及健康危害</w:t>
            </w:r>
          </w:p>
        </w:tc>
        <w:tc>
          <w:tcPr>
            <w:tcW w:w="1559" w:type="dxa"/>
            <w:shd w:val="clear" w:color="000000" w:fill="FFFFFF"/>
            <w:vAlign w:val="center"/>
          </w:tcPr>
          <w:p w14:paraId="17B67001">
            <w:pPr>
              <w:pStyle w:val="78"/>
            </w:pPr>
            <w:r>
              <w:t>LC50/LD50</w:t>
            </w:r>
          </w:p>
        </w:tc>
        <w:tc>
          <w:tcPr>
            <w:tcW w:w="3969" w:type="dxa"/>
            <w:shd w:val="clear" w:color="000000" w:fill="FFFFFF"/>
            <w:vAlign w:val="center"/>
          </w:tcPr>
          <w:p w14:paraId="4CF38737">
            <w:pPr>
              <w:pStyle w:val="78"/>
            </w:pPr>
            <w:r>
              <w:rPr>
                <w:rFonts w:hint="eastAsia"/>
              </w:rPr>
              <w:t>大鼠经口</w:t>
            </w:r>
            <w:r>
              <w:t>LD50</w:t>
            </w:r>
            <w:r>
              <w:rPr>
                <w:rFonts w:hint="eastAsia"/>
              </w:rPr>
              <w:t>：食道及消化道黏膜刺激</w:t>
            </w:r>
          </w:p>
        </w:tc>
        <w:tc>
          <w:tcPr>
            <w:tcW w:w="3969" w:type="dxa"/>
            <w:shd w:val="clear" w:color="000000" w:fill="FFFFFF"/>
            <w:vAlign w:val="center"/>
          </w:tcPr>
          <w:p w14:paraId="3597334E">
            <w:pPr>
              <w:pStyle w:val="78"/>
              <w:rPr>
                <w:rFonts w:cs="Times New Roman"/>
                <w:szCs w:val="21"/>
              </w:rPr>
            </w:pPr>
          </w:p>
        </w:tc>
        <w:tc>
          <w:tcPr>
            <w:tcW w:w="3827" w:type="dxa"/>
            <w:shd w:val="clear" w:color="000000" w:fill="FFFFFF"/>
            <w:vAlign w:val="center"/>
          </w:tcPr>
          <w:p w14:paraId="04980783">
            <w:pPr>
              <w:pStyle w:val="78"/>
              <w:rPr>
                <w:rFonts w:cs="Times New Roman"/>
                <w:szCs w:val="21"/>
              </w:rPr>
            </w:pPr>
          </w:p>
        </w:tc>
      </w:tr>
      <w:tr w14:paraId="2050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55FFE64F">
            <w:pPr>
              <w:pStyle w:val="78"/>
            </w:pPr>
          </w:p>
        </w:tc>
        <w:tc>
          <w:tcPr>
            <w:tcW w:w="1559" w:type="dxa"/>
            <w:shd w:val="clear" w:color="000000" w:fill="FFFFFF"/>
            <w:vAlign w:val="center"/>
          </w:tcPr>
          <w:p w14:paraId="55334F52">
            <w:pPr>
              <w:pStyle w:val="78"/>
            </w:pPr>
            <w:r>
              <w:t>中毒途径</w:t>
            </w:r>
          </w:p>
        </w:tc>
        <w:tc>
          <w:tcPr>
            <w:tcW w:w="3969" w:type="dxa"/>
            <w:shd w:val="clear" w:color="000000" w:fill="FFFFFF"/>
            <w:vAlign w:val="center"/>
          </w:tcPr>
          <w:p w14:paraId="2C76E8D6">
            <w:pPr>
              <w:pStyle w:val="78"/>
            </w:pPr>
            <w:r>
              <w:rPr>
                <w:rFonts w:hint="eastAsia"/>
              </w:rPr>
              <w:t>吸入、食入</w:t>
            </w:r>
          </w:p>
        </w:tc>
        <w:tc>
          <w:tcPr>
            <w:tcW w:w="3969" w:type="dxa"/>
            <w:shd w:val="clear" w:color="000000" w:fill="FFFFFF"/>
            <w:vAlign w:val="center"/>
          </w:tcPr>
          <w:p w14:paraId="68CF30BB">
            <w:pPr>
              <w:pStyle w:val="78"/>
              <w:rPr>
                <w:rFonts w:cs="Times New Roman"/>
                <w:szCs w:val="21"/>
              </w:rPr>
            </w:pPr>
          </w:p>
        </w:tc>
        <w:tc>
          <w:tcPr>
            <w:tcW w:w="3827" w:type="dxa"/>
            <w:shd w:val="clear" w:color="000000" w:fill="FFFFFF"/>
            <w:vAlign w:val="center"/>
          </w:tcPr>
          <w:p w14:paraId="6F8D71B6">
            <w:pPr>
              <w:pStyle w:val="78"/>
              <w:rPr>
                <w:rFonts w:cs="Times New Roman"/>
                <w:szCs w:val="21"/>
              </w:rPr>
            </w:pPr>
          </w:p>
        </w:tc>
      </w:tr>
      <w:tr w14:paraId="5049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4500BDE1">
            <w:pPr>
              <w:pStyle w:val="78"/>
            </w:pPr>
          </w:p>
        </w:tc>
        <w:tc>
          <w:tcPr>
            <w:tcW w:w="1559" w:type="dxa"/>
            <w:shd w:val="clear" w:color="000000" w:fill="FFFFFF"/>
            <w:vAlign w:val="center"/>
          </w:tcPr>
          <w:p w14:paraId="48814631">
            <w:pPr>
              <w:pStyle w:val="78"/>
            </w:pPr>
            <w:r>
              <w:t>健康危害</w:t>
            </w:r>
          </w:p>
        </w:tc>
        <w:tc>
          <w:tcPr>
            <w:tcW w:w="3969" w:type="dxa"/>
            <w:shd w:val="clear" w:color="000000" w:fill="FFFFFF"/>
            <w:vAlign w:val="center"/>
          </w:tcPr>
          <w:p w14:paraId="226E9D65">
            <w:pPr>
              <w:pStyle w:val="78"/>
            </w:pPr>
            <w:r>
              <w:rPr>
                <w:rFonts w:hint="eastAsia"/>
              </w:rPr>
              <w:t>经常用手接触本品的工人，手掌大量出汗，指甲变薄，毛发脱落。本品有致敏作用。本品放出的游离氯有可能引起中毒。</w:t>
            </w:r>
          </w:p>
        </w:tc>
        <w:tc>
          <w:tcPr>
            <w:tcW w:w="3969" w:type="dxa"/>
            <w:shd w:val="clear" w:color="000000" w:fill="FFFFFF"/>
            <w:vAlign w:val="center"/>
          </w:tcPr>
          <w:p w14:paraId="0898EC22">
            <w:pPr>
              <w:pStyle w:val="78"/>
              <w:rPr>
                <w:rFonts w:cs="Times New Roman"/>
                <w:szCs w:val="21"/>
              </w:rPr>
            </w:pPr>
          </w:p>
        </w:tc>
        <w:tc>
          <w:tcPr>
            <w:tcW w:w="3827" w:type="dxa"/>
            <w:shd w:val="clear" w:color="000000" w:fill="FFFFFF"/>
            <w:vAlign w:val="center"/>
          </w:tcPr>
          <w:p w14:paraId="6DA78FEB">
            <w:pPr>
              <w:pStyle w:val="78"/>
              <w:rPr>
                <w:rFonts w:cs="Times New Roman"/>
                <w:szCs w:val="21"/>
              </w:rPr>
            </w:pPr>
          </w:p>
        </w:tc>
      </w:tr>
      <w:tr w14:paraId="2502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E8662AC">
            <w:pPr>
              <w:pStyle w:val="78"/>
            </w:pPr>
          </w:p>
        </w:tc>
        <w:tc>
          <w:tcPr>
            <w:tcW w:w="1559" w:type="dxa"/>
            <w:shd w:val="clear" w:color="000000" w:fill="FFFFFF"/>
            <w:noWrap/>
            <w:vAlign w:val="center"/>
          </w:tcPr>
          <w:p w14:paraId="24841862">
            <w:pPr>
              <w:pStyle w:val="78"/>
            </w:pPr>
            <w:r>
              <w:t>环境危害</w:t>
            </w:r>
          </w:p>
        </w:tc>
        <w:tc>
          <w:tcPr>
            <w:tcW w:w="3969" w:type="dxa"/>
            <w:shd w:val="clear" w:color="000000" w:fill="FFFFFF"/>
            <w:vAlign w:val="center"/>
          </w:tcPr>
          <w:p w14:paraId="7AA82E68">
            <w:pPr>
              <w:pStyle w:val="78"/>
            </w:pPr>
            <w:r>
              <w:t>无资料</w:t>
            </w:r>
          </w:p>
        </w:tc>
        <w:tc>
          <w:tcPr>
            <w:tcW w:w="3969" w:type="dxa"/>
            <w:shd w:val="clear" w:color="000000" w:fill="FFFFFF"/>
            <w:vAlign w:val="center"/>
          </w:tcPr>
          <w:p w14:paraId="21093E93">
            <w:pPr>
              <w:pStyle w:val="78"/>
              <w:rPr>
                <w:rFonts w:cs="Times New Roman"/>
                <w:szCs w:val="21"/>
              </w:rPr>
            </w:pPr>
          </w:p>
        </w:tc>
        <w:tc>
          <w:tcPr>
            <w:tcW w:w="3827" w:type="dxa"/>
            <w:shd w:val="clear" w:color="000000" w:fill="FFFFFF"/>
            <w:vAlign w:val="center"/>
          </w:tcPr>
          <w:p w14:paraId="7AB24B5D">
            <w:pPr>
              <w:pStyle w:val="78"/>
              <w:rPr>
                <w:rFonts w:cs="Times New Roman"/>
                <w:szCs w:val="21"/>
              </w:rPr>
            </w:pPr>
          </w:p>
        </w:tc>
      </w:tr>
      <w:tr w14:paraId="0374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restart"/>
            <w:shd w:val="clear" w:color="000000" w:fill="FFFFFF"/>
            <w:vAlign w:val="center"/>
          </w:tcPr>
          <w:p w14:paraId="61108360">
            <w:pPr>
              <w:pStyle w:val="78"/>
            </w:pPr>
            <w:r>
              <w:t>应急措施</w:t>
            </w:r>
          </w:p>
        </w:tc>
        <w:tc>
          <w:tcPr>
            <w:tcW w:w="1559" w:type="dxa"/>
            <w:shd w:val="clear" w:color="000000" w:fill="FFFFFF"/>
            <w:noWrap/>
            <w:vAlign w:val="center"/>
          </w:tcPr>
          <w:p w14:paraId="518CE41F">
            <w:pPr>
              <w:pStyle w:val="78"/>
            </w:pPr>
            <w:r>
              <w:t>急救措施</w:t>
            </w:r>
          </w:p>
        </w:tc>
        <w:tc>
          <w:tcPr>
            <w:tcW w:w="3969" w:type="dxa"/>
            <w:shd w:val="clear" w:color="000000" w:fill="FFFFFF"/>
            <w:vAlign w:val="center"/>
          </w:tcPr>
          <w:p w14:paraId="251868D5">
            <w:pPr>
              <w:pStyle w:val="78"/>
            </w:pPr>
            <w:r>
              <w:rPr>
                <w:rFonts w:hint="eastAsia"/>
              </w:rPr>
              <w:t>立即脱去被污染的衣着，用大量流动清水冲洗。立即提起眼睑，用流动清水或生理盐水彻底冲洗至少</w:t>
            </w:r>
            <w:r>
              <w:t xml:space="preserve"> 15 </w:t>
            </w:r>
            <w:r>
              <w:rPr>
                <w:rFonts w:hint="eastAsia"/>
              </w:rPr>
              <w:t>分钟。就医。迅速脱离现场至空气新鲜处。保持呼吸道通畅。如呼吸困难，给输氧。如呼吸停止，立即进行人工呼吸。就医。饮足量温水，催吐。就医。</w:t>
            </w:r>
          </w:p>
        </w:tc>
        <w:tc>
          <w:tcPr>
            <w:tcW w:w="3969" w:type="dxa"/>
            <w:shd w:val="clear" w:color="000000" w:fill="FFFFFF"/>
            <w:vAlign w:val="center"/>
          </w:tcPr>
          <w:p w14:paraId="347A789D">
            <w:pPr>
              <w:pStyle w:val="78"/>
              <w:rPr>
                <w:rFonts w:cs="Times New Roman"/>
                <w:szCs w:val="21"/>
              </w:rPr>
            </w:pPr>
          </w:p>
        </w:tc>
        <w:tc>
          <w:tcPr>
            <w:tcW w:w="3827" w:type="dxa"/>
            <w:shd w:val="clear" w:color="000000" w:fill="FFFFFF"/>
            <w:vAlign w:val="center"/>
          </w:tcPr>
          <w:p w14:paraId="5971F294">
            <w:pPr>
              <w:pStyle w:val="78"/>
              <w:rPr>
                <w:rFonts w:cs="Times New Roman"/>
                <w:szCs w:val="21"/>
              </w:rPr>
            </w:pPr>
          </w:p>
        </w:tc>
      </w:tr>
      <w:tr w14:paraId="43C5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51395F0">
            <w:pPr>
              <w:pStyle w:val="78"/>
            </w:pPr>
          </w:p>
        </w:tc>
        <w:tc>
          <w:tcPr>
            <w:tcW w:w="1559" w:type="dxa"/>
            <w:shd w:val="clear" w:color="000000" w:fill="FFFFFF"/>
            <w:vAlign w:val="center"/>
          </w:tcPr>
          <w:p w14:paraId="2B6BC6F2">
            <w:pPr>
              <w:pStyle w:val="78"/>
            </w:pPr>
            <w:r>
              <w:t>泄漏应急处置</w:t>
            </w:r>
          </w:p>
        </w:tc>
        <w:tc>
          <w:tcPr>
            <w:tcW w:w="3969" w:type="dxa"/>
            <w:shd w:val="clear" w:color="000000" w:fill="FFFFFF"/>
            <w:vAlign w:val="center"/>
          </w:tcPr>
          <w:p w14:paraId="60BBF293">
            <w:pPr>
              <w:pStyle w:val="78"/>
            </w:pPr>
            <w:r>
              <w:rPr>
                <w:rFonts w:hint="eastAsia"/>
              </w:rPr>
              <w:t>建议应急处理人员戴自给正压式呼吸器，穿防酸碱工作服。不要直接接触泄漏物。尽可能切断泄漏源。</w:t>
            </w:r>
          </w:p>
          <w:p w14:paraId="2555E83E">
            <w:pPr>
              <w:pStyle w:val="78"/>
            </w:pPr>
            <w:r>
              <w:rPr>
                <w:rFonts w:hint="eastAsia"/>
              </w:rPr>
              <w:t>迅速撤离泄漏污染区人员至安全区，并进行隔离，严格限制出入。</w:t>
            </w:r>
          </w:p>
          <w:p w14:paraId="6BBB4925">
            <w:pPr>
              <w:pStyle w:val="78"/>
            </w:pPr>
            <w:r>
              <w:rPr>
                <w:rFonts w:hint="eastAsia"/>
              </w:rPr>
              <w:t>小量泄漏：用砂土、蛭石或其它惰性材料吸收。</w:t>
            </w:r>
            <w:r>
              <w:t xml:space="preserve"> </w:t>
            </w:r>
          </w:p>
          <w:p w14:paraId="0AF1FA3E">
            <w:pPr>
              <w:pStyle w:val="78"/>
            </w:pPr>
            <w:r>
              <w:rPr>
                <w:rFonts w:hint="eastAsia"/>
              </w:rPr>
              <w:t>大量泄漏：构筑围堤或挖坑收容。用泡沫覆盖，降低蒸气灾害。用泵转移至槽车或专用收集器内，回收或运至废物处理场所处置。</w:t>
            </w:r>
          </w:p>
        </w:tc>
        <w:tc>
          <w:tcPr>
            <w:tcW w:w="3969" w:type="dxa"/>
            <w:shd w:val="clear" w:color="000000" w:fill="FFFFFF"/>
            <w:vAlign w:val="center"/>
          </w:tcPr>
          <w:p w14:paraId="0019E249">
            <w:pPr>
              <w:pStyle w:val="78"/>
              <w:rPr>
                <w:rFonts w:cs="Times New Roman"/>
                <w:szCs w:val="21"/>
              </w:rPr>
            </w:pPr>
          </w:p>
        </w:tc>
        <w:tc>
          <w:tcPr>
            <w:tcW w:w="3827" w:type="dxa"/>
            <w:shd w:val="clear" w:color="000000" w:fill="FFFFFF"/>
            <w:vAlign w:val="center"/>
          </w:tcPr>
          <w:p w14:paraId="7C0AC21D">
            <w:pPr>
              <w:pStyle w:val="78"/>
              <w:rPr>
                <w:rFonts w:cs="Times New Roman"/>
                <w:szCs w:val="21"/>
              </w:rPr>
            </w:pPr>
          </w:p>
        </w:tc>
      </w:tr>
      <w:tr w14:paraId="7DB1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1" w:type="dxa"/>
            <w:vMerge w:val="continue"/>
            <w:vAlign w:val="center"/>
          </w:tcPr>
          <w:p w14:paraId="15EACACA">
            <w:pPr>
              <w:pStyle w:val="78"/>
            </w:pPr>
          </w:p>
        </w:tc>
        <w:tc>
          <w:tcPr>
            <w:tcW w:w="1559" w:type="dxa"/>
            <w:shd w:val="clear" w:color="000000" w:fill="FFFFFF"/>
            <w:noWrap/>
            <w:vAlign w:val="center"/>
          </w:tcPr>
          <w:p w14:paraId="6B726D10">
            <w:pPr>
              <w:pStyle w:val="78"/>
            </w:pPr>
            <w:r>
              <w:t>灭火方法</w:t>
            </w:r>
          </w:p>
        </w:tc>
        <w:tc>
          <w:tcPr>
            <w:tcW w:w="3969" w:type="dxa"/>
            <w:shd w:val="clear" w:color="000000" w:fill="FFFFFF"/>
            <w:vAlign w:val="center"/>
          </w:tcPr>
          <w:p w14:paraId="1FCEFC2B">
            <w:pPr>
              <w:pStyle w:val="78"/>
            </w:pPr>
            <w:r>
              <w:rPr>
                <w:rFonts w:hint="eastAsia"/>
              </w:rPr>
              <w:t>使用雾状水、二氧化碳、砂土灭火。</w:t>
            </w:r>
          </w:p>
        </w:tc>
        <w:tc>
          <w:tcPr>
            <w:tcW w:w="3969" w:type="dxa"/>
            <w:shd w:val="clear" w:color="000000" w:fill="FFFFFF"/>
            <w:vAlign w:val="center"/>
          </w:tcPr>
          <w:p w14:paraId="62ACD31D">
            <w:pPr>
              <w:pStyle w:val="78"/>
              <w:rPr>
                <w:rFonts w:cs="Times New Roman"/>
                <w:szCs w:val="21"/>
              </w:rPr>
            </w:pPr>
          </w:p>
        </w:tc>
        <w:tc>
          <w:tcPr>
            <w:tcW w:w="3827" w:type="dxa"/>
            <w:shd w:val="clear" w:color="000000" w:fill="FFFFFF"/>
            <w:vAlign w:val="center"/>
          </w:tcPr>
          <w:p w14:paraId="1B2BE30B">
            <w:pPr>
              <w:pStyle w:val="78"/>
              <w:rPr>
                <w:rFonts w:cs="Times New Roman"/>
                <w:szCs w:val="21"/>
              </w:rPr>
            </w:pPr>
          </w:p>
        </w:tc>
      </w:tr>
    </w:tbl>
    <w:p w14:paraId="02A83CE0">
      <w:pPr>
        <w:rPr>
          <w:rFonts w:ascii="Times New Roman" w:hAnsi="Times New Roman" w:cs="Times New Roman"/>
        </w:rPr>
        <w:sectPr>
          <w:pgSz w:w="16838" w:h="11906" w:orient="landscape"/>
          <w:pgMar w:top="1800" w:right="1440" w:bottom="1800" w:left="1440" w:header="851" w:footer="992" w:gutter="0"/>
          <w:cols w:space="425" w:num="1"/>
          <w:docGrid w:type="lines" w:linePitch="326" w:charSpace="0"/>
        </w:sectPr>
      </w:pPr>
    </w:p>
    <w:p w14:paraId="065C76FA">
      <w:pPr>
        <w:pStyle w:val="4"/>
      </w:pPr>
      <w:bookmarkStart w:id="40" w:name="_Toc210915269"/>
      <w:bookmarkStart w:id="41" w:name="_Toc200527730"/>
      <w:r>
        <w:t>污染防治措施</w:t>
      </w:r>
      <w:bookmarkEnd w:id="40"/>
      <w:bookmarkEnd w:id="41"/>
    </w:p>
    <w:p w14:paraId="1F49B6ED">
      <w:pPr>
        <w:pStyle w:val="5"/>
        <w:rPr>
          <w:color w:val="auto"/>
        </w:rPr>
      </w:pPr>
      <w:r>
        <w:rPr>
          <w:color w:val="auto"/>
        </w:rPr>
        <w:t>废水产生与处理</w:t>
      </w:r>
    </w:p>
    <w:p w14:paraId="0261A233">
      <w:pPr>
        <w:pStyle w:val="3"/>
        <w:ind w:firstLine="480"/>
      </w:pPr>
      <w:r>
        <w:t>本公司废水主要为</w:t>
      </w:r>
      <w:r>
        <w:rPr>
          <w:rFonts w:hint="eastAsia"/>
        </w:rPr>
        <w:t>裂解单元高浓度含盐废水、</w:t>
      </w:r>
      <w:r>
        <w:t>生活污水</w:t>
      </w:r>
      <w:r>
        <w:rPr>
          <w:rFonts w:hint="eastAsia"/>
        </w:rPr>
        <w:t>、</w:t>
      </w:r>
      <w:r>
        <w:t>初期雨水、循环水场排水</w:t>
      </w:r>
      <w:r>
        <w:rPr>
          <w:rFonts w:hint="eastAsia"/>
        </w:rPr>
        <w:t>、除盐水站排水、余热锅炉排水、地面清洗废水、化验室废水。本公司位于</w:t>
      </w:r>
      <w:r>
        <w:t>大南海石化工业区化工污水处理项目（即园区污水处理厂）</w:t>
      </w:r>
      <w:r>
        <w:rPr>
          <w:rFonts w:hint="eastAsia"/>
        </w:rPr>
        <w:t>纳污范围内，公司通过</w:t>
      </w:r>
      <w:r>
        <w:t>园区污水管道将厂内废水排放至园区污水处理厂进一步处理处理达标后排放至</w:t>
      </w:r>
      <w:r>
        <w:rPr>
          <w:rFonts w:hint="eastAsia"/>
        </w:rPr>
        <w:t>神泉湾</w:t>
      </w:r>
      <w:r>
        <w:t>。</w:t>
      </w:r>
    </w:p>
    <w:p w14:paraId="76983778">
      <w:pPr>
        <w:pStyle w:val="3"/>
        <w:ind w:firstLine="480"/>
      </w:pPr>
      <w:r>
        <w:rPr>
          <w:rFonts w:hint="eastAsia"/>
        </w:rPr>
        <w:t>其中裂解单元高浓度含盐废水p</w:t>
      </w:r>
      <w:r>
        <w:t>H、CODcr、BOD5、悬浮物、石油类、氨氮、总氮、总磷、TDS</w:t>
      </w:r>
      <w:r>
        <w:rPr>
          <w:rFonts w:hint="eastAsia"/>
        </w:rPr>
        <w:t>满足</w:t>
      </w:r>
      <w:r>
        <w:t>揭阳大南海石化工业区化工污水处理</w:t>
      </w:r>
      <w:r>
        <w:rPr>
          <w:rFonts w:hint="eastAsia"/>
        </w:rPr>
        <w:t>厂</w:t>
      </w:r>
      <w:r>
        <w:t>高浓度废水进水要求</w:t>
      </w:r>
      <w:r>
        <w:rPr>
          <w:rFonts w:hint="eastAsia"/>
        </w:rPr>
        <w:t>，硫化物执行</w:t>
      </w:r>
      <w:r>
        <w:t>广东省地方标准《水污染物排放限值》（DB44/26-2001）第二时段三级标准</w:t>
      </w:r>
      <w:r>
        <w:rPr>
          <w:rFonts w:hint="eastAsia"/>
        </w:rPr>
        <w:t>后，</w:t>
      </w:r>
      <w:r>
        <w:t>最终排入揭阳大南海石化工业区污水处理</w:t>
      </w:r>
      <w:r>
        <w:rPr>
          <w:rFonts w:hint="eastAsia"/>
        </w:rPr>
        <w:t>厂</w:t>
      </w:r>
      <w:r>
        <w:t>高浓度进水系统</w:t>
      </w:r>
      <w:r>
        <w:rPr>
          <w:rFonts w:hint="eastAsia"/>
        </w:rPr>
        <w:t>。</w:t>
      </w:r>
    </w:p>
    <w:p w14:paraId="54A1A1AB">
      <w:pPr>
        <w:pStyle w:val="3"/>
        <w:ind w:firstLine="480"/>
      </w:pPr>
      <w:r>
        <w:t>生活污水经过隔油、化粪池预处理后，与初期雨水、循环水场排水</w:t>
      </w:r>
      <w:r>
        <w:rPr>
          <w:rFonts w:hint="eastAsia"/>
        </w:rPr>
        <w:t>、除盐水站排水、余热锅炉排水、地面清洗废水、化验室废水等满足园区污水厂低浓度废水进水要求，其中动植物油执行广东省地方标准《水污染物排放限值》（</w:t>
      </w:r>
      <w:r>
        <w:t>DB44/26-2001）第二时段三级标准，排入园区污水厂低浓度进水系统。</w:t>
      </w:r>
    </w:p>
    <w:p w14:paraId="57C3F04A">
      <w:pPr>
        <w:pStyle w:val="5"/>
        <w:rPr>
          <w:color w:val="auto"/>
        </w:rPr>
      </w:pPr>
      <w:r>
        <w:rPr>
          <w:color w:val="auto"/>
        </w:rPr>
        <w:t>废气产生与处理</w:t>
      </w:r>
    </w:p>
    <w:p w14:paraId="1A50F619">
      <w:pPr>
        <w:pStyle w:val="3"/>
        <w:ind w:firstLine="480"/>
      </w:pPr>
      <w:r>
        <w:t>本公司产生的废气种类主要包括原料化单元产生的废气、裂解单元产生的烟气、</w:t>
      </w:r>
      <w:r>
        <w:rPr>
          <w:rFonts w:hint="eastAsia"/>
        </w:rPr>
        <w:t>尾气回收装置焚烧烟气、循环水场</w:t>
      </w:r>
      <w:r>
        <w:t>的挥发性有机废气</w:t>
      </w:r>
      <w:r>
        <w:rPr>
          <w:rFonts w:hint="eastAsia"/>
        </w:rPr>
        <w:t>、装置和球罐区动静密封点挥发性有机废气</w:t>
      </w:r>
      <w:r>
        <w:t>等。</w:t>
      </w:r>
    </w:p>
    <w:p w14:paraId="2EFDCD90">
      <w:pPr>
        <w:pStyle w:val="3"/>
        <w:ind w:firstLine="480"/>
      </w:pPr>
      <w:r>
        <w:t>原料化单元</w:t>
      </w:r>
      <w:r>
        <w:rPr>
          <w:rFonts w:hint="eastAsia"/>
        </w:rPr>
        <w:t>产生的颗粒物、非甲烷总烃</w:t>
      </w:r>
      <w:r>
        <w:t>，经过</w:t>
      </w:r>
      <w:r>
        <w:rPr>
          <w:rFonts w:hint="eastAsia"/>
        </w:rPr>
        <w:t>处理</w:t>
      </w:r>
      <w:r>
        <w:t>后</w:t>
      </w:r>
      <w:r>
        <w:rPr>
          <w:rFonts w:hint="eastAsia"/>
        </w:rPr>
        <w:t>，</w:t>
      </w:r>
      <w:r>
        <w:t>引至排气筒排放，</w:t>
      </w:r>
      <w:r>
        <w:rPr>
          <w:rFonts w:hint="eastAsia"/>
        </w:rPr>
        <w:t>其中</w:t>
      </w:r>
      <w:r>
        <w:t>颗粒物</w:t>
      </w:r>
      <w:r>
        <w:rPr>
          <w:rFonts w:hint="eastAsia"/>
        </w:rPr>
        <w:t>执行</w:t>
      </w:r>
      <w:r>
        <w:t>广东省地方标准《大气污染物排放限值》（DB44/ 27-2001）第二时段二级标准</w:t>
      </w:r>
      <w:r>
        <w:rPr>
          <w:rFonts w:hint="eastAsia"/>
        </w:rPr>
        <w:t>，非甲烷总烃执行</w:t>
      </w:r>
      <w:r>
        <w:t>广东省地方标准《固定污染源挥发性有机物综合排放标准》（DB44/2367-2022）表1挥发性有机物排放限值</w:t>
      </w:r>
      <w:r>
        <w:rPr>
          <w:rFonts w:hint="eastAsia"/>
        </w:rPr>
        <w:t>，臭气浓度执行</w:t>
      </w:r>
      <w:r>
        <w:t>《恶臭污染物排放标准》（GB14554-93）</w:t>
      </w:r>
      <w:r>
        <w:rPr>
          <w:rFonts w:hint="eastAsia"/>
        </w:rPr>
        <w:t>。</w:t>
      </w:r>
    </w:p>
    <w:p w14:paraId="59C3D4CB">
      <w:pPr>
        <w:pStyle w:val="3"/>
        <w:ind w:firstLine="480"/>
      </w:pPr>
      <w:r>
        <w:t>裂解单元产生的</w:t>
      </w:r>
      <w:r>
        <w:rPr>
          <w:rFonts w:hint="eastAsia"/>
        </w:rPr>
        <w:t>催化剂再生</w:t>
      </w:r>
      <w:r>
        <w:t>烟气经过处理后，引至排气筒排放</w:t>
      </w:r>
      <w:r>
        <w:rPr>
          <w:rFonts w:hint="eastAsia"/>
        </w:rPr>
        <w:t>。</w:t>
      </w:r>
      <w:r>
        <w:rPr>
          <w:rFonts w:hint="eastAsia"/>
          <w:szCs w:val="21"/>
        </w:rPr>
        <w:t>烟气中的颗粒物、二氧化硫、氮氧化物、氟化物、氯化氢、铅及其化合物、汞及其化合物、镉及其化合物、</w:t>
      </w:r>
      <w:r>
        <w:rPr>
          <w:rFonts w:hint="eastAsia"/>
        </w:rPr>
        <w:t>镍及其化合物</w:t>
      </w:r>
      <w:r>
        <w:rPr>
          <w:rFonts w:hint="eastAsia"/>
          <w:szCs w:val="21"/>
        </w:rPr>
        <w:t>执行</w:t>
      </w:r>
      <w:r>
        <w:rPr>
          <w:szCs w:val="21"/>
        </w:rPr>
        <w:t>《废橡胶废塑料裂解油化成套生产装备》（GB/T 32662-2016）成套生产装备常规大气污染物排放浓度限值和行业特征大气污染物排放浓度限值</w:t>
      </w:r>
      <w:r>
        <w:rPr>
          <w:rFonts w:hint="eastAsia"/>
          <w:szCs w:val="21"/>
        </w:rPr>
        <w:t>、</w:t>
      </w:r>
      <w:r>
        <w:t>广东省地方标准《大气污染物排放限值》（DB44/ 27-2001）第二时段二级标准</w:t>
      </w:r>
      <w:r>
        <w:rPr>
          <w:rFonts w:hint="eastAsia"/>
        </w:rPr>
        <w:t>的较严者；</w:t>
      </w:r>
      <w:r>
        <w:rPr>
          <w:rFonts w:hint="eastAsia"/>
          <w:caps/>
          <w:szCs w:val="24"/>
        </w:rPr>
        <w:t>二噁英的排放参照执行</w:t>
      </w:r>
      <w:r>
        <w:rPr>
          <w:rFonts w:hint="eastAsia"/>
        </w:rPr>
        <w:t>《石油化学工业污染物排放标准》（GB 31571-2015及2024年修改单）表</w:t>
      </w:r>
      <w:r>
        <w:t xml:space="preserve"> 6 废气中有机特征污染物及排放限值</w:t>
      </w:r>
      <w:r>
        <w:rPr>
          <w:rFonts w:hint="eastAsia"/>
        </w:rPr>
        <w:t>；非甲烷总烃</w:t>
      </w:r>
      <w:r>
        <w:rPr>
          <w:rFonts w:hint="eastAsia"/>
          <w:caps/>
          <w:szCs w:val="24"/>
        </w:rPr>
        <w:t>执行</w:t>
      </w:r>
      <w:r>
        <w:t>广东省地方标准《固定污染源挥发性有机物综合排放标准》（DB44/2367-2022）表1挥发性有机物排放限值</w:t>
      </w:r>
      <w:r>
        <w:rPr>
          <w:rFonts w:hint="eastAsia"/>
        </w:rPr>
        <w:t>。</w:t>
      </w:r>
    </w:p>
    <w:p w14:paraId="48C75486">
      <w:pPr>
        <w:pStyle w:val="3"/>
        <w:ind w:firstLine="480"/>
      </w:pPr>
      <w:r>
        <w:rPr>
          <w:rFonts w:hint="eastAsia"/>
        </w:rPr>
        <w:t>本公司尾气回收装置TO炉尾气处理后，</w:t>
      </w:r>
      <w:r>
        <w:t>引至排气筒排放</w:t>
      </w:r>
      <w:r>
        <w:rPr>
          <w:rFonts w:hint="eastAsia"/>
        </w:rPr>
        <w:t>。</w:t>
      </w:r>
      <w:r>
        <w:rPr>
          <w:szCs w:val="21"/>
        </w:rPr>
        <w:t>颗粒物</w:t>
      </w:r>
      <w:r>
        <w:rPr>
          <w:rFonts w:hint="eastAsia"/>
          <w:szCs w:val="21"/>
        </w:rPr>
        <w:t>、二氧化硫、氮氧化物、</w:t>
      </w:r>
      <w:r>
        <w:rPr>
          <w:rFonts w:hint="eastAsia"/>
        </w:rPr>
        <w:t>苯、甲苯、二甲苯执行</w:t>
      </w:r>
      <w:r>
        <w:t>广东省地方标准《大气污染物排放限值》（DB44/ 27-2001）第二时段二级标准</w:t>
      </w:r>
      <w:r>
        <w:rPr>
          <w:rFonts w:hint="eastAsia"/>
        </w:rPr>
        <w:t>；</w:t>
      </w:r>
      <w:r>
        <w:rPr>
          <w:rFonts w:hint="eastAsia"/>
          <w:caps/>
          <w:szCs w:val="24"/>
        </w:rPr>
        <w:t>二噁英的排放参照执行</w:t>
      </w:r>
      <w:r>
        <w:rPr>
          <w:rFonts w:hint="eastAsia"/>
        </w:rPr>
        <w:t>《石油化学工业污染物排放标准》（GB 31571-2015及2024年修改单）表</w:t>
      </w:r>
      <w:r>
        <w:t xml:space="preserve"> 6 废气中有机特征污染物及排放限值</w:t>
      </w:r>
      <w:r>
        <w:rPr>
          <w:rFonts w:hint="eastAsia"/>
        </w:rPr>
        <w:t>；非甲烷总烃的排放执行</w:t>
      </w:r>
      <w:r>
        <w:t>广东省地方标准《固定污染源挥发性有机物综合排放标准》（DB44/2367-2022）表1挥发性有机物排放限值</w:t>
      </w:r>
      <w:r>
        <w:rPr>
          <w:rFonts w:hint="eastAsia"/>
        </w:rPr>
        <w:t>。</w:t>
      </w:r>
    </w:p>
    <w:p w14:paraId="3B8307B2">
      <w:pPr>
        <w:pStyle w:val="3"/>
        <w:ind w:firstLine="480"/>
      </w:pPr>
      <w:r>
        <w:rPr>
          <w:rFonts w:hint="eastAsia"/>
        </w:rPr>
        <w:t>本公司</w:t>
      </w:r>
      <w:r>
        <w:rPr>
          <w:rFonts w:hint="eastAsia"/>
          <w:szCs w:val="24"/>
        </w:rPr>
        <w:t>低浓度废水提升泵站废气与危废间废气</w:t>
      </w:r>
      <w:r>
        <w:rPr>
          <w:rFonts w:hint="eastAsia"/>
        </w:rPr>
        <w:t>处理后，</w:t>
      </w:r>
      <w:r>
        <w:t>引至排气筒排放</w:t>
      </w:r>
      <w:r>
        <w:rPr>
          <w:rFonts w:hint="eastAsia"/>
        </w:rPr>
        <w:t>。</w:t>
      </w:r>
      <w:r>
        <w:rPr>
          <w:rFonts w:hint="eastAsia"/>
          <w:szCs w:val="24"/>
        </w:rPr>
        <w:t>低浓度废水提升泵站产生的</w:t>
      </w:r>
      <w:r>
        <w:rPr>
          <w:rFonts w:hint="eastAsia"/>
        </w:rPr>
        <w:t>臭气浓度执行《</w:t>
      </w:r>
      <w:r>
        <w:rPr>
          <w:rFonts w:hint="eastAsia"/>
          <w:lang w:val="zh-CN"/>
        </w:rPr>
        <w:t>恶臭污染物排放标准</w:t>
      </w:r>
      <w:r>
        <w:rPr>
          <w:rFonts w:hint="eastAsia"/>
        </w:rPr>
        <w:t>》</w:t>
      </w:r>
      <w:r>
        <w:rPr>
          <w:rFonts w:hint="eastAsia"/>
          <w:lang w:val="zh-CN"/>
        </w:rPr>
        <w:t>（</w:t>
      </w:r>
      <w:r>
        <w:rPr>
          <w:lang w:val="zh-CN"/>
        </w:rPr>
        <w:t>GB14554-93</w:t>
      </w:r>
      <w:r>
        <w:rPr>
          <w:rFonts w:hint="eastAsia"/>
          <w:lang w:val="zh-CN"/>
        </w:rPr>
        <w:t>）；</w:t>
      </w:r>
      <w:r>
        <w:rPr>
          <w:rFonts w:hint="eastAsia"/>
          <w:szCs w:val="24"/>
        </w:rPr>
        <w:t>低浓度废水提升泵站、危废间产生的</w:t>
      </w:r>
      <w:r>
        <w:rPr>
          <w:rFonts w:hint="eastAsia"/>
        </w:rPr>
        <w:t>VOCs（以NMHC表征）执行《固定污染源挥发性有机物综合排放标准》（DB44/2367-2022）表1</w:t>
      </w:r>
      <w:r>
        <w:t>挥发性有机物排放限值</w:t>
      </w:r>
      <w:r>
        <w:rPr>
          <w:rFonts w:hint="eastAsia"/>
        </w:rPr>
        <w:t>。</w:t>
      </w:r>
    </w:p>
    <w:p w14:paraId="02353887">
      <w:pPr>
        <w:pStyle w:val="5"/>
        <w:rPr>
          <w:color w:val="auto"/>
        </w:rPr>
      </w:pPr>
      <w:r>
        <w:rPr>
          <w:color w:val="auto"/>
        </w:rPr>
        <w:t>固体废物产生与处理</w:t>
      </w:r>
    </w:p>
    <w:p w14:paraId="510EB54D">
      <w:pPr>
        <w:pStyle w:val="3"/>
        <w:ind w:firstLine="480"/>
      </w:pPr>
      <w:r>
        <w:rPr>
          <w:rFonts w:hint="eastAsia"/>
        </w:rPr>
        <w:t>公司产生的固体废物包括危险废物、一般固体废物、生活垃圾三大类，具体如下：</w:t>
      </w:r>
    </w:p>
    <w:p w14:paraId="3C4E1F31">
      <w:pPr>
        <w:pStyle w:val="3"/>
        <w:ind w:firstLine="480"/>
      </w:pPr>
      <w:r>
        <w:t>1</w:t>
      </w:r>
      <w:r>
        <w:rPr>
          <w:rFonts w:hint="eastAsia"/>
        </w:rPr>
        <w:t>、危险废物</w:t>
      </w:r>
    </w:p>
    <w:p w14:paraId="1C0F7AF0">
      <w:pPr>
        <w:pStyle w:val="3"/>
        <w:ind w:firstLine="480"/>
      </w:pPr>
      <w:r>
        <w:rPr>
          <w:rFonts w:hint="eastAsia"/>
        </w:rPr>
        <w:t>危险废物主要包括：</w:t>
      </w:r>
      <w:r>
        <w:t>危险废物包括设施废活性炭、</w:t>
      </w:r>
      <w:r>
        <w:rPr>
          <w:rFonts w:hint="eastAsia"/>
        </w:rPr>
        <w:t>裂解单元催化剂、炉渣、</w:t>
      </w:r>
      <w:r>
        <w:t>废粉尘、废布袋、</w:t>
      </w:r>
      <w:r>
        <w:rPr>
          <w:rFonts w:hint="eastAsia"/>
        </w:rPr>
        <w:t>设备清洗废水、</w:t>
      </w:r>
      <w:r>
        <w:t>废机油、含油手套、抹布、废化学试剂包装、实验废液</w:t>
      </w:r>
      <w:r>
        <w:rPr>
          <w:rFonts w:hint="eastAsia"/>
        </w:rPr>
        <w:t>，</w:t>
      </w:r>
      <w:r>
        <w:t>均直接委托有处理资质的单位进行处理。</w:t>
      </w:r>
    </w:p>
    <w:p w14:paraId="18EBFE64">
      <w:pPr>
        <w:pStyle w:val="3"/>
        <w:ind w:firstLine="480"/>
      </w:pPr>
      <w:r>
        <w:t>2</w:t>
      </w:r>
      <w:r>
        <w:rPr>
          <w:rFonts w:hint="eastAsia"/>
        </w:rPr>
        <w:t>、</w:t>
      </w:r>
      <w:r>
        <w:t>一般固体废物</w:t>
      </w:r>
    </w:p>
    <w:p w14:paraId="308AF475">
      <w:pPr>
        <w:pStyle w:val="3"/>
        <w:ind w:firstLine="480"/>
      </w:pPr>
      <w:r>
        <w:t>主要是一般工业固废主要包括废金属</w:t>
      </w:r>
      <w:r>
        <w:rPr>
          <w:rFonts w:hint="eastAsia"/>
        </w:rPr>
        <w:t>、除盐水站废过滤膜</w:t>
      </w:r>
      <w:r>
        <w:t>。根据“资源化、减量化”等原则，收集后交由资源回收单</w:t>
      </w:r>
      <w:r>
        <w:rPr>
          <w:rFonts w:hint="eastAsia"/>
        </w:rPr>
        <w:t>位</w:t>
      </w:r>
      <w:r>
        <w:t>处理</w:t>
      </w:r>
      <w:r>
        <w:rPr>
          <w:rFonts w:hint="eastAsia"/>
        </w:rPr>
        <w:t>。</w:t>
      </w:r>
    </w:p>
    <w:p w14:paraId="33806A3B">
      <w:pPr>
        <w:pStyle w:val="3"/>
        <w:ind w:firstLine="480"/>
      </w:pPr>
      <w:r>
        <w:rPr>
          <w:lang w:val="zh-CN"/>
        </w:rPr>
        <w:t>3</w:t>
      </w:r>
      <w:r>
        <w:rPr>
          <w:rFonts w:hint="eastAsia"/>
          <w:lang w:val="zh-CN"/>
        </w:rPr>
        <w:t>、</w:t>
      </w:r>
      <w:r>
        <w:rPr>
          <w:lang w:val="zh-CN"/>
        </w:rPr>
        <w:t>生活垃圾：</w:t>
      </w:r>
      <w:r>
        <w:t>生活垃圾主要产生于办公生活区域，由区域环卫部门定期清运。</w:t>
      </w:r>
    </w:p>
    <w:p w14:paraId="60782AA7">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2.6</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本公司固体废物产生情况汇总</w:t>
      </w:r>
    </w:p>
    <w:tbl>
      <w:tblPr>
        <w:tblStyle w:val="41"/>
        <w:tblW w:w="53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191"/>
        <w:gridCol w:w="1255"/>
        <w:gridCol w:w="764"/>
        <w:gridCol w:w="1362"/>
        <w:gridCol w:w="967"/>
        <w:gridCol w:w="2289"/>
      </w:tblGrid>
      <w:tr w14:paraId="09D5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861" w:type="pct"/>
            <w:vMerge w:val="restart"/>
            <w:vAlign w:val="center"/>
          </w:tcPr>
          <w:p w14:paraId="7D0944F8">
            <w:pPr>
              <w:pStyle w:val="78"/>
              <w:rPr>
                <w:rFonts w:cs="Times New Roman"/>
                <w:sz w:val="18"/>
                <w:szCs w:val="18"/>
              </w:rPr>
            </w:pPr>
            <w:r>
              <w:rPr>
                <w:rFonts w:cs="Times New Roman"/>
                <w:sz w:val="18"/>
                <w:szCs w:val="18"/>
              </w:rPr>
              <w:t>产污环节</w:t>
            </w:r>
          </w:p>
        </w:tc>
        <w:tc>
          <w:tcPr>
            <w:tcW w:w="630" w:type="pct"/>
            <w:vMerge w:val="restart"/>
            <w:vAlign w:val="center"/>
          </w:tcPr>
          <w:p w14:paraId="67A7EB68">
            <w:pPr>
              <w:pStyle w:val="78"/>
              <w:rPr>
                <w:rFonts w:cs="Times New Roman"/>
                <w:sz w:val="18"/>
                <w:szCs w:val="18"/>
              </w:rPr>
            </w:pPr>
            <w:r>
              <w:rPr>
                <w:rFonts w:cs="Times New Roman"/>
                <w:sz w:val="18"/>
                <w:szCs w:val="18"/>
              </w:rPr>
              <w:t>固废名称</w:t>
            </w:r>
          </w:p>
        </w:tc>
        <w:tc>
          <w:tcPr>
            <w:tcW w:w="664" w:type="pct"/>
            <w:vMerge w:val="restart"/>
            <w:vAlign w:val="center"/>
          </w:tcPr>
          <w:p w14:paraId="2FFEE4CD">
            <w:pPr>
              <w:pStyle w:val="78"/>
              <w:rPr>
                <w:rFonts w:cs="Times New Roman"/>
                <w:sz w:val="18"/>
                <w:szCs w:val="18"/>
              </w:rPr>
            </w:pPr>
            <w:r>
              <w:rPr>
                <w:rFonts w:cs="Times New Roman"/>
                <w:sz w:val="18"/>
                <w:szCs w:val="18"/>
              </w:rPr>
              <w:t>废物属性</w:t>
            </w:r>
          </w:p>
        </w:tc>
        <w:tc>
          <w:tcPr>
            <w:tcW w:w="1124" w:type="pct"/>
            <w:gridSpan w:val="2"/>
            <w:noWrap/>
            <w:vAlign w:val="center"/>
          </w:tcPr>
          <w:p w14:paraId="609C5527">
            <w:pPr>
              <w:pStyle w:val="78"/>
              <w:rPr>
                <w:rFonts w:cs="Times New Roman"/>
                <w:sz w:val="18"/>
                <w:szCs w:val="18"/>
              </w:rPr>
            </w:pPr>
            <w:r>
              <w:rPr>
                <w:rFonts w:cs="Times New Roman"/>
                <w:sz w:val="18"/>
                <w:szCs w:val="18"/>
              </w:rPr>
              <w:t>固废编码</w:t>
            </w:r>
          </w:p>
        </w:tc>
        <w:tc>
          <w:tcPr>
            <w:tcW w:w="511" w:type="pct"/>
            <w:vMerge w:val="restart"/>
            <w:vAlign w:val="center"/>
          </w:tcPr>
          <w:p w14:paraId="687B9A59">
            <w:pPr>
              <w:pStyle w:val="78"/>
              <w:rPr>
                <w:rFonts w:cs="Times New Roman"/>
                <w:sz w:val="18"/>
                <w:szCs w:val="18"/>
              </w:rPr>
            </w:pPr>
            <w:r>
              <w:rPr>
                <w:rFonts w:cs="Times New Roman"/>
                <w:sz w:val="18"/>
                <w:szCs w:val="18"/>
              </w:rPr>
              <w:t>产生量（t/a）</w:t>
            </w:r>
          </w:p>
        </w:tc>
        <w:tc>
          <w:tcPr>
            <w:tcW w:w="1210" w:type="pct"/>
            <w:vMerge w:val="restart"/>
            <w:vAlign w:val="center"/>
          </w:tcPr>
          <w:p w14:paraId="68DD38B9">
            <w:pPr>
              <w:pStyle w:val="78"/>
              <w:rPr>
                <w:rFonts w:cs="Times New Roman"/>
                <w:sz w:val="18"/>
                <w:szCs w:val="18"/>
              </w:rPr>
            </w:pPr>
            <w:r>
              <w:rPr>
                <w:rFonts w:cs="Times New Roman"/>
                <w:sz w:val="18"/>
                <w:szCs w:val="18"/>
              </w:rPr>
              <w:t>处理处置方式</w:t>
            </w:r>
          </w:p>
        </w:tc>
      </w:tr>
      <w:tr w14:paraId="051B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61" w:type="pct"/>
            <w:vMerge w:val="continue"/>
            <w:vAlign w:val="center"/>
          </w:tcPr>
          <w:p w14:paraId="714D5E82">
            <w:pPr>
              <w:pStyle w:val="78"/>
              <w:rPr>
                <w:rFonts w:cs="Times New Roman"/>
                <w:sz w:val="18"/>
                <w:szCs w:val="18"/>
              </w:rPr>
            </w:pPr>
          </w:p>
        </w:tc>
        <w:tc>
          <w:tcPr>
            <w:tcW w:w="630" w:type="pct"/>
            <w:vMerge w:val="continue"/>
            <w:vAlign w:val="center"/>
          </w:tcPr>
          <w:p w14:paraId="402F937E">
            <w:pPr>
              <w:pStyle w:val="78"/>
              <w:rPr>
                <w:rFonts w:cs="Times New Roman"/>
                <w:sz w:val="18"/>
                <w:szCs w:val="18"/>
              </w:rPr>
            </w:pPr>
          </w:p>
        </w:tc>
        <w:tc>
          <w:tcPr>
            <w:tcW w:w="664" w:type="pct"/>
            <w:vMerge w:val="continue"/>
            <w:vAlign w:val="center"/>
          </w:tcPr>
          <w:p w14:paraId="7C3A22C2">
            <w:pPr>
              <w:pStyle w:val="78"/>
              <w:rPr>
                <w:rFonts w:cs="Times New Roman"/>
                <w:sz w:val="18"/>
                <w:szCs w:val="18"/>
              </w:rPr>
            </w:pPr>
          </w:p>
        </w:tc>
        <w:tc>
          <w:tcPr>
            <w:tcW w:w="404" w:type="pct"/>
            <w:vAlign w:val="center"/>
          </w:tcPr>
          <w:p w14:paraId="5D547272">
            <w:pPr>
              <w:pStyle w:val="78"/>
              <w:rPr>
                <w:rFonts w:cs="Times New Roman"/>
                <w:sz w:val="18"/>
                <w:szCs w:val="18"/>
              </w:rPr>
            </w:pPr>
            <w:r>
              <w:rPr>
                <w:rFonts w:cs="Times New Roman"/>
                <w:sz w:val="18"/>
                <w:szCs w:val="18"/>
              </w:rPr>
              <w:t>废物类别</w:t>
            </w:r>
          </w:p>
        </w:tc>
        <w:tc>
          <w:tcPr>
            <w:tcW w:w="720" w:type="pct"/>
            <w:vAlign w:val="center"/>
          </w:tcPr>
          <w:p w14:paraId="0BB776EE">
            <w:pPr>
              <w:pStyle w:val="78"/>
              <w:rPr>
                <w:rFonts w:cs="Times New Roman"/>
                <w:sz w:val="18"/>
                <w:szCs w:val="18"/>
              </w:rPr>
            </w:pPr>
            <w:r>
              <w:rPr>
                <w:rFonts w:cs="Times New Roman"/>
                <w:sz w:val="18"/>
                <w:szCs w:val="18"/>
              </w:rPr>
              <w:t>废物代码</w:t>
            </w:r>
          </w:p>
        </w:tc>
        <w:tc>
          <w:tcPr>
            <w:tcW w:w="511" w:type="pct"/>
            <w:vMerge w:val="continue"/>
            <w:vAlign w:val="center"/>
          </w:tcPr>
          <w:p w14:paraId="185A3113">
            <w:pPr>
              <w:pStyle w:val="78"/>
              <w:rPr>
                <w:rFonts w:cs="Times New Roman"/>
                <w:sz w:val="18"/>
                <w:szCs w:val="18"/>
              </w:rPr>
            </w:pPr>
          </w:p>
        </w:tc>
        <w:tc>
          <w:tcPr>
            <w:tcW w:w="1210" w:type="pct"/>
            <w:vMerge w:val="continue"/>
            <w:vAlign w:val="center"/>
          </w:tcPr>
          <w:p w14:paraId="57196A9C">
            <w:pPr>
              <w:pStyle w:val="78"/>
              <w:rPr>
                <w:rFonts w:cs="Times New Roman"/>
                <w:sz w:val="18"/>
                <w:szCs w:val="18"/>
              </w:rPr>
            </w:pPr>
          </w:p>
        </w:tc>
      </w:tr>
      <w:tr w14:paraId="72F5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Align w:val="center"/>
          </w:tcPr>
          <w:p w14:paraId="175A79E4">
            <w:pPr>
              <w:pStyle w:val="78"/>
              <w:rPr>
                <w:rFonts w:cs="Times New Roman"/>
                <w:sz w:val="18"/>
                <w:szCs w:val="18"/>
              </w:rPr>
            </w:pPr>
            <w:r>
              <w:rPr>
                <w:rFonts w:cs="Times New Roman"/>
                <w:sz w:val="18"/>
                <w:szCs w:val="18"/>
              </w:rPr>
              <w:t>除金属器和风选</w:t>
            </w:r>
          </w:p>
        </w:tc>
        <w:tc>
          <w:tcPr>
            <w:tcW w:w="630" w:type="pct"/>
            <w:noWrap/>
            <w:vAlign w:val="center"/>
          </w:tcPr>
          <w:p w14:paraId="0502D123">
            <w:pPr>
              <w:pStyle w:val="78"/>
              <w:rPr>
                <w:rFonts w:cs="Times New Roman"/>
                <w:sz w:val="18"/>
                <w:szCs w:val="18"/>
              </w:rPr>
            </w:pPr>
            <w:r>
              <w:rPr>
                <w:rFonts w:cs="Times New Roman"/>
                <w:sz w:val="18"/>
                <w:szCs w:val="18"/>
              </w:rPr>
              <w:t>废金属</w:t>
            </w:r>
          </w:p>
        </w:tc>
        <w:tc>
          <w:tcPr>
            <w:tcW w:w="664" w:type="pct"/>
            <w:vAlign w:val="center"/>
          </w:tcPr>
          <w:p w14:paraId="581DCCC2">
            <w:pPr>
              <w:pStyle w:val="78"/>
              <w:rPr>
                <w:rFonts w:cs="Times New Roman"/>
                <w:sz w:val="18"/>
                <w:szCs w:val="18"/>
              </w:rPr>
            </w:pPr>
            <w:r>
              <w:rPr>
                <w:rFonts w:cs="Times New Roman"/>
                <w:sz w:val="18"/>
                <w:szCs w:val="18"/>
              </w:rPr>
              <w:t>一般工业固废</w:t>
            </w:r>
          </w:p>
        </w:tc>
        <w:tc>
          <w:tcPr>
            <w:tcW w:w="404" w:type="pct"/>
            <w:vAlign w:val="center"/>
          </w:tcPr>
          <w:p w14:paraId="0A450C4A">
            <w:pPr>
              <w:pStyle w:val="78"/>
              <w:rPr>
                <w:rFonts w:cs="Times New Roman"/>
                <w:sz w:val="18"/>
                <w:szCs w:val="18"/>
              </w:rPr>
            </w:pPr>
            <w:r>
              <w:rPr>
                <w:rFonts w:cs="Times New Roman"/>
                <w:sz w:val="18"/>
                <w:szCs w:val="18"/>
              </w:rPr>
              <w:t>SW17</w:t>
            </w:r>
          </w:p>
        </w:tc>
        <w:tc>
          <w:tcPr>
            <w:tcW w:w="720" w:type="pct"/>
            <w:vAlign w:val="center"/>
          </w:tcPr>
          <w:p w14:paraId="15F5363F">
            <w:pPr>
              <w:pStyle w:val="78"/>
              <w:rPr>
                <w:rFonts w:cs="Times New Roman"/>
                <w:sz w:val="18"/>
                <w:szCs w:val="18"/>
              </w:rPr>
            </w:pPr>
            <w:r>
              <w:rPr>
                <w:rFonts w:cs="Times New Roman"/>
                <w:sz w:val="18"/>
                <w:szCs w:val="18"/>
              </w:rPr>
              <w:t>900-099-S17</w:t>
            </w:r>
          </w:p>
        </w:tc>
        <w:tc>
          <w:tcPr>
            <w:tcW w:w="511" w:type="pct"/>
            <w:vAlign w:val="center"/>
          </w:tcPr>
          <w:p w14:paraId="7B2ECDAC">
            <w:pPr>
              <w:pStyle w:val="78"/>
              <w:rPr>
                <w:rFonts w:cs="Times New Roman"/>
                <w:sz w:val="18"/>
                <w:szCs w:val="18"/>
              </w:rPr>
            </w:pPr>
            <w:r>
              <w:rPr>
                <w:rFonts w:cs="Times New Roman"/>
                <w:sz w:val="18"/>
                <w:szCs w:val="18"/>
              </w:rPr>
              <w:t>1963</w:t>
            </w:r>
          </w:p>
        </w:tc>
        <w:tc>
          <w:tcPr>
            <w:tcW w:w="1210" w:type="pct"/>
            <w:vAlign w:val="center"/>
          </w:tcPr>
          <w:p w14:paraId="4D9547EE">
            <w:pPr>
              <w:pStyle w:val="78"/>
              <w:rPr>
                <w:rFonts w:cs="Times New Roman"/>
                <w:sz w:val="18"/>
                <w:szCs w:val="18"/>
              </w:rPr>
            </w:pPr>
            <w:r>
              <w:rPr>
                <w:rFonts w:cs="Times New Roman"/>
                <w:sz w:val="18"/>
                <w:szCs w:val="18"/>
              </w:rPr>
              <w:t>交由资源回收单位外运</w:t>
            </w:r>
          </w:p>
        </w:tc>
      </w:tr>
      <w:tr w14:paraId="5F2D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Align w:val="center"/>
          </w:tcPr>
          <w:p w14:paraId="469CDDE8">
            <w:pPr>
              <w:pStyle w:val="78"/>
              <w:rPr>
                <w:rFonts w:cs="Times New Roman"/>
                <w:sz w:val="18"/>
                <w:szCs w:val="18"/>
              </w:rPr>
            </w:pPr>
            <w:r>
              <w:rPr>
                <w:rFonts w:cs="Times New Roman"/>
                <w:sz w:val="18"/>
                <w:szCs w:val="18"/>
              </w:rPr>
              <w:t>除盐水站</w:t>
            </w:r>
          </w:p>
        </w:tc>
        <w:tc>
          <w:tcPr>
            <w:tcW w:w="630" w:type="pct"/>
            <w:noWrap/>
            <w:vAlign w:val="center"/>
          </w:tcPr>
          <w:p w14:paraId="0AF9DA3C">
            <w:pPr>
              <w:pStyle w:val="78"/>
              <w:rPr>
                <w:rFonts w:cs="Times New Roman"/>
                <w:sz w:val="18"/>
                <w:szCs w:val="18"/>
              </w:rPr>
            </w:pPr>
            <w:r>
              <w:rPr>
                <w:rFonts w:cs="Times New Roman"/>
                <w:sz w:val="18"/>
                <w:szCs w:val="18"/>
              </w:rPr>
              <w:t>过滤膜</w:t>
            </w:r>
          </w:p>
        </w:tc>
        <w:tc>
          <w:tcPr>
            <w:tcW w:w="664" w:type="pct"/>
            <w:vAlign w:val="center"/>
          </w:tcPr>
          <w:p w14:paraId="2E35F82E">
            <w:pPr>
              <w:pStyle w:val="78"/>
              <w:rPr>
                <w:rFonts w:cs="Times New Roman"/>
                <w:sz w:val="18"/>
                <w:szCs w:val="18"/>
              </w:rPr>
            </w:pPr>
            <w:r>
              <w:rPr>
                <w:rFonts w:cs="Times New Roman"/>
                <w:sz w:val="18"/>
                <w:szCs w:val="18"/>
              </w:rPr>
              <w:t>一般工业固废</w:t>
            </w:r>
          </w:p>
        </w:tc>
        <w:tc>
          <w:tcPr>
            <w:tcW w:w="404" w:type="pct"/>
            <w:vAlign w:val="center"/>
          </w:tcPr>
          <w:p w14:paraId="677EC204">
            <w:pPr>
              <w:pStyle w:val="78"/>
              <w:rPr>
                <w:rFonts w:cs="Times New Roman"/>
                <w:sz w:val="18"/>
                <w:szCs w:val="18"/>
              </w:rPr>
            </w:pPr>
            <w:r>
              <w:rPr>
                <w:rFonts w:cs="Times New Roman"/>
                <w:sz w:val="18"/>
                <w:szCs w:val="18"/>
              </w:rPr>
              <w:t>SW59</w:t>
            </w:r>
          </w:p>
        </w:tc>
        <w:tc>
          <w:tcPr>
            <w:tcW w:w="720" w:type="pct"/>
            <w:vAlign w:val="center"/>
          </w:tcPr>
          <w:p w14:paraId="04E61455">
            <w:pPr>
              <w:pStyle w:val="78"/>
              <w:rPr>
                <w:rFonts w:cs="Times New Roman"/>
                <w:sz w:val="18"/>
                <w:szCs w:val="18"/>
              </w:rPr>
            </w:pPr>
            <w:r>
              <w:rPr>
                <w:rFonts w:cs="Times New Roman"/>
                <w:sz w:val="18"/>
                <w:szCs w:val="18"/>
              </w:rPr>
              <w:t>900-009-S59</w:t>
            </w:r>
          </w:p>
        </w:tc>
        <w:tc>
          <w:tcPr>
            <w:tcW w:w="511" w:type="pct"/>
            <w:vAlign w:val="center"/>
          </w:tcPr>
          <w:p w14:paraId="09A6C48B">
            <w:pPr>
              <w:pStyle w:val="78"/>
              <w:rPr>
                <w:rFonts w:cs="Times New Roman"/>
                <w:sz w:val="18"/>
                <w:szCs w:val="18"/>
              </w:rPr>
            </w:pPr>
            <w:r>
              <w:rPr>
                <w:rFonts w:cs="Times New Roman"/>
                <w:sz w:val="18"/>
                <w:szCs w:val="18"/>
              </w:rPr>
              <w:t>1.0</w:t>
            </w:r>
          </w:p>
        </w:tc>
        <w:tc>
          <w:tcPr>
            <w:tcW w:w="1210" w:type="pct"/>
            <w:vAlign w:val="center"/>
          </w:tcPr>
          <w:p w14:paraId="5DCEBCCB">
            <w:pPr>
              <w:pStyle w:val="78"/>
              <w:rPr>
                <w:rFonts w:cs="Times New Roman"/>
                <w:sz w:val="18"/>
                <w:szCs w:val="18"/>
              </w:rPr>
            </w:pPr>
            <w:r>
              <w:rPr>
                <w:rFonts w:cs="Times New Roman"/>
                <w:sz w:val="18"/>
                <w:szCs w:val="18"/>
              </w:rPr>
              <w:t>交由资源回收单位外运</w:t>
            </w:r>
          </w:p>
        </w:tc>
      </w:tr>
      <w:tr w14:paraId="61FB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Align w:val="center"/>
          </w:tcPr>
          <w:p w14:paraId="199FBC1A">
            <w:pPr>
              <w:pStyle w:val="78"/>
              <w:rPr>
                <w:rFonts w:cs="Times New Roman"/>
                <w:sz w:val="18"/>
                <w:szCs w:val="18"/>
              </w:rPr>
            </w:pPr>
            <w:r>
              <w:rPr>
                <w:rFonts w:cs="Times New Roman"/>
                <w:sz w:val="18"/>
                <w:szCs w:val="18"/>
              </w:rPr>
              <w:t>原料化单元废气处理设施</w:t>
            </w:r>
          </w:p>
        </w:tc>
        <w:tc>
          <w:tcPr>
            <w:tcW w:w="630" w:type="pct"/>
            <w:noWrap/>
            <w:vAlign w:val="center"/>
          </w:tcPr>
          <w:p w14:paraId="1FFFFBA0">
            <w:pPr>
              <w:pStyle w:val="78"/>
              <w:rPr>
                <w:rFonts w:cs="Times New Roman"/>
                <w:sz w:val="18"/>
                <w:szCs w:val="18"/>
              </w:rPr>
            </w:pPr>
            <w:r>
              <w:rPr>
                <w:rFonts w:cs="Times New Roman"/>
                <w:sz w:val="18"/>
                <w:szCs w:val="18"/>
              </w:rPr>
              <w:t>废活性炭</w:t>
            </w:r>
          </w:p>
        </w:tc>
        <w:tc>
          <w:tcPr>
            <w:tcW w:w="664" w:type="pct"/>
            <w:noWrap/>
            <w:vAlign w:val="center"/>
          </w:tcPr>
          <w:p w14:paraId="3A64FC39">
            <w:pPr>
              <w:pStyle w:val="78"/>
              <w:rPr>
                <w:rFonts w:cs="Times New Roman"/>
                <w:sz w:val="18"/>
                <w:szCs w:val="18"/>
              </w:rPr>
            </w:pPr>
            <w:r>
              <w:rPr>
                <w:rFonts w:cs="Times New Roman"/>
                <w:sz w:val="18"/>
                <w:szCs w:val="18"/>
              </w:rPr>
              <w:t>危险废物</w:t>
            </w:r>
          </w:p>
        </w:tc>
        <w:tc>
          <w:tcPr>
            <w:tcW w:w="404" w:type="pct"/>
            <w:noWrap/>
            <w:vAlign w:val="center"/>
          </w:tcPr>
          <w:p w14:paraId="4F2CDB0B">
            <w:pPr>
              <w:pStyle w:val="78"/>
              <w:rPr>
                <w:rFonts w:cs="Times New Roman"/>
                <w:sz w:val="18"/>
                <w:szCs w:val="18"/>
              </w:rPr>
            </w:pPr>
            <w:r>
              <w:rPr>
                <w:rFonts w:cs="Times New Roman"/>
                <w:sz w:val="18"/>
                <w:szCs w:val="18"/>
              </w:rPr>
              <w:t>HW49</w:t>
            </w:r>
          </w:p>
        </w:tc>
        <w:tc>
          <w:tcPr>
            <w:tcW w:w="720" w:type="pct"/>
            <w:noWrap/>
            <w:vAlign w:val="center"/>
          </w:tcPr>
          <w:p w14:paraId="06DC01A7">
            <w:pPr>
              <w:pStyle w:val="78"/>
              <w:rPr>
                <w:rFonts w:cs="Times New Roman"/>
                <w:sz w:val="18"/>
                <w:szCs w:val="18"/>
              </w:rPr>
            </w:pPr>
            <w:r>
              <w:rPr>
                <w:rFonts w:cs="Times New Roman"/>
                <w:sz w:val="18"/>
                <w:szCs w:val="18"/>
              </w:rPr>
              <w:t>900-039-49</w:t>
            </w:r>
          </w:p>
        </w:tc>
        <w:tc>
          <w:tcPr>
            <w:tcW w:w="511" w:type="pct"/>
            <w:noWrap/>
            <w:vAlign w:val="center"/>
          </w:tcPr>
          <w:p w14:paraId="4138102D">
            <w:pPr>
              <w:pStyle w:val="78"/>
              <w:rPr>
                <w:rFonts w:cs="Times New Roman"/>
                <w:sz w:val="18"/>
                <w:szCs w:val="18"/>
              </w:rPr>
            </w:pPr>
            <w:r>
              <w:rPr>
                <w:rFonts w:cs="Times New Roman"/>
                <w:sz w:val="18"/>
                <w:szCs w:val="18"/>
              </w:rPr>
              <w:t>62.7</w:t>
            </w:r>
          </w:p>
        </w:tc>
        <w:tc>
          <w:tcPr>
            <w:tcW w:w="1210" w:type="pct"/>
            <w:noWrap/>
            <w:vAlign w:val="center"/>
          </w:tcPr>
          <w:p w14:paraId="1ED16425">
            <w:pPr>
              <w:pStyle w:val="78"/>
              <w:rPr>
                <w:rFonts w:cs="Times New Roman"/>
                <w:sz w:val="18"/>
                <w:szCs w:val="18"/>
              </w:rPr>
            </w:pPr>
            <w:r>
              <w:rPr>
                <w:rFonts w:cs="Times New Roman"/>
                <w:sz w:val="18"/>
                <w:szCs w:val="18"/>
              </w:rPr>
              <w:t>委托有资质单位外运</w:t>
            </w:r>
          </w:p>
        </w:tc>
      </w:tr>
      <w:tr w14:paraId="548E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861" w:type="pct"/>
            <w:vAlign w:val="center"/>
          </w:tcPr>
          <w:p w14:paraId="0B207478">
            <w:pPr>
              <w:pStyle w:val="78"/>
              <w:rPr>
                <w:rFonts w:cs="Times New Roman"/>
                <w:sz w:val="18"/>
                <w:szCs w:val="18"/>
              </w:rPr>
            </w:pPr>
            <w:r>
              <w:rPr>
                <w:rFonts w:cs="Times New Roman"/>
                <w:sz w:val="18"/>
                <w:szCs w:val="18"/>
              </w:rPr>
              <w:t>裂解、旋流撬装</w:t>
            </w:r>
          </w:p>
        </w:tc>
        <w:tc>
          <w:tcPr>
            <w:tcW w:w="630" w:type="pct"/>
            <w:noWrap/>
            <w:vAlign w:val="center"/>
          </w:tcPr>
          <w:p w14:paraId="7720D996">
            <w:pPr>
              <w:pStyle w:val="78"/>
              <w:rPr>
                <w:rFonts w:cs="Times New Roman"/>
                <w:sz w:val="18"/>
                <w:szCs w:val="18"/>
              </w:rPr>
            </w:pPr>
            <w:r>
              <w:rPr>
                <w:rFonts w:cs="Times New Roman"/>
                <w:sz w:val="18"/>
                <w:szCs w:val="18"/>
              </w:rPr>
              <w:t>裂解单元废催化剂、炉渣</w:t>
            </w:r>
          </w:p>
        </w:tc>
        <w:tc>
          <w:tcPr>
            <w:tcW w:w="664" w:type="pct"/>
            <w:noWrap/>
            <w:vAlign w:val="center"/>
          </w:tcPr>
          <w:p w14:paraId="42483FF6">
            <w:pPr>
              <w:pStyle w:val="78"/>
              <w:rPr>
                <w:rFonts w:cs="Times New Roman"/>
                <w:sz w:val="18"/>
                <w:szCs w:val="18"/>
              </w:rPr>
            </w:pPr>
            <w:r>
              <w:rPr>
                <w:rFonts w:cs="Times New Roman"/>
                <w:sz w:val="18"/>
                <w:szCs w:val="18"/>
              </w:rPr>
              <w:t>危险废物</w:t>
            </w:r>
          </w:p>
        </w:tc>
        <w:tc>
          <w:tcPr>
            <w:tcW w:w="404" w:type="pct"/>
            <w:vAlign w:val="center"/>
          </w:tcPr>
          <w:p w14:paraId="68CA8C91">
            <w:pPr>
              <w:pStyle w:val="78"/>
              <w:rPr>
                <w:rFonts w:cs="Times New Roman"/>
                <w:sz w:val="18"/>
                <w:szCs w:val="18"/>
              </w:rPr>
            </w:pPr>
            <w:r>
              <w:rPr>
                <w:rFonts w:cs="Times New Roman"/>
                <w:sz w:val="18"/>
                <w:szCs w:val="18"/>
              </w:rPr>
              <w:t>HW50</w:t>
            </w:r>
          </w:p>
        </w:tc>
        <w:tc>
          <w:tcPr>
            <w:tcW w:w="720" w:type="pct"/>
            <w:noWrap/>
            <w:vAlign w:val="center"/>
          </w:tcPr>
          <w:p w14:paraId="3D7F8C77">
            <w:pPr>
              <w:pStyle w:val="78"/>
              <w:rPr>
                <w:rFonts w:cs="Times New Roman"/>
                <w:sz w:val="18"/>
                <w:szCs w:val="18"/>
              </w:rPr>
            </w:pPr>
            <w:r>
              <w:rPr>
                <w:rFonts w:cs="Times New Roman"/>
                <w:sz w:val="18"/>
                <w:szCs w:val="18"/>
              </w:rPr>
              <w:t>待定</w:t>
            </w:r>
          </w:p>
        </w:tc>
        <w:tc>
          <w:tcPr>
            <w:tcW w:w="511" w:type="pct"/>
            <w:noWrap/>
            <w:vAlign w:val="center"/>
          </w:tcPr>
          <w:p w14:paraId="613C7962">
            <w:pPr>
              <w:pStyle w:val="78"/>
              <w:rPr>
                <w:rFonts w:cs="Times New Roman"/>
                <w:sz w:val="18"/>
                <w:szCs w:val="18"/>
              </w:rPr>
            </w:pPr>
            <w:r>
              <w:rPr>
                <w:rFonts w:cs="Times New Roman"/>
                <w:sz w:val="18"/>
                <w:szCs w:val="18"/>
              </w:rPr>
              <w:t>10810.8</w:t>
            </w:r>
          </w:p>
        </w:tc>
        <w:tc>
          <w:tcPr>
            <w:tcW w:w="1210" w:type="pct"/>
            <w:vAlign w:val="center"/>
          </w:tcPr>
          <w:p w14:paraId="6809A1BB">
            <w:pPr>
              <w:pStyle w:val="78"/>
              <w:rPr>
                <w:rFonts w:cs="Times New Roman"/>
                <w:sz w:val="18"/>
                <w:szCs w:val="18"/>
              </w:rPr>
            </w:pPr>
            <w:r>
              <w:rPr>
                <w:rFonts w:cs="Times New Roman"/>
                <w:sz w:val="18"/>
                <w:szCs w:val="18"/>
              </w:rPr>
              <w:t>鉴定前，按照危废委托有资质单位外运；投产鉴定后，按对应的固废类别进行处理。</w:t>
            </w:r>
          </w:p>
        </w:tc>
      </w:tr>
      <w:tr w14:paraId="3A81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61" w:type="pct"/>
            <w:vMerge w:val="restart"/>
            <w:vAlign w:val="center"/>
          </w:tcPr>
          <w:p w14:paraId="767E1319">
            <w:pPr>
              <w:pStyle w:val="78"/>
              <w:rPr>
                <w:rFonts w:cs="Times New Roman"/>
                <w:sz w:val="18"/>
                <w:szCs w:val="18"/>
              </w:rPr>
            </w:pPr>
            <w:r>
              <w:rPr>
                <w:rFonts w:cs="Times New Roman"/>
                <w:sz w:val="18"/>
                <w:szCs w:val="18"/>
              </w:rPr>
              <w:t>废催化剂再生烟气布袋除尘器</w:t>
            </w:r>
          </w:p>
        </w:tc>
        <w:tc>
          <w:tcPr>
            <w:tcW w:w="630" w:type="pct"/>
            <w:noWrap/>
            <w:vAlign w:val="center"/>
          </w:tcPr>
          <w:p w14:paraId="5DAF8B4F">
            <w:pPr>
              <w:pStyle w:val="78"/>
              <w:rPr>
                <w:rFonts w:cs="Times New Roman"/>
                <w:sz w:val="18"/>
                <w:szCs w:val="18"/>
              </w:rPr>
            </w:pPr>
            <w:r>
              <w:rPr>
                <w:rFonts w:cs="Times New Roman"/>
                <w:sz w:val="18"/>
                <w:szCs w:val="18"/>
              </w:rPr>
              <w:t>废粉尘</w:t>
            </w:r>
          </w:p>
        </w:tc>
        <w:tc>
          <w:tcPr>
            <w:tcW w:w="664" w:type="pct"/>
            <w:noWrap/>
            <w:vAlign w:val="center"/>
          </w:tcPr>
          <w:p w14:paraId="32803ED3">
            <w:pPr>
              <w:pStyle w:val="78"/>
              <w:rPr>
                <w:rFonts w:cs="Times New Roman"/>
                <w:sz w:val="18"/>
                <w:szCs w:val="18"/>
              </w:rPr>
            </w:pPr>
            <w:r>
              <w:rPr>
                <w:rFonts w:cs="Times New Roman"/>
                <w:sz w:val="18"/>
                <w:szCs w:val="18"/>
              </w:rPr>
              <w:t>危险废物</w:t>
            </w:r>
          </w:p>
        </w:tc>
        <w:tc>
          <w:tcPr>
            <w:tcW w:w="404" w:type="pct"/>
            <w:noWrap/>
            <w:vAlign w:val="center"/>
          </w:tcPr>
          <w:p w14:paraId="7CF6F86B">
            <w:pPr>
              <w:pStyle w:val="78"/>
              <w:rPr>
                <w:rFonts w:cs="Times New Roman"/>
                <w:sz w:val="18"/>
                <w:szCs w:val="18"/>
              </w:rPr>
            </w:pPr>
            <w:r>
              <w:rPr>
                <w:rFonts w:cs="Times New Roman"/>
                <w:sz w:val="18"/>
                <w:szCs w:val="18"/>
              </w:rPr>
              <w:t>HW18</w:t>
            </w:r>
          </w:p>
        </w:tc>
        <w:tc>
          <w:tcPr>
            <w:tcW w:w="720" w:type="pct"/>
            <w:noWrap/>
            <w:vAlign w:val="center"/>
          </w:tcPr>
          <w:p w14:paraId="29A523EC">
            <w:pPr>
              <w:pStyle w:val="78"/>
              <w:rPr>
                <w:rFonts w:cs="Times New Roman"/>
                <w:sz w:val="18"/>
                <w:szCs w:val="18"/>
              </w:rPr>
            </w:pPr>
            <w:r>
              <w:rPr>
                <w:rFonts w:cs="Times New Roman"/>
                <w:sz w:val="18"/>
                <w:szCs w:val="18"/>
              </w:rPr>
              <w:t>772-002-18</w:t>
            </w:r>
          </w:p>
        </w:tc>
        <w:tc>
          <w:tcPr>
            <w:tcW w:w="511" w:type="pct"/>
            <w:noWrap/>
            <w:vAlign w:val="center"/>
          </w:tcPr>
          <w:p w14:paraId="3F5FE2BC">
            <w:pPr>
              <w:pStyle w:val="78"/>
              <w:rPr>
                <w:rFonts w:cs="Times New Roman"/>
                <w:sz w:val="18"/>
                <w:szCs w:val="18"/>
              </w:rPr>
            </w:pPr>
            <w:r>
              <w:rPr>
                <w:rFonts w:cs="Times New Roman"/>
                <w:sz w:val="18"/>
                <w:szCs w:val="18"/>
              </w:rPr>
              <w:t>345.11</w:t>
            </w:r>
          </w:p>
        </w:tc>
        <w:tc>
          <w:tcPr>
            <w:tcW w:w="1210" w:type="pct"/>
            <w:noWrap/>
            <w:vAlign w:val="center"/>
          </w:tcPr>
          <w:p w14:paraId="5C8A2382">
            <w:pPr>
              <w:pStyle w:val="78"/>
              <w:rPr>
                <w:rFonts w:cs="Times New Roman"/>
                <w:sz w:val="18"/>
                <w:szCs w:val="18"/>
              </w:rPr>
            </w:pPr>
            <w:r>
              <w:rPr>
                <w:rFonts w:cs="Times New Roman"/>
                <w:sz w:val="18"/>
                <w:szCs w:val="18"/>
              </w:rPr>
              <w:t>委托有资质单位外运</w:t>
            </w:r>
          </w:p>
        </w:tc>
      </w:tr>
      <w:tr w14:paraId="5195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Merge w:val="continue"/>
            <w:vAlign w:val="center"/>
          </w:tcPr>
          <w:p w14:paraId="037F3C70">
            <w:pPr>
              <w:pStyle w:val="78"/>
              <w:rPr>
                <w:rFonts w:cs="Times New Roman"/>
                <w:sz w:val="18"/>
                <w:szCs w:val="18"/>
              </w:rPr>
            </w:pPr>
          </w:p>
        </w:tc>
        <w:tc>
          <w:tcPr>
            <w:tcW w:w="630" w:type="pct"/>
            <w:noWrap/>
            <w:vAlign w:val="center"/>
          </w:tcPr>
          <w:p w14:paraId="433E4D69">
            <w:pPr>
              <w:pStyle w:val="78"/>
              <w:rPr>
                <w:rFonts w:cs="Times New Roman"/>
                <w:sz w:val="18"/>
                <w:szCs w:val="18"/>
              </w:rPr>
            </w:pPr>
            <w:r>
              <w:rPr>
                <w:rFonts w:cs="Times New Roman"/>
                <w:sz w:val="18"/>
                <w:szCs w:val="18"/>
              </w:rPr>
              <w:t>废布袋</w:t>
            </w:r>
          </w:p>
        </w:tc>
        <w:tc>
          <w:tcPr>
            <w:tcW w:w="664" w:type="pct"/>
            <w:noWrap/>
            <w:vAlign w:val="center"/>
          </w:tcPr>
          <w:p w14:paraId="482C7BE0">
            <w:pPr>
              <w:pStyle w:val="78"/>
              <w:rPr>
                <w:rFonts w:cs="Times New Roman"/>
                <w:sz w:val="18"/>
                <w:szCs w:val="18"/>
              </w:rPr>
            </w:pPr>
            <w:r>
              <w:rPr>
                <w:rFonts w:cs="Times New Roman"/>
                <w:sz w:val="18"/>
                <w:szCs w:val="18"/>
              </w:rPr>
              <w:t>危险废物</w:t>
            </w:r>
          </w:p>
        </w:tc>
        <w:tc>
          <w:tcPr>
            <w:tcW w:w="404" w:type="pct"/>
            <w:noWrap/>
            <w:vAlign w:val="center"/>
          </w:tcPr>
          <w:p w14:paraId="6D992C32">
            <w:pPr>
              <w:pStyle w:val="78"/>
              <w:rPr>
                <w:rFonts w:cs="Times New Roman"/>
                <w:sz w:val="18"/>
                <w:szCs w:val="18"/>
              </w:rPr>
            </w:pPr>
            <w:r>
              <w:rPr>
                <w:rFonts w:cs="Times New Roman"/>
                <w:sz w:val="18"/>
                <w:szCs w:val="18"/>
              </w:rPr>
              <w:t>HW49</w:t>
            </w:r>
          </w:p>
        </w:tc>
        <w:tc>
          <w:tcPr>
            <w:tcW w:w="720" w:type="pct"/>
            <w:noWrap/>
            <w:vAlign w:val="center"/>
          </w:tcPr>
          <w:p w14:paraId="2841629E">
            <w:pPr>
              <w:pStyle w:val="78"/>
              <w:rPr>
                <w:rFonts w:cs="Times New Roman"/>
                <w:sz w:val="18"/>
                <w:szCs w:val="18"/>
              </w:rPr>
            </w:pPr>
            <w:r>
              <w:rPr>
                <w:rFonts w:cs="Times New Roman"/>
                <w:sz w:val="18"/>
                <w:szCs w:val="18"/>
              </w:rPr>
              <w:t>900-041-49</w:t>
            </w:r>
          </w:p>
        </w:tc>
        <w:tc>
          <w:tcPr>
            <w:tcW w:w="511" w:type="pct"/>
            <w:noWrap/>
            <w:vAlign w:val="center"/>
          </w:tcPr>
          <w:p w14:paraId="6F7102F7">
            <w:pPr>
              <w:pStyle w:val="78"/>
              <w:rPr>
                <w:rFonts w:cs="Times New Roman"/>
                <w:sz w:val="18"/>
                <w:szCs w:val="18"/>
              </w:rPr>
            </w:pPr>
            <w:r>
              <w:rPr>
                <w:rFonts w:cs="Times New Roman"/>
                <w:sz w:val="18"/>
                <w:szCs w:val="18"/>
              </w:rPr>
              <w:t>1.2</w:t>
            </w:r>
          </w:p>
        </w:tc>
        <w:tc>
          <w:tcPr>
            <w:tcW w:w="1210" w:type="pct"/>
            <w:noWrap/>
            <w:vAlign w:val="center"/>
          </w:tcPr>
          <w:p w14:paraId="5D8BA714">
            <w:pPr>
              <w:pStyle w:val="78"/>
              <w:rPr>
                <w:rFonts w:cs="Times New Roman"/>
                <w:sz w:val="18"/>
                <w:szCs w:val="18"/>
              </w:rPr>
            </w:pPr>
            <w:r>
              <w:rPr>
                <w:rFonts w:cs="Times New Roman"/>
                <w:sz w:val="18"/>
                <w:szCs w:val="18"/>
              </w:rPr>
              <w:t>委托有资质单位外运</w:t>
            </w:r>
          </w:p>
        </w:tc>
      </w:tr>
      <w:tr w14:paraId="67E6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Align w:val="center"/>
          </w:tcPr>
          <w:p w14:paraId="7238B79D">
            <w:pPr>
              <w:pStyle w:val="78"/>
              <w:rPr>
                <w:rFonts w:cs="Times New Roman"/>
                <w:sz w:val="18"/>
                <w:szCs w:val="18"/>
              </w:rPr>
            </w:pPr>
            <w:r>
              <w:rPr>
                <w:rFonts w:cs="Times New Roman"/>
                <w:sz w:val="18"/>
                <w:szCs w:val="18"/>
              </w:rPr>
              <w:t>裂解单元开停工设备清洗</w:t>
            </w:r>
          </w:p>
        </w:tc>
        <w:tc>
          <w:tcPr>
            <w:tcW w:w="630" w:type="pct"/>
            <w:noWrap/>
            <w:vAlign w:val="center"/>
          </w:tcPr>
          <w:p w14:paraId="04E8EF36">
            <w:pPr>
              <w:pStyle w:val="78"/>
              <w:rPr>
                <w:rFonts w:cs="Times New Roman"/>
                <w:sz w:val="18"/>
                <w:szCs w:val="18"/>
              </w:rPr>
            </w:pPr>
            <w:r>
              <w:rPr>
                <w:rFonts w:cs="Times New Roman"/>
                <w:sz w:val="18"/>
                <w:szCs w:val="18"/>
              </w:rPr>
              <w:t>设备清洗废水</w:t>
            </w:r>
          </w:p>
        </w:tc>
        <w:tc>
          <w:tcPr>
            <w:tcW w:w="664" w:type="pct"/>
            <w:noWrap/>
            <w:vAlign w:val="center"/>
          </w:tcPr>
          <w:p w14:paraId="772D90C1">
            <w:pPr>
              <w:pStyle w:val="78"/>
              <w:rPr>
                <w:rFonts w:cs="Times New Roman"/>
                <w:sz w:val="18"/>
                <w:szCs w:val="18"/>
              </w:rPr>
            </w:pPr>
            <w:r>
              <w:rPr>
                <w:rFonts w:cs="Times New Roman"/>
                <w:sz w:val="18"/>
                <w:szCs w:val="18"/>
              </w:rPr>
              <w:t>危险废物</w:t>
            </w:r>
          </w:p>
        </w:tc>
        <w:tc>
          <w:tcPr>
            <w:tcW w:w="404" w:type="pct"/>
            <w:noWrap/>
            <w:vAlign w:val="center"/>
          </w:tcPr>
          <w:p w14:paraId="2A17276A">
            <w:pPr>
              <w:pStyle w:val="78"/>
              <w:rPr>
                <w:rFonts w:cs="Times New Roman"/>
                <w:sz w:val="18"/>
                <w:szCs w:val="18"/>
              </w:rPr>
            </w:pPr>
            <w:r>
              <w:rPr>
                <w:rFonts w:cs="Times New Roman"/>
                <w:sz w:val="18"/>
                <w:szCs w:val="18"/>
              </w:rPr>
              <w:t>HW49</w:t>
            </w:r>
          </w:p>
        </w:tc>
        <w:tc>
          <w:tcPr>
            <w:tcW w:w="720" w:type="pct"/>
            <w:noWrap/>
            <w:vAlign w:val="center"/>
          </w:tcPr>
          <w:p w14:paraId="554FC52E">
            <w:pPr>
              <w:pStyle w:val="78"/>
              <w:rPr>
                <w:rFonts w:cs="Times New Roman"/>
                <w:sz w:val="18"/>
                <w:szCs w:val="18"/>
              </w:rPr>
            </w:pPr>
            <w:r>
              <w:rPr>
                <w:rFonts w:cs="Times New Roman"/>
                <w:sz w:val="18"/>
                <w:szCs w:val="18"/>
              </w:rPr>
              <w:t>900-047-49</w:t>
            </w:r>
          </w:p>
        </w:tc>
        <w:tc>
          <w:tcPr>
            <w:tcW w:w="511" w:type="pct"/>
            <w:noWrap/>
            <w:vAlign w:val="center"/>
          </w:tcPr>
          <w:p w14:paraId="704C4DF9">
            <w:pPr>
              <w:pStyle w:val="78"/>
              <w:rPr>
                <w:rFonts w:cs="Times New Roman"/>
                <w:sz w:val="18"/>
                <w:szCs w:val="18"/>
              </w:rPr>
            </w:pPr>
            <w:r>
              <w:rPr>
                <w:rFonts w:cs="Times New Roman"/>
                <w:sz w:val="18"/>
                <w:szCs w:val="18"/>
              </w:rPr>
              <w:t>45</w:t>
            </w:r>
          </w:p>
        </w:tc>
        <w:tc>
          <w:tcPr>
            <w:tcW w:w="1210" w:type="pct"/>
            <w:noWrap/>
            <w:vAlign w:val="center"/>
          </w:tcPr>
          <w:p w14:paraId="3A58489C">
            <w:pPr>
              <w:pStyle w:val="78"/>
              <w:rPr>
                <w:rFonts w:cs="Times New Roman"/>
                <w:sz w:val="18"/>
                <w:szCs w:val="18"/>
              </w:rPr>
            </w:pPr>
            <w:r>
              <w:rPr>
                <w:rFonts w:cs="Times New Roman"/>
                <w:sz w:val="18"/>
                <w:szCs w:val="18"/>
              </w:rPr>
              <w:t>委托有资质单位外运</w:t>
            </w:r>
          </w:p>
        </w:tc>
      </w:tr>
      <w:tr w14:paraId="4351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Merge w:val="restart"/>
            <w:vAlign w:val="center"/>
          </w:tcPr>
          <w:p w14:paraId="0DC83CF8">
            <w:pPr>
              <w:pStyle w:val="78"/>
              <w:rPr>
                <w:rFonts w:cs="Times New Roman"/>
                <w:sz w:val="18"/>
                <w:szCs w:val="18"/>
              </w:rPr>
            </w:pPr>
            <w:r>
              <w:rPr>
                <w:rFonts w:cs="Times New Roman"/>
                <w:sz w:val="18"/>
                <w:szCs w:val="18"/>
              </w:rPr>
              <w:t>生产区设备检修</w:t>
            </w:r>
          </w:p>
        </w:tc>
        <w:tc>
          <w:tcPr>
            <w:tcW w:w="630" w:type="pct"/>
            <w:vAlign w:val="center"/>
          </w:tcPr>
          <w:p w14:paraId="55D7BAF4">
            <w:pPr>
              <w:pStyle w:val="78"/>
              <w:rPr>
                <w:rFonts w:cs="Times New Roman"/>
                <w:sz w:val="18"/>
                <w:szCs w:val="18"/>
              </w:rPr>
            </w:pPr>
            <w:r>
              <w:rPr>
                <w:rFonts w:cs="Times New Roman"/>
                <w:sz w:val="18"/>
                <w:szCs w:val="18"/>
              </w:rPr>
              <w:t>废机油</w:t>
            </w:r>
          </w:p>
        </w:tc>
        <w:tc>
          <w:tcPr>
            <w:tcW w:w="664" w:type="pct"/>
            <w:noWrap/>
            <w:vAlign w:val="center"/>
          </w:tcPr>
          <w:p w14:paraId="502BF9B5">
            <w:pPr>
              <w:pStyle w:val="78"/>
              <w:rPr>
                <w:rFonts w:cs="Times New Roman"/>
                <w:sz w:val="18"/>
                <w:szCs w:val="18"/>
              </w:rPr>
            </w:pPr>
            <w:r>
              <w:rPr>
                <w:rFonts w:cs="Times New Roman"/>
                <w:sz w:val="18"/>
                <w:szCs w:val="18"/>
              </w:rPr>
              <w:t>危险废物</w:t>
            </w:r>
          </w:p>
        </w:tc>
        <w:tc>
          <w:tcPr>
            <w:tcW w:w="404" w:type="pct"/>
            <w:noWrap/>
            <w:vAlign w:val="center"/>
          </w:tcPr>
          <w:p w14:paraId="42177124">
            <w:pPr>
              <w:pStyle w:val="78"/>
              <w:rPr>
                <w:rFonts w:cs="Times New Roman"/>
                <w:sz w:val="18"/>
                <w:szCs w:val="18"/>
              </w:rPr>
            </w:pPr>
            <w:r>
              <w:rPr>
                <w:rFonts w:cs="Times New Roman"/>
                <w:sz w:val="18"/>
                <w:szCs w:val="18"/>
              </w:rPr>
              <w:t>HW08</w:t>
            </w:r>
          </w:p>
        </w:tc>
        <w:tc>
          <w:tcPr>
            <w:tcW w:w="720" w:type="pct"/>
            <w:vAlign w:val="center"/>
          </w:tcPr>
          <w:p w14:paraId="185C4A7F">
            <w:pPr>
              <w:pStyle w:val="78"/>
              <w:rPr>
                <w:rFonts w:cs="Times New Roman"/>
                <w:sz w:val="18"/>
                <w:szCs w:val="18"/>
              </w:rPr>
            </w:pPr>
            <w:r>
              <w:rPr>
                <w:rFonts w:cs="Times New Roman"/>
                <w:sz w:val="18"/>
                <w:szCs w:val="18"/>
              </w:rPr>
              <w:t>900-249-08</w:t>
            </w:r>
          </w:p>
        </w:tc>
        <w:tc>
          <w:tcPr>
            <w:tcW w:w="511" w:type="pct"/>
            <w:noWrap/>
            <w:vAlign w:val="center"/>
          </w:tcPr>
          <w:p w14:paraId="27A2AA80">
            <w:pPr>
              <w:pStyle w:val="78"/>
              <w:rPr>
                <w:rFonts w:cs="Times New Roman"/>
                <w:sz w:val="18"/>
                <w:szCs w:val="18"/>
              </w:rPr>
            </w:pPr>
            <w:r>
              <w:rPr>
                <w:rFonts w:cs="Times New Roman"/>
                <w:sz w:val="18"/>
                <w:szCs w:val="18"/>
              </w:rPr>
              <w:t>1</w:t>
            </w:r>
          </w:p>
        </w:tc>
        <w:tc>
          <w:tcPr>
            <w:tcW w:w="1210" w:type="pct"/>
            <w:noWrap/>
            <w:vAlign w:val="center"/>
          </w:tcPr>
          <w:p w14:paraId="2673CB77">
            <w:pPr>
              <w:pStyle w:val="78"/>
              <w:rPr>
                <w:rFonts w:cs="Times New Roman"/>
                <w:sz w:val="18"/>
                <w:szCs w:val="18"/>
              </w:rPr>
            </w:pPr>
            <w:r>
              <w:rPr>
                <w:rFonts w:cs="Times New Roman"/>
                <w:sz w:val="18"/>
                <w:szCs w:val="18"/>
              </w:rPr>
              <w:t>委托有资质单位外运</w:t>
            </w:r>
          </w:p>
        </w:tc>
      </w:tr>
      <w:tr w14:paraId="20A9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Merge w:val="continue"/>
            <w:vAlign w:val="center"/>
          </w:tcPr>
          <w:p w14:paraId="2329DA8B">
            <w:pPr>
              <w:pStyle w:val="78"/>
              <w:rPr>
                <w:rFonts w:cs="Times New Roman"/>
                <w:sz w:val="18"/>
                <w:szCs w:val="18"/>
              </w:rPr>
            </w:pPr>
          </w:p>
        </w:tc>
        <w:tc>
          <w:tcPr>
            <w:tcW w:w="630" w:type="pct"/>
            <w:vAlign w:val="center"/>
          </w:tcPr>
          <w:p w14:paraId="17B1DA58">
            <w:pPr>
              <w:pStyle w:val="78"/>
              <w:rPr>
                <w:rFonts w:cs="Times New Roman"/>
                <w:sz w:val="18"/>
                <w:szCs w:val="18"/>
              </w:rPr>
            </w:pPr>
            <w:r>
              <w:rPr>
                <w:rFonts w:cs="Times New Roman"/>
                <w:sz w:val="18"/>
                <w:szCs w:val="18"/>
              </w:rPr>
              <w:t>废含油抹布手套</w:t>
            </w:r>
          </w:p>
        </w:tc>
        <w:tc>
          <w:tcPr>
            <w:tcW w:w="664" w:type="pct"/>
            <w:noWrap/>
            <w:vAlign w:val="center"/>
          </w:tcPr>
          <w:p w14:paraId="1D121F43">
            <w:pPr>
              <w:pStyle w:val="78"/>
              <w:rPr>
                <w:rFonts w:cs="Times New Roman"/>
                <w:sz w:val="18"/>
                <w:szCs w:val="18"/>
              </w:rPr>
            </w:pPr>
            <w:r>
              <w:rPr>
                <w:rFonts w:cs="Times New Roman"/>
                <w:sz w:val="18"/>
                <w:szCs w:val="18"/>
              </w:rPr>
              <w:t>危险废物</w:t>
            </w:r>
          </w:p>
        </w:tc>
        <w:tc>
          <w:tcPr>
            <w:tcW w:w="404" w:type="pct"/>
            <w:noWrap/>
            <w:vAlign w:val="center"/>
          </w:tcPr>
          <w:p w14:paraId="5B461725">
            <w:pPr>
              <w:pStyle w:val="78"/>
              <w:rPr>
                <w:rFonts w:cs="Times New Roman"/>
                <w:sz w:val="18"/>
                <w:szCs w:val="18"/>
              </w:rPr>
            </w:pPr>
            <w:r>
              <w:rPr>
                <w:rFonts w:cs="Times New Roman"/>
                <w:sz w:val="18"/>
                <w:szCs w:val="18"/>
              </w:rPr>
              <w:t>HW49</w:t>
            </w:r>
          </w:p>
        </w:tc>
        <w:tc>
          <w:tcPr>
            <w:tcW w:w="720" w:type="pct"/>
            <w:vAlign w:val="center"/>
          </w:tcPr>
          <w:p w14:paraId="2AF2BD0F">
            <w:pPr>
              <w:pStyle w:val="78"/>
              <w:rPr>
                <w:rFonts w:cs="Times New Roman"/>
                <w:sz w:val="18"/>
                <w:szCs w:val="18"/>
              </w:rPr>
            </w:pPr>
            <w:r>
              <w:rPr>
                <w:rFonts w:cs="Times New Roman"/>
                <w:sz w:val="18"/>
                <w:szCs w:val="18"/>
              </w:rPr>
              <w:t>900-041-49</w:t>
            </w:r>
          </w:p>
        </w:tc>
        <w:tc>
          <w:tcPr>
            <w:tcW w:w="511" w:type="pct"/>
            <w:noWrap/>
            <w:vAlign w:val="center"/>
          </w:tcPr>
          <w:p w14:paraId="3D4BC164">
            <w:pPr>
              <w:pStyle w:val="78"/>
              <w:rPr>
                <w:rFonts w:cs="Times New Roman"/>
                <w:sz w:val="18"/>
                <w:szCs w:val="18"/>
              </w:rPr>
            </w:pPr>
            <w:r>
              <w:rPr>
                <w:rFonts w:cs="Times New Roman"/>
                <w:sz w:val="18"/>
                <w:szCs w:val="18"/>
              </w:rPr>
              <w:t>0.2</w:t>
            </w:r>
          </w:p>
        </w:tc>
        <w:tc>
          <w:tcPr>
            <w:tcW w:w="1210" w:type="pct"/>
            <w:noWrap/>
            <w:vAlign w:val="center"/>
          </w:tcPr>
          <w:p w14:paraId="1E46E41C">
            <w:pPr>
              <w:pStyle w:val="78"/>
              <w:rPr>
                <w:rFonts w:cs="Times New Roman"/>
                <w:sz w:val="18"/>
                <w:szCs w:val="18"/>
              </w:rPr>
            </w:pPr>
            <w:r>
              <w:rPr>
                <w:rFonts w:cs="Times New Roman"/>
                <w:sz w:val="18"/>
                <w:szCs w:val="18"/>
              </w:rPr>
              <w:t>委托有资质单位外运</w:t>
            </w:r>
          </w:p>
        </w:tc>
      </w:tr>
      <w:tr w14:paraId="55AA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Merge w:val="restart"/>
            <w:noWrap/>
            <w:vAlign w:val="center"/>
          </w:tcPr>
          <w:p w14:paraId="2BDC149D">
            <w:pPr>
              <w:pStyle w:val="78"/>
              <w:rPr>
                <w:rFonts w:cs="Times New Roman"/>
                <w:sz w:val="18"/>
                <w:szCs w:val="18"/>
              </w:rPr>
            </w:pPr>
            <w:r>
              <w:rPr>
                <w:rFonts w:cs="Times New Roman"/>
                <w:sz w:val="18"/>
                <w:szCs w:val="18"/>
              </w:rPr>
              <w:t>实验室化验</w:t>
            </w:r>
          </w:p>
        </w:tc>
        <w:tc>
          <w:tcPr>
            <w:tcW w:w="630" w:type="pct"/>
            <w:vAlign w:val="center"/>
          </w:tcPr>
          <w:p w14:paraId="350F9AAF">
            <w:pPr>
              <w:pStyle w:val="78"/>
              <w:rPr>
                <w:rFonts w:cs="Times New Roman"/>
                <w:sz w:val="18"/>
                <w:szCs w:val="18"/>
              </w:rPr>
            </w:pPr>
            <w:r>
              <w:rPr>
                <w:rFonts w:cs="Times New Roman"/>
                <w:sz w:val="18"/>
                <w:szCs w:val="18"/>
              </w:rPr>
              <w:t>废化学试剂包装</w:t>
            </w:r>
          </w:p>
        </w:tc>
        <w:tc>
          <w:tcPr>
            <w:tcW w:w="664" w:type="pct"/>
            <w:noWrap/>
            <w:vAlign w:val="center"/>
          </w:tcPr>
          <w:p w14:paraId="32AE08A3">
            <w:pPr>
              <w:pStyle w:val="78"/>
              <w:rPr>
                <w:rFonts w:cs="Times New Roman"/>
                <w:sz w:val="18"/>
                <w:szCs w:val="18"/>
              </w:rPr>
            </w:pPr>
            <w:r>
              <w:rPr>
                <w:rFonts w:cs="Times New Roman"/>
                <w:sz w:val="18"/>
                <w:szCs w:val="18"/>
              </w:rPr>
              <w:t>危险废物</w:t>
            </w:r>
          </w:p>
        </w:tc>
        <w:tc>
          <w:tcPr>
            <w:tcW w:w="404" w:type="pct"/>
            <w:noWrap/>
            <w:vAlign w:val="center"/>
          </w:tcPr>
          <w:p w14:paraId="598E1F9E">
            <w:pPr>
              <w:pStyle w:val="78"/>
              <w:rPr>
                <w:rFonts w:cs="Times New Roman"/>
                <w:sz w:val="18"/>
                <w:szCs w:val="18"/>
              </w:rPr>
            </w:pPr>
            <w:r>
              <w:rPr>
                <w:rFonts w:cs="Times New Roman"/>
                <w:sz w:val="18"/>
                <w:szCs w:val="18"/>
              </w:rPr>
              <w:t>HW49</w:t>
            </w:r>
          </w:p>
        </w:tc>
        <w:tc>
          <w:tcPr>
            <w:tcW w:w="720" w:type="pct"/>
            <w:noWrap/>
            <w:vAlign w:val="center"/>
          </w:tcPr>
          <w:p w14:paraId="3C5FD866">
            <w:pPr>
              <w:pStyle w:val="78"/>
              <w:rPr>
                <w:rFonts w:cs="Times New Roman"/>
                <w:sz w:val="18"/>
                <w:szCs w:val="18"/>
              </w:rPr>
            </w:pPr>
            <w:r>
              <w:rPr>
                <w:rFonts w:cs="Times New Roman"/>
                <w:sz w:val="18"/>
                <w:szCs w:val="18"/>
              </w:rPr>
              <w:t>900-047-49</w:t>
            </w:r>
          </w:p>
        </w:tc>
        <w:tc>
          <w:tcPr>
            <w:tcW w:w="511" w:type="pct"/>
            <w:noWrap/>
            <w:vAlign w:val="center"/>
          </w:tcPr>
          <w:p w14:paraId="43FD9F64">
            <w:pPr>
              <w:pStyle w:val="78"/>
              <w:rPr>
                <w:rFonts w:cs="Times New Roman"/>
                <w:sz w:val="18"/>
                <w:szCs w:val="18"/>
              </w:rPr>
            </w:pPr>
            <w:r>
              <w:rPr>
                <w:rFonts w:cs="Times New Roman"/>
                <w:sz w:val="18"/>
                <w:szCs w:val="18"/>
              </w:rPr>
              <w:t>0.5</w:t>
            </w:r>
          </w:p>
        </w:tc>
        <w:tc>
          <w:tcPr>
            <w:tcW w:w="1210" w:type="pct"/>
            <w:noWrap/>
            <w:vAlign w:val="center"/>
          </w:tcPr>
          <w:p w14:paraId="73D88D1A">
            <w:pPr>
              <w:pStyle w:val="78"/>
              <w:rPr>
                <w:rFonts w:cs="Times New Roman"/>
                <w:sz w:val="18"/>
                <w:szCs w:val="18"/>
              </w:rPr>
            </w:pPr>
            <w:r>
              <w:rPr>
                <w:rFonts w:cs="Times New Roman"/>
                <w:sz w:val="18"/>
                <w:szCs w:val="18"/>
              </w:rPr>
              <w:t>委托有资质单位外运</w:t>
            </w:r>
          </w:p>
        </w:tc>
      </w:tr>
      <w:tr w14:paraId="185E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Merge w:val="continue"/>
            <w:vAlign w:val="center"/>
          </w:tcPr>
          <w:p w14:paraId="77C5F650">
            <w:pPr>
              <w:pStyle w:val="78"/>
              <w:rPr>
                <w:rFonts w:cs="Times New Roman"/>
                <w:sz w:val="18"/>
                <w:szCs w:val="18"/>
              </w:rPr>
            </w:pPr>
          </w:p>
        </w:tc>
        <w:tc>
          <w:tcPr>
            <w:tcW w:w="630" w:type="pct"/>
            <w:vAlign w:val="center"/>
          </w:tcPr>
          <w:p w14:paraId="008740AB">
            <w:pPr>
              <w:pStyle w:val="78"/>
              <w:rPr>
                <w:rFonts w:cs="Times New Roman"/>
                <w:sz w:val="18"/>
                <w:szCs w:val="18"/>
              </w:rPr>
            </w:pPr>
            <w:r>
              <w:rPr>
                <w:rFonts w:cs="Times New Roman"/>
                <w:sz w:val="18"/>
                <w:szCs w:val="18"/>
              </w:rPr>
              <w:t>实验废液</w:t>
            </w:r>
          </w:p>
        </w:tc>
        <w:tc>
          <w:tcPr>
            <w:tcW w:w="664" w:type="pct"/>
            <w:noWrap/>
            <w:vAlign w:val="center"/>
          </w:tcPr>
          <w:p w14:paraId="5FC89F49">
            <w:pPr>
              <w:pStyle w:val="78"/>
              <w:rPr>
                <w:rFonts w:cs="Times New Roman"/>
                <w:sz w:val="18"/>
                <w:szCs w:val="18"/>
              </w:rPr>
            </w:pPr>
            <w:r>
              <w:rPr>
                <w:rFonts w:cs="Times New Roman"/>
                <w:sz w:val="18"/>
                <w:szCs w:val="18"/>
              </w:rPr>
              <w:t>危险废物</w:t>
            </w:r>
          </w:p>
        </w:tc>
        <w:tc>
          <w:tcPr>
            <w:tcW w:w="404" w:type="pct"/>
            <w:noWrap/>
            <w:vAlign w:val="center"/>
          </w:tcPr>
          <w:p w14:paraId="2E939215">
            <w:pPr>
              <w:pStyle w:val="78"/>
              <w:rPr>
                <w:rFonts w:cs="Times New Roman"/>
                <w:sz w:val="18"/>
                <w:szCs w:val="18"/>
              </w:rPr>
            </w:pPr>
            <w:r>
              <w:rPr>
                <w:rFonts w:cs="Times New Roman"/>
                <w:sz w:val="18"/>
                <w:szCs w:val="18"/>
              </w:rPr>
              <w:t>HW49</w:t>
            </w:r>
          </w:p>
        </w:tc>
        <w:tc>
          <w:tcPr>
            <w:tcW w:w="720" w:type="pct"/>
            <w:noWrap/>
            <w:vAlign w:val="center"/>
          </w:tcPr>
          <w:p w14:paraId="6E57F768">
            <w:pPr>
              <w:pStyle w:val="78"/>
              <w:rPr>
                <w:rFonts w:cs="Times New Roman"/>
                <w:sz w:val="18"/>
                <w:szCs w:val="18"/>
              </w:rPr>
            </w:pPr>
            <w:r>
              <w:rPr>
                <w:rFonts w:cs="Times New Roman"/>
                <w:sz w:val="18"/>
                <w:szCs w:val="18"/>
              </w:rPr>
              <w:t>900-047-49</w:t>
            </w:r>
          </w:p>
        </w:tc>
        <w:tc>
          <w:tcPr>
            <w:tcW w:w="511" w:type="pct"/>
            <w:noWrap/>
            <w:vAlign w:val="center"/>
          </w:tcPr>
          <w:p w14:paraId="3FBB516F">
            <w:pPr>
              <w:pStyle w:val="78"/>
              <w:rPr>
                <w:rFonts w:cs="Times New Roman"/>
                <w:sz w:val="18"/>
                <w:szCs w:val="18"/>
              </w:rPr>
            </w:pPr>
            <w:r>
              <w:rPr>
                <w:rFonts w:cs="Times New Roman"/>
                <w:sz w:val="18"/>
                <w:szCs w:val="18"/>
              </w:rPr>
              <w:t>0.5</w:t>
            </w:r>
          </w:p>
        </w:tc>
        <w:tc>
          <w:tcPr>
            <w:tcW w:w="1210" w:type="pct"/>
            <w:noWrap/>
            <w:vAlign w:val="center"/>
          </w:tcPr>
          <w:p w14:paraId="102FE485">
            <w:pPr>
              <w:pStyle w:val="78"/>
              <w:rPr>
                <w:rFonts w:cs="Times New Roman"/>
                <w:sz w:val="18"/>
                <w:szCs w:val="18"/>
              </w:rPr>
            </w:pPr>
            <w:r>
              <w:rPr>
                <w:rFonts w:cs="Times New Roman"/>
                <w:sz w:val="18"/>
                <w:szCs w:val="18"/>
              </w:rPr>
              <w:t>委托有资质单位外运</w:t>
            </w:r>
          </w:p>
        </w:tc>
      </w:tr>
      <w:tr w14:paraId="2E73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61" w:type="pct"/>
            <w:vAlign w:val="center"/>
          </w:tcPr>
          <w:p w14:paraId="7DDEFBA0">
            <w:pPr>
              <w:pStyle w:val="78"/>
              <w:rPr>
                <w:rFonts w:cs="Times New Roman"/>
                <w:sz w:val="18"/>
                <w:szCs w:val="18"/>
              </w:rPr>
            </w:pPr>
            <w:r>
              <w:rPr>
                <w:rFonts w:cs="Times New Roman"/>
                <w:sz w:val="18"/>
                <w:szCs w:val="18"/>
              </w:rPr>
              <w:t>员工办公生活</w:t>
            </w:r>
          </w:p>
        </w:tc>
        <w:tc>
          <w:tcPr>
            <w:tcW w:w="630" w:type="pct"/>
            <w:vAlign w:val="center"/>
          </w:tcPr>
          <w:p w14:paraId="6E682CD9">
            <w:pPr>
              <w:pStyle w:val="78"/>
              <w:rPr>
                <w:rFonts w:cs="Times New Roman"/>
                <w:sz w:val="18"/>
                <w:szCs w:val="18"/>
              </w:rPr>
            </w:pPr>
            <w:r>
              <w:rPr>
                <w:rFonts w:cs="Times New Roman"/>
                <w:sz w:val="18"/>
                <w:szCs w:val="18"/>
              </w:rPr>
              <w:t>生活垃圾</w:t>
            </w:r>
          </w:p>
        </w:tc>
        <w:tc>
          <w:tcPr>
            <w:tcW w:w="664" w:type="pct"/>
            <w:noWrap/>
            <w:vAlign w:val="center"/>
          </w:tcPr>
          <w:p w14:paraId="2D8D6743">
            <w:pPr>
              <w:pStyle w:val="78"/>
              <w:rPr>
                <w:rFonts w:cs="Times New Roman"/>
                <w:sz w:val="18"/>
                <w:szCs w:val="18"/>
              </w:rPr>
            </w:pPr>
            <w:r>
              <w:rPr>
                <w:rFonts w:cs="Times New Roman"/>
                <w:sz w:val="18"/>
                <w:szCs w:val="18"/>
              </w:rPr>
              <w:t>生活垃圾</w:t>
            </w:r>
          </w:p>
        </w:tc>
        <w:tc>
          <w:tcPr>
            <w:tcW w:w="404" w:type="pct"/>
            <w:vAlign w:val="center"/>
          </w:tcPr>
          <w:p w14:paraId="24BF3482">
            <w:pPr>
              <w:pStyle w:val="78"/>
              <w:rPr>
                <w:rFonts w:cs="Times New Roman"/>
                <w:sz w:val="18"/>
                <w:szCs w:val="18"/>
              </w:rPr>
            </w:pPr>
            <w:r>
              <w:rPr>
                <w:rFonts w:cs="Times New Roman"/>
                <w:sz w:val="18"/>
                <w:szCs w:val="18"/>
              </w:rPr>
              <w:t>/</w:t>
            </w:r>
          </w:p>
        </w:tc>
        <w:tc>
          <w:tcPr>
            <w:tcW w:w="720" w:type="pct"/>
            <w:vAlign w:val="center"/>
          </w:tcPr>
          <w:p w14:paraId="564E176C">
            <w:pPr>
              <w:pStyle w:val="78"/>
              <w:rPr>
                <w:rFonts w:cs="Times New Roman"/>
                <w:sz w:val="18"/>
                <w:szCs w:val="18"/>
              </w:rPr>
            </w:pPr>
            <w:r>
              <w:rPr>
                <w:rFonts w:cs="Times New Roman"/>
                <w:sz w:val="18"/>
                <w:szCs w:val="18"/>
              </w:rPr>
              <w:t>/</w:t>
            </w:r>
          </w:p>
        </w:tc>
        <w:tc>
          <w:tcPr>
            <w:tcW w:w="511" w:type="pct"/>
            <w:noWrap/>
            <w:vAlign w:val="center"/>
          </w:tcPr>
          <w:p w14:paraId="0CE56CEB">
            <w:pPr>
              <w:pStyle w:val="78"/>
              <w:rPr>
                <w:rFonts w:cs="Times New Roman"/>
                <w:sz w:val="18"/>
                <w:szCs w:val="18"/>
              </w:rPr>
            </w:pPr>
            <w:r>
              <w:rPr>
                <w:rFonts w:cs="Times New Roman"/>
                <w:sz w:val="18"/>
                <w:szCs w:val="18"/>
              </w:rPr>
              <w:t>154</w:t>
            </w:r>
          </w:p>
        </w:tc>
        <w:tc>
          <w:tcPr>
            <w:tcW w:w="1210" w:type="pct"/>
            <w:noWrap/>
            <w:vAlign w:val="center"/>
          </w:tcPr>
          <w:p w14:paraId="58902F50">
            <w:pPr>
              <w:pStyle w:val="78"/>
              <w:rPr>
                <w:rFonts w:cs="Times New Roman"/>
                <w:sz w:val="18"/>
                <w:szCs w:val="18"/>
              </w:rPr>
            </w:pPr>
            <w:r>
              <w:rPr>
                <w:rFonts w:cs="Times New Roman"/>
                <w:sz w:val="18"/>
                <w:szCs w:val="18"/>
              </w:rPr>
              <w:t>交由园区环卫部门外运</w:t>
            </w:r>
          </w:p>
        </w:tc>
      </w:tr>
    </w:tbl>
    <w:p w14:paraId="1657F603">
      <w:pPr>
        <w:rPr>
          <w:rFonts w:ascii="Times New Roman" w:hAnsi="Times New Roman" w:cs="Times New Roman"/>
        </w:rPr>
      </w:pPr>
    </w:p>
    <w:p w14:paraId="60FC0AAA">
      <w:pPr>
        <w:pStyle w:val="4"/>
      </w:pPr>
      <w:bookmarkStart w:id="42" w:name="_Toc210915270"/>
      <w:bookmarkStart w:id="43" w:name="_Toc200527731"/>
      <w:r>
        <w:t>历史土壤和地下水环境监测信息</w:t>
      </w:r>
      <w:bookmarkEnd w:id="42"/>
      <w:bookmarkEnd w:id="43"/>
    </w:p>
    <w:p w14:paraId="361C3102">
      <w:pPr>
        <w:pStyle w:val="5"/>
        <w:rPr>
          <w:color w:val="auto"/>
        </w:rPr>
      </w:pPr>
      <w:r>
        <w:rPr>
          <w:color w:val="auto"/>
        </w:rPr>
        <w:t>历史地下水环境监测信息</w:t>
      </w:r>
    </w:p>
    <w:p w14:paraId="7290DDC2">
      <w:pPr>
        <w:pStyle w:val="6"/>
      </w:pPr>
      <w:r>
        <w:t>监测点布设</w:t>
      </w:r>
    </w:p>
    <w:p w14:paraId="3A9858FB">
      <w:pPr>
        <w:pStyle w:val="3"/>
        <w:ind w:firstLine="480"/>
      </w:pPr>
      <w:r>
        <w:t>根据人员访谈及收集的资料，东粤化学项目分别于2023年8月24日委托广东智环创新环境科技有限公司、2024年7月2日广东增源检测技术有限公司检测中心对地下水进行采样监测。同时也收集到临近项目《广东伊斯科碳四碳五制高端新材料项目环境影响报告书》中由广东智环创新环境科技有限公司于2023年4月24对地下水进行的采样监测数据，引用点位GW6-GW8；同时引用《巨正源（揭阳）新材料基地项目变更环境影响报告书》中由广东智环创新环境科技有限公司于2024年5月11日对地下水进行的采样监测数据。共计10个监测点位，具体位置及采样点情况见表2.7-1、图2.7-1。</w:t>
      </w:r>
    </w:p>
    <w:p w14:paraId="019A789E">
      <w:pPr>
        <w:pStyle w:val="14"/>
        <w:rPr>
          <w:rFonts w:cs="Times New Roman"/>
          <w:color w:val="auto"/>
        </w:rPr>
      </w:pPr>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w:t>
      </w:r>
      <w:r>
        <w:rPr>
          <w:rFonts w:cs="Times New Roman"/>
          <w:color w:val="auto"/>
        </w:rPr>
        <w:fldChar w:fldCharType="end"/>
      </w:r>
      <w:r>
        <w:rPr>
          <w:rFonts w:cs="Times New Roman"/>
          <w:color w:val="auto"/>
        </w:rPr>
        <w:t xml:space="preserve">  历史地下水监测点位信息</w:t>
      </w:r>
    </w:p>
    <w:tbl>
      <w:tblPr>
        <w:tblStyle w:val="41"/>
        <w:tblW w:w="51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967"/>
        <w:gridCol w:w="1512"/>
        <w:gridCol w:w="1516"/>
        <w:gridCol w:w="1356"/>
        <w:gridCol w:w="1661"/>
      </w:tblGrid>
      <w:tr w14:paraId="438F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1E11FA4D">
            <w:pPr>
              <w:pStyle w:val="78"/>
              <w:rPr>
                <w:rFonts w:cs="Times New Roman"/>
                <w:b/>
                <w:bCs/>
              </w:rPr>
            </w:pPr>
            <w:r>
              <w:rPr>
                <w:rFonts w:cs="Times New Roman"/>
                <w:b/>
                <w:bCs/>
              </w:rPr>
              <w:t>编号</w:t>
            </w:r>
          </w:p>
        </w:tc>
        <w:tc>
          <w:tcPr>
            <w:tcW w:w="1085" w:type="pct"/>
            <w:tcBorders>
              <w:top w:val="single" w:color="auto" w:sz="4" w:space="0"/>
              <w:left w:val="single" w:color="auto" w:sz="4" w:space="0"/>
              <w:bottom w:val="single" w:color="auto" w:sz="4" w:space="0"/>
              <w:right w:val="single" w:color="auto" w:sz="4" w:space="0"/>
            </w:tcBorders>
            <w:vAlign w:val="center"/>
          </w:tcPr>
          <w:p w14:paraId="32BC1898">
            <w:pPr>
              <w:pStyle w:val="78"/>
              <w:rPr>
                <w:rFonts w:cs="Times New Roman"/>
                <w:b/>
                <w:bCs/>
              </w:rPr>
            </w:pPr>
            <w:r>
              <w:rPr>
                <w:rFonts w:cs="Times New Roman"/>
                <w:b/>
                <w:bCs/>
              </w:rPr>
              <w:t>监测点</w:t>
            </w:r>
          </w:p>
        </w:tc>
        <w:tc>
          <w:tcPr>
            <w:tcW w:w="834" w:type="pct"/>
            <w:tcBorders>
              <w:top w:val="single" w:color="auto" w:sz="4" w:space="0"/>
              <w:left w:val="single" w:color="auto" w:sz="4" w:space="0"/>
              <w:bottom w:val="single" w:color="auto" w:sz="4" w:space="0"/>
              <w:right w:val="single" w:color="auto" w:sz="4" w:space="0"/>
            </w:tcBorders>
            <w:vAlign w:val="center"/>
          </w:tcPr>
          <w:p w14:paraId="75083C2C">
            <w:pPr>
              <w:pStyle w:val="78"/>
              <w:rPr>
                <w:rFonts w:cs="Times New Roman"/>
                <w:b/>
                <w:bCs/>
              </w:rPr>
            </w:pPr>
            <w:r>
              <w:rPr>
                <w:rFonts w:cs="Times New Roman"/>
                <w:b/>
                <w:bCs/>
              </w:rPr>
              <w:t>方位/距离</w:t>
            </w:r>
          </w:p>
        </w:tc>
        <w:tc>
          <w:tcPr>
            <w:tcW w:w="836" w:type="pct"/>
            <w:tcBorders>
              <w:top w:val="single" w:color="auto" w:sz="4" w:space="0"/>
              <w:left w:val="single" w:color="auto" w:sz="4" w:space="0"/>
              <w:bottom w:val="single" w:color="auto" w:sz="4" w:space="0"/>
              <w:right w:val="single" w:color="auto" w:sz="4" w:space="0"/>
            </w:tcBorders>
            <w:vAlign w:val="center"/>
          </w:tcPr>
          <w:p w14:paraId="57F947FA">
            <w:pPr>
              <w:pStyle w:val="78"/>
              <w:rPr>
                <w:rFonts w:cs="Times New Roman"/>
                <w:b/>
                <w:bCs/>
              </w:rPr>
            </w:pPr>
            <w:r>
              <w:rPr>
                <w:rFonts w:cs="Times New Roman"/>
                <w:b/>
                <w:bCs/>
              </w:rPr>
              <w:t>引用项目</w:t>
            </w:r>
          </w:p>
        </w:tc>
        <w:tc>
          <w:tcPr>
            <w:tcW w:w="748" w:type="pct"/>
            <w:tcBorders>
              <w:top w:val="single" w:color="auto" w:sz="4" w:space="0"/>
              <w:left w:val="single" w:color="auto" w:sz="4" w:space="0"/>
              <w:bottom w:val="single" w:color="auto" w:sz="4" w:space="0"/>
              <w:right w:val="single" w:color="auto" w:sz="4" w:space="0"/>
            </w:tcBorders>
            <w:vAlign w:val="center"/>
          </w:tcPr>
          <w:p w14:paraId="114B17EB">
            <w:pPr>
              <w:pStyle w:val="78"/>
              <w:rPr>
                <w:rFonts w:cs="Times New Roman"/>
                <w:b/>
                <w:bCs/>
              </w:rPr>
            </w:pPr>
            <w:r>
              <w:rPr>
                <w:rFonts w:cs="Times New Roman"/>
                <w:b/>
                <w:bCs/>
              </w:rPr>
              <w:t>监测时间</w:t>
            </w:r>
          </w:p>
        </w:tc>
        <w:tc>
          <w:tcPr>
            <w:tcW w:w="917" w:type="pct"/>
            <w:tcBorders>
              <w:top w:val="single" w:color="auto" w:sz="4" w:space="0"/>
              <w:left w:val="single" w:color="auto" w:sz="4" w:space="0"/>
              <w:bottom w:val="single" w:color="auto" w:sz="4" w:space="0"/>
              <w:right w:val="single" w:color="auto" w:sz="4" w:space="0"/>
            </w:tcBorders>
            <w:vAlign w:val="center"/>
          </w:tcPr>
          <w:p w14:paraId="08E13A89">
            <w:pPr>
              <w:pStyle w:val="78"/>
              <w:rPr>
                <w:rFonts w:cs="Times New Roman"/>
                <w:b/>
                <w:bCs/>
              </w:rPr>
            </w:pPr>
            <w:r>
              <w:rPr>
                <w:rFonts w:cs="Times New Roman"/>
                <w:b/>
                <w:bCs/>
              </w:rPr>
              <w:t>引用来源</w:t>
            </w:r>
          </w:p>
        </w:tc>
      </w:tr>
      <w:tr w14:paraId="4DED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6DA423C3">
            <w:pPr>
              <w:pStyle w:val="78"/>
              <w:rPr>
                <w:rFonts w:cs="Times New Roman"/>
              </w:rPr>
            </w:pPr>
            <w:r>
              <w:rPr>
                <w:rFonts w:cs="Times New Roman"/>
              </w:rPr>
              <w:t>U1</w:t>
            </w:r>
          </w:p>
        </w:tc>
        <w:tc>
          <w:tcPr>
            <w:tcW w:w="1085" w:type="pct"/>
            <w:tcBorders>
              <w:top w:val="single" w:color="auto" w:sz="4" w:space="0"/>
              <w:left w:val="single" w:color="auto" w:sz="4" w:space="0"/>
              <w:bottom w:val="single" w:color="auto" w:sz="4" w:space="0"/>
              <w:right w:val="single" w:color="auto" w:sz="4" w:space="0"/>
            </w:tcBorders>
            <w:vAlign w:val="center"/>
          </w:tcPr>
          <w:p w14:paraId="4CFCD238">
            <w:pPr>
              <w:pStyle w:val="78"/>
              <w:rPr>
                <w:rFonts w:cs="Times New Roman"/>
              </w:rPr>
            </w:pPr>
            <w:r>
              <w:rPr>
                <w:rFonts w:cs="Times New Roman"/>
              </w:rPr>
              <w:t>项目场地西面</w:t>
            </w:r>
          </w:p>
        </w:tc>
        <w:tc>
          <w:tcPr>
            <w:tcW w:w="834" w:type="pct"/>
            <w:tcBorders>
              <w:top w:val="single" w:color="auto" w:sz="4" w:space="0"/>
              <w:left w:val="single" w:color="auto" w:sz="4" w:space="0"/>
              <w:bottom w:val="single" w:color="auto" w:sz="4" w:space="0"/>
              <w:right w:val="single" w:color="auto" w:sz="4" w:space="0"/>
            </w:tcBorders>
            <w:vAlign w:val="center"/>
          </w:tcPr>
          <w:p w14:paraId="1A199B38">
            <w:pPr>
              <w:pStyle w:val="78"/>
              <w:rPr>
                <w:rFonts w:cs="Times New Roman"/>
              </w:rPr>
            </w:pPr>
            <w:r>
              <w:rPr>
                <w:rFonts w:cs="Times New Roman"/>
              </w:rPr>
              <w:t>W/260m</w:t>
            </w:r>
          </w:p>
        </w:tc>
        <w:tc>
          <w:tcPr>
            <w:tcW w:w="836" w:type="pct"/>
            <w:tcBorders>
              <w:top w:val="single" w:color="auto" w:sz="4" w:space="0"/>
              <w:left w:val="single" w:color="auto" w:sz="4" w:space="0"/>
              <w:bottom w:val="single" w:color="auto" w:sz="4" w:space="0"/>
              <w:right w:val="single" w:color="auto" w:sz="4" w:space="0"/>
            </w:tcBorders>
            <w:vAlign w:val="center"/>
          </w:tcPr>
          <w:p w14:paraId="636463E5">
            <w:pPr>
              <w:pStyle w:val="78"/>
              <w:rPr>
                <w:rFonts w:cs="Times New Roman"/>
              </w:rPr>
            </w:pPr>
            <w:r>
              <w:rPr>
                <w:rFonts w:cs="Times New Roman"/>
              </w:rPr>
              <w:t>水质、水位</w:t>
            </w:r>
          </w:p>
        </w:tc>
        <w:tc>
          <w:tcPr>
            <w:tcW w:w="748" w:type="pct"/>
            <w:vMerge w:val="restart"/>
            <w:tcBorders>
              <w:left w:val="single" w:color="auto" w:sz="4" w:space="0"/>
              <w:right w:val="single" w:color="auto" w:sz="4" w:space="0"/>
            </w:tcBorders>
            <w:vAlign w:val="center"/>
          </w:tcPr>
          <w:p w14:paraId="1D593D02">
            <w:pPr>
              <w:pStyle w:val="78"/>
              <w:rPr>
                <w:rFonts w:cs="Times New Roman"/>
              </w:rPr>
            </w:pPr>
            <w:r>
              <w:rPr>
                <w:rFonts w:cs="Times New Roman"/>
              </w:rPr>
              <w:t>2023年8月24日</w:t>
            </w:r>
          </w:p>
        </w:tc>
        <w:tc>
          <w:tcPr>
            <w:tcW w:w="917" w:type="pct"/>
            <w:vMerge w:val="restart"/>
            <w:tcBorders>
              <w:left w:val="single" w:color="auto" w:sz="4" w:space="0"/>
              <w:right w:val="single" w:color="auto" w:sz="4" w:space="0"/>
            </w:tcBorders>
            <w:vAlign w:val="center"/>
          </w:tcPr>
          <w:p w14:paraId="03863006">
            <w:pPr>
              <w:pStyle w:val="78"/>
              <w:rPr>
                <w:rFonts w:cs="Times New Roman"/>
              </w:rPr>
            </w:pPr>
            <w:r>
              <w:rPr>
                <w:rFonts w:cs="Times New Roman"/>
              </w:rPr>
              <w:t>东粤化学项目</w:t>
            </w:r>
          </w:p>
        </w:tc>
      </w:tr>
      <w:tr w14:paraId="0E8E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1B69EEC1">
            <w:pPr>
              <w:pStyle w:val="78"/>
              <w:rPr>
                <w:rFonts w:cs="Times New Roman"/>
              </w:rPr>
            </w:pPr>
            <w:r>
              <w:rPr>
                <w:rFonts w:cs="Times New Roman"/>
              </w:rPr>
              <w:t>U2</w:t>
            </w:r>
          </w:p>
        </w:tc>
        <w:tc>
          <w:tcPr>
            <w:tcW w:w="1085" w:type="pct"/>
            <w:tcBorders>
              <w:top w:val="single" w:color="auto" w:sz="4" w:space="0"/>
              <w:left w:val="single" w:color="auto" w:sz="4" w:space="0"/>
              <w:bottom w:val="single" w:color="auto" w:sz="4" w:space="0"/>
              <w:right w:val="single" w:color="auto" w:sz="4" w:space="0"/>
            </w:tcBorders>
            <w:vAlign w:val="center"/>
          </w:tcPr>
          <w:p w14:paraId="49F92C11">
            <w:pPr>
              <w:pStyle w:val="78"/>
              <w:rPr>
                <w:rFonts w:cs="Times New Roman"/>
              </w:rPr>
            </w:pPr>
            <w:r>
              <w:rPr>
                <w:rFonts w:cs="Times New Roman"/>
              </w:rPr>
              <w:t>项目场地北面</w:t>
            </w:r>
          </w:p>
        </w:tc>
        <w:tc>
          <w:tcPr>
            <w:tcW w:w="834" w:type="pct"/>
            <w:tcBorders>
              <w:top w:val="single" w:color="auto" w:sz="4" w:space="0"/>
              <w:left w:val="single" w:color="auto" w:sz="4" w:space="0"/>
              <w:bottom w:val="single" w:color="auto" w:sz="4" w:space="0"/>
              <w:right w:val="single" w:color="auto" w:sz="4" w:space="0"/>
            </w:tcBorders>
            <w:vAlign w:val="center"/>
          </w:tcPr>
          <w:p w14:paraId="771C6CBA">
            <w:pPr>
              <w:pStyle w:val="78"/>
              <w:rPr>
                <w:rFonts w:cs="Times New Roman"/>
              </w:rPr>
            </w:pPr>
            <w:r>
              <w:rPr>
                <w:rFonts w:cs="Times New Roman"/>
              </w:rPr>
              <w:t>N/425m</w:t>
            </w:r>
          </w:p>
        </w:tc>
        <w:tc>
          <w:tcPr>
            <w:tcW w:w="836" w:type="pct"/>
            <w:tcBorders>
              <w:top w:val="single" w:color="auto" w:sz="4" w:space="0"/>
              <w:left w:val="single" w:color="auto" w:sz="4" w:space="0"/>
              <w:bottom w:val="single" w:color="auto" w:sz="4" w:space="0"/>
              <w:right w:val="single" w:color="auto" w:sz="4" w:space="0"/>
            </w:tcBorders>
            <w:vAlign w:val="center"/>
          </w:tcPr>
          <w:p w14:paraId="188412A2">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1DCB9C75">
            <w:pPr>
              <w:pStyle w:val="78"/>
              <w:rPr>
                <w:rFonts w:cs="Times New Roman"/>
              </w:rPr>
            </w:pPr>
          </w:p>
        </w:tc>
        <w:tc>
          <w:tcPr>
            <w:tcW w:w="917" w:type="pct"/>
            <w:vMerge w:val="continue"/>
            <w:tcBorders>
              <w:left w:val="single" w:color="auto" w:sz="4" w:space="0"/>
              <w:right w:val="single" w:color="auto" w:sz="4" w:space="0"/>
            </w:tcBorders>
            <w:vAlign w:val="center"/>
          </w:tcPr>
          <w:p w14:paraId="273DF28C">
            <w:pPr>
              <w:pStyle w:val="78"/>
              <w:rPr>
                <w:rFonts w:cs="Times New Roman"/>
              </w:rPr>
            </w:pPr>
          </w:p>
        </w:tc>
      </w:tr>
      <w:tr w14:paraId="4E28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11C15289">
            <w:pPr>
              <w:pStyle w:val="78"/>
              <w:rPr>
                <w:rFonts w:cs="Times New Roman"/>
              </w:rPr>
            </w:pPr>
            <w:r>
              <w:rPr>
                <w:rFonts w:cs="Times New Roman"/>
              </w:rPr>
              <w:t>U3</w:t>
            </w:r>
          </w:p>
        </w:tc>
        <w:tc>
          <w:tcPr>
            <w:tcW w:w="1085" w:type="pct"/>
            <w:tcBorders>
              <w:top w:val="single" w:color="auto" w:sz="4" w:space="0"/>
              <w:left w:val="single" w:color="auto" w:sz="4" w:space="0"/>
              <w:bottom w:val="single" w:color="auto" w:sz="4" w:space="0"/>
              <w:right w:val="single" w:color="auto" w:sz="4" w:space="0"/>
            </w:tcBorders>
            <w:vAlign w:val="center"/>
          </w:tcPr>
          <w:p w14:paraId="40880818">
            <w:pPr>
              <w:pStyle w:val="78"/>
              <w:rPr>
                <w:rFonts w:cs="Times New Roman"/>
              </w:rPr>
            </w:pPr>
            <w:r>
              <w:rPr>
                <w:rFonts w:cs="Times New Roman"/>
              </w:rPr>
              <w:t>项目场地南面</w:t>
            </w:r>
          </w:p>
        </w:tc>
        <w:tc>
          <w:tcPr>
            <w:tcW w:w="834" w:type="pct"/>
            <w:tcBorders>
              <w:top w:val="single" w:color="auto" w:sz="4" w:space="0"/>
              <w:left w:val="single" w:color="auto" w:sz="4" w:space="0"/>
              <w:bottom w:val="single" w:color="auto" w:sz="4" w:space="0"/>
              <w:right w:val="single" w:color="auto" w:sz="4" w:space="0"/>
            </w:tcBorders>
            <w:vAlign w:val="center"/>
          </w:tcPr>
          <w:p w14:paraId="3DAB4EA5">
            <w:pPr>
              <w:pStyle w:val="78"/>
              <w:rPr>
                <w:rFonts w:cs="Times New Roman"/>
              </w:rPr>
            </w:pPr>
            <w:r>
              <w:rPr>
                <w:rFonts w:cs="Times New Roman"/>
              </w:rPr>
              <w:t>S/285m</w:t>
            </w:r>
          </w:p>
        </w:tc>
        <w:tc>
          <w:tcPr>
            <w:tcW w:w="836" w:type="pct"/>
            <w:tcBorders>
              <w:top w:val="single" w:color="auto" w:sz="4" w:space="0"/>
              <w:left w:val="single" w:color="auto" w:sz="4" w:space="0"/>
              <w:bottom w:val="single" w:color="auto" w:sz="4" w:space="0"/>
              <w:right w:val="single" w:color="auto" w:sz="4" w:space="0"/>
            </w:tcBorders>
            <w:vAlign w:val="center"/>
          </w:tcPr>
          <w:p w14:paraId="6FF4E62E">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212F758A">
            <w:pPr>
              <w:pStyle w:val="78"/>
              <w:rPr>
                <w:rFonts w:cs="Times New Roman"/>
              </w:rPr>
            </w:pPr>
          </w:p>
        </w:tc>
        <w:tc>
          <w:tcPr>
            <w:tcW w:w="917" w:type="pct"/>
            <w:vMerge w:val="continue"/>
            <w:tcBorders>
              <w:left w:val="single" w:color="auto" w:sz="4" w:space="0"/>
              <w:right w:val="single" w:color="auto" w:sz="4" w:space="0"/>
            </w:tcBorders>
            <w:vAlign w:val="center"/>
          </w:tcPr>
          <w:p w14:paraId="34BCE84E">
            <w:pPr>
              <w:pStyle w:val="78"/>
              <w:rPr>
                <w:rFonts w:cs="Times New Roman"/>
              </w:rPr>
            </w:pPr>
          </w:p>
        </w:tc>
      </w:tr>
      <w:tr w14:paraId="14A8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0CBB150D">
            <w:pPr>
              <w:pStyle w:val="78"/>
              <w:rPr>
                <w:rFonts w:cs="Times New Roman"/>
              </w:rPr>
            </w:pPr>
            <w:r>
              <w:rPr>
                <w:rFonts w:cs="Times New Roman"/>
              </w:rPr>
              <w:t>U4</w:t>
            </w:r>
          </w:p>
        </w:tc>
        <w:tc>
          <w:tcPr>
            <w:tcW w:w="1085" w:type="pct"/>
            <w:tcBorders>
              <w:top w:val="single" w:color="auto" w:sz="4" w:space="0"/>
              <w:left w:val="single" w:color="auto" w:sz="4" w:space="0"/>
              <w:bottom w:val="single" w:color="auto" w:sz="4" w:space="0"/>
              <w:right w:val="single" w:color="auto" w:sz="4" w:space="0"/>
            </w:tcBorders>
            <w:vAlign w:val="center"/>
          </w:tcPr>
          <w:p w14:paraId="00235810">
            <w:pPr>
              <w:pStyle w:val="78"/>
              <w:rPr>
                <w:rFonts w:cs="Times New Roman"/>
              </w:rPr>
            </w:pPr>
            <w:r>
              <w:rPr>
                <w:rFonts w:cs="Times New Roman"/>
              </w:rPr>
              <w:t>项目厂址内</w:t>
            </w:r>
          </w:p>
        </w:tc>
        <w:tc>
          <w:tcPr>
            <w:tcW w:w="834" w:type="pct"/>
            <w:tcBorders>
              <w:top w:val="single" w:color="auto" w:sz="4" w:space="0"/>
              <w:left w:val="single" w:color="auto" w:sz="4" w:space="0"/>
              <w:bottom w:val="single" w:color="auto" w:sz="4" w:space="0"/>
              <w:right w:val="single" w:color="auto" w:sz="4" w:space="0"/>
            </w:tcBorders>
            <w:vAlign w:val="center"/>
          </w:tcPr>
          <w:p w14:paraId="66F60419">
            <w:pPr>
              <w:pStyle w:val="78"/>
              <w:rPr>
                <w:rFonts w:cs="Times New Roman"/>
              </w:rPr>
            </w:pPr>
            <w:r>
              <w:rPr>
                <w:rFonts w:cs="Times New Roman"/>
              </w:rPr>
              <w:t>/</w:t>
            </w:r>
          </w:p>
        </w:tc>
        <w:tc>
          <w:tcPr>
            <w:tcW w:w="836" w:type="pct"/>
            <w:tcBorders>
              <w:top w:val="single" w:color="auto" w:sz="4" w:space="0"/>
              <w:left w:val="single" w:color="auto" w:sz="4" w:space="0"/>
              <w:bottom w:val="single" w:color="auto" w:sz="4" w:space="0"/>
              <w:right w:val="single" w:color="auto" w:sz="4" w:space="0"/>
            </w:tcBorders>
            <w:vAlign w:val="center"/>
          </w:tcPr>
          <w:p w14:paraId="07082C52">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5F99039A">
            <w:pPr>
              <w:pStyle w:val="78"/>
              <w:rPr>
                <w:rFonts w:cs="Times New Roman"/>
              </w:rPr>
            </w:pPr>
          </w:p>
        </w:tc>
        <w:tc>
          <w:tcPr>
            <w:tcW w:w="917" w:type="pct"/>
            <w:vMerge w:val="continue"/>
            <w:tcBorders>
              <w:left w:val="single" w:color="auto" w:sz="4" w:space="0"/>
              <w:right w:val="single" w:color="auto" w:sz="4" w:space="0"/>
            </w:tcBorders>
            <w:vAlign w:val="center"/>
          </w:tcPr>
          <w:p w14:paraId="0C2C2588">
            <w:pPr>
              <w:pStyle w:val="78"/>
              <w:rPr>
                <w:rFonts w:cs="Times New Roman"/>
              </w:rPr>
            </w:pPr>
          </w:p>
        </w:tc>
      </w:tr>
      <w:tr w14:paraId="3F7F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211675EA">
            <w:pPr>
              <w:pStyle w:val="78"/>
              <w:rPr>
                <w:rFonts w:cs="Times New Roman"/>
              </w:rPr>
            </w:pPr>
            <w:r>
              <w:rPr>
                <w:rFonts w:cs="Times New Roman"/>
              </w:rPr>
              <w:t>U5</w:t>
            </w:r>
          </w:p>
        </w:tc>
        <w:tc>
          <w:tcPr>
            <w:tcW w:w="1085" w:type="pct"/>
            <w:tcBorders>
              <w:top w:val="single" w:color="auto" w:sz="4" w:space="0"/>
              <w:left w:val="single" w:color="auto" w:sz="4" w:space="0"/>
              <w:bottom w:val="single" w:color="auto" w:sz="4" w:space="0"/>
              <w:right w:val="single" w:color="auto" w:sz="4" w:space="0"/>
            </w:tcBorders>
            <w:vAlign w:val="center"/>
          </w:tcPr>
          <w:p w14:paraId="75B64422">
            <w:pPr>
              <w:pStyle w:val="78"/>
              <w:rPr>
                <w:rFonts w:cs="Times New Roman"/>
              </w:rPr>
            </w:pPr>
            <w:r>
              <w:rPr>
                <w:rFonts w:cs="Times New Roman"/>
              </w:rPr>
              <w:t>项目场地东面</w:t>
            </w:r>
          </w:p>
        </w:tc>
        <w:tc>
          <w:tcPr>
            <w:tcW w:w="834" w:type="pct"/>
            <w:tcBorders>
              <w:top w:val="single" w:color="auto" w:sz="4" w:space="0"/>
              <w:left w:val="single" w:color="auto" w:sz="4" w:space="0"/>
              <w:bottom w:val="single" w:color="auto" w:sz="4" w:space="0"/>
              <w:right w:val="single" w:color="auto" w:sz="4" w:space="0"/>
            </w:tcBorders>
            <w:vAlign w:val="center"/>
          </w:tcPr>
          <w:p w14:paraId="6C60BA0B">
            <w:pPr>
              <w:pStyle w:val="78"/>
              <w:rPr>
                <w:rFonts w:cs="Times New Roman"/>
              </w:rPr>
            </w:pPr>
            <w:r>
              <w:rPr>
                <w:rFonts w:cs="Times New Roman"/>
              </w:rPr>
              <w:t>SE/285m</w:t>
            </w:r>
          </w:p>
        </w:tc>
        <w:tc>
          <w:tcPr>
            <w:tcW w:w="836" w:type="pct"/>
            <w:tcBorders>
              <w:top w:val="single" w:color="auto" w:sz="4" w:space="0"/>
              <w:left w:val="single" w:color="auto" w:sz="4" w:space="0"/>
              <w:bottom w:val="single" w:color="auto" w:sz="4" w:space="0"/>
              <w:right w:val="single" w:color="auto" w:sz="4" w:space="0"/>
            </w:tcBorders>
            <w:vAlign w:val="center"/>
          </w:tcPr>
          <w:p w14:paraId="55CE3533">
            <w:pPr>
              <w:pStyle w:val="78"/>
              <w:rPr>
                <w:rFonts w:cs="Times New Roman"/>
              </w:rPr>
            </w:pPr>
            <w:r>
              <w:rPr>
                <w:rFonts w:cs="Times New Roman"/>
              </w:rPr>
              <w:t>水质、水位</w:t>
            </w:r>
          </w:p>
        </w:tc>
        <w:tc>
          <w:tcPr>
            <w:tcW w:w="748" w:type="pct"/>
            <w:tcBorders>
              <w:left w:val="single" w:color="auto" w:sz="4" w:space="0"/>
              <w:right w:val="single" w:color="auto" w:sz="4" w:space="0"/>
            </w:tcBorders>
            <w:vAlign w:val="center"/>
          </w:tcPr>
          <w:p w14:paraId="62DBD372">
            <w:pPr>
              <w:pStyle w:val="78"/>
              <w:rPr>
                <w:rFonts w:cs="Times New Roman"/>
              </w:rPr>
            </w:pPr>
            <w:r>
              <w:rPr>
                <w:rFonts w:cs="Times New Roman"/>
              </w:rPr>
              <w:t>2024年7月2日</w:t>
            </w:r>
          </w:p>
        </w:tc>
        <w:tc>
          <w:tcPr>
            <w:tcW w:w="917" w:type="pct"/>
            <w:vMerge w:val="continue"/>
            <w:tcBorders>
              <w:left w:val="single" w:color="auto" w:sz="4" w:space="0"/>
              <w:right w:val="single" w:color="auto" w:sz="4" w:space="0"/>
            </w:tcBorders>
            <w:vAlign w:val="center"/>
          </w:tcPr>
          <w:p w14:paraId="264BA82A">
            <w:pPr>
              <w:pStyle w:val="78"/>
              <w:rPr>
                <w:rFonts w:cs="Times New Roman"/>
              </w:rPr>
            </w:pPr>
          </w:p>
        </w:tc>
      </w:tr>
      <w:tr w14:paraId="12F5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08575EC8">
            <w:pPr>
              <w:pStyle w:val="78"/>
              <w:rPr>
                <w:rFonts w:cs="Times New Roman"/>
              </w:rPr>
            </w:pPr>
            <w:r>
              <w:rPr>
                <w:rFonts w:cs="Times New Roman"/>
              </w:rPr>
              <w:t>GW6</w:t>
            </w:r>
          </w:p>
        </w:tc>
        <w:tc>
          <w:tcPr>
            <w:tcW w:w="1085" w:type="pct"/>
            <w:tcBorders>
              <w:top w:val="single" w:color="auto" w:sz="4" w:space="0"/>
              <w:left w:val="single" w:color="auto" w:sz="4" w:space="0"/>
              <w:bottom w:val="single" w:color="auto" w:sz="4" w:space="0"/>
              <w:right w:val="single" w:color="auto" w:sz="4" w:space="0"/>
            </w:tcBorders>
            <w:vAlign w:val="center"/>
          </w:tcPr>
          <w:p w14:paraId="1ADBD355">
            <w:pPr>
              <w:pStyle w:val="78"/>
              <w:rPr>
                <w:rFonts w:cs="Times New Roman"/>
              </w:rPr>
            </w:pPr>
            <w:r>
              <w:rPr>
                <w:rFonts w:cs="Times New Roman"/>
              </w:rPr>
              <w:t>本公司西面</w:t>
            </w:r>
          </w:p>
        </w:tc>
        <w:tc>
          <w:tcPr>
            <w:tcW w:w="834" w:type="pct"/>
            <w:tcBorders>
              <w:top w:val="single" w:color="auto" w:sz="4" w:space="0"/>
              <w:left w:val="single" w:color="auto" w:sz="4" w:space="0"/>
              <w:bottom w:val="single" w:color="auto" w:sz="4" w:space="0"/>
              <w:right w:val="single" w:color="auto" w:sz="4" w:space="0"/>
            </w:tcBorders>
            <w:vAlign w:val="center"/>
          </w:tcPr>
          <w:p w14:paraId="7E4731F3">
            <w:pPr>
              <w:pStyle w:val="78"/>
              <w:rPr>
                <w:rFonts w:cs="Times New Roman"/>
              </w:rPr>
            </w:pPr>
            <w:r>
              <w:rPr>
                <w:rFonts w:cs="Times New Roman"/>
              </w:rPr>
              <w:t>W/544m</w:t>
            </w:r>
          </w:p>
        </w:tc>
        <w:tc>
          <w:tcPr>
            <w:tcW w:w="836" w:type="pct"/>
            <w:tcBorders>
              <w:top w:val="single" w:color="auto" w:sz="4" w:space="0"/>
              <w:left w:val="single" w:color="auto" w:sz="4" w:space="0"/>
              <w:bottom w:val="single" w:color="auto" w:sz="4" w:space="0"/>
              <w:right w:val="single" w:color="auto" w:sz="4" w:space="0"/>
            </w:tcBorders>
            <w:vAlign w:val="center"/>
          </w:tcPr>
          <w:p w14:paraId="0C5441D3">
            <w:pPr>
              <w:pStyle w:val="78"/>
              <w:rPr>
                <w:rFonts w:cs="Times New Roman"/>
              </w:rPr>
            </w:pPr>
            <w:r>
              <w:rPr>
                <w:rFonts w:cs="Times New Roman"/>
              </w:rPr>
              <w:t>水质、水位</w:t>
            </w:r>
          </w:p>
        </w:tc>
        <w:tc>
          <w:tcPr>
            <w:tcW w:w="748" w:type="pct"/>
            <w:vMerge w:val="restart"/>
            <w:tcBorders>
              <w:left w:val="single" w:color="auto" w:sz="4" w:space="0"/>
              <w:right w:val="single" w:color="auto" w:sz="4" w:space="0"/>
            </w:tcBorders>
            <w:vAlign w:val="center"/>
          </w:tcPr>
          <w:p w14:paraId="176DE996">
            <w:pPr>
              <w:pStyle w:val="78"/>
              <w:rPr>
                <w:rFonts w:cs="Times New Roman"/>
              </w:rPr>
            </w:pPr>
            <w:r>
              <w:rPr>
                <w:rFonts w:cs="Times New Roman"/>
              </w:rPr>
              <w:t>2023年4月24日</w:t>
            </w:r>
          </w:p>
        </w:tc>
        <w:tc>
          <w:tcPr>
            <w:tcW w:w="917" w:type="pct"/>
            <w:vMerge w:val="restart"/>
            <w:tcBorders>
              <w:left w:val="single" w:color="auto" w:sz="4" w:space="0"/>
              <w:right w:val="single" w:color="auto" w:sz="4" w:space="0"/>
            </w:tcBorders>
            <w:vAlign w:val="center"/>
          </w:tcPr>
          <w:p w14:paraId="6EA6E03A">
            <w:pPr>
              <w:pStyle w:val="78"/>
              <w:rPr>
                <w:rFonts w:cs="Times New Roman"/>
              </w:rPr>
            </w:pPr>
            <w:r>
              <w:rPr>
                <w:rFonts w:cs="Times New Roman"/>
              </w:rPr>
              <w:t>广东伊斯科碳四碳五制高端新材料项目</w:t>
            </w:r>
          </w:p>
        </w:tc>
      </w:tr>
      <w:tr w14:paraId="7A7E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5E488050">
            <w:pPr>
              <w:pStyle w:val="78"/>
              <w:rPr>
                <w:rFonts w:cs="Times New Roman"/>
              </w:rPr>
            </w:pPr>
            <w:r>
              <w:rPr>
                <w:rFonts w:cs="Times New Roman"/>
              </w:rPr>
              <w:t>GW7</w:t>
            </w:r>
          </w:p>
        </w:tc>
        <w:tc>
          <w:tcPr>
            <w:tcW w:w="1085" w:type="pct"/>
            <w:tcBorders>
              <w:top w:val="single" w:color="auto" w:sz="4" w:space="0"/>
              <w:left w:val="single" w:color="auto" w:sz="4" w:space="0"/>
              <w:bottom w:val="single" w:color="auto" w:sz="4" w:space="0"/>
              <w:right w:val="single" w:color="auto" w:sz="4" w:space="0"/>
            </w:tcBorders>
            <w:vAlign w:val="center"/>
          </w:tcPr>
          <w:p w14:paraId="1E6F6E35">
            <w:pPr>
              <w:pStyle w:val="78"/>
              <w:rPr>
                <w:rFonts w:cs="Times New Roman"/>
              </w:rPr>
            </w:pPr>
            <w:r>
              <w:rPr>
                <w:rFonts w:cs="Times New Roman"/>
              </w:rPr>
              <w:t>伊斯科项目场地</w:t>
            </w:r>
          </w:p>
        </w:tc>
        <w:tc>
          <w:tcPr>
            <w:tcW w:w="834" w:type="pct"/>
            <w:tcBorders>
              <w:top w:val="single" w:color="auto" w:sz="4" w:space="0"/>
              <w:left w:val="single" w:color="auto" w:sz="4" w:space="0"/>
              <w:bottom w:val="single" w:color="auto" w:sz="4" w:space="0"/>
              <w:right w:val="single" w:color="auto" w:sz="4" w:space="0"/>
            </w:tcBorders>
            <w:vAlign w:val="center"/>
          </w:tcPr>
          <w:p w14:paraId="33E3A55F">
            <w:pPr>
              <w:pStyle w:val="78"/>
              <w:rPr>
                <w:rFonts w:cs="Times New Roman"/>
              </w:rPr>
            </w:pPr>
            <w:r>
              <w:rPr>
                <w:rFonts w:cs="Times New Roman"/>
              </w:rPr>
              <w:t>SW/1876m</w:t>
            </w:r>
          </w:p>
        </w:tc>
        <w:tc>
          <w:tcPr>
            <w:tcW w:w="836" w:type="pct"/>
            <w:tcBorders>
              <w:top w:val="single" w:color="auto" w:sz="4" w:space="0"/>
              <w:left w:val="single" w:color="auto" w:sz="4" w:space="0"/>
              <w:bottom w:val="single" w:color="auto" w:sz="4" w:space="0"/>
              <w:right w:val="single" w:color="auto" w:sz="4" w:space="0"/>
            </w:tcBorders>
            <w:vAlign w:val="center"/>
          </w:tcPr>
          <w:p w14:paraId="3F4BF73E">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6058D52C">
            <w:pPr>
              <w:pStyle w:val="78"/>
              <w:rPr>
                <w:rFonts w:cs="Times New Roman"/>
              </w:rPr>
            </w:pPr>
          </w:p>
        </w:tc>
        <w:tc>
          <w:tcPr>
            <w:tcW w:w="917" w:type="pct"/>
            <w:vMerge w:val="continue"/>
            <w:tcBorders>
              <w:left w:val="single" w:color="auto" w:sz="4" w:space="0"/>
              <w:right w:val="single" w:color="auto" w:sz="4" w:space="0"/>
            </w:tcBorders>
            <w:vAlign w:val="center"/>
          </w:tcPr>
          <w:p w14:paraId="4AF6D60C">
            <w:pPr>
              <w:pStyle w:val="78"/>
              <w:rPr>
                <w:rFonts w:cs="Times New Roman"/>
              </w:rPr>
            </w:pPr>
          </w:p>
        </w:tc>
      </w:tr>
      <w:tr w14:paraId="451C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5B86A4D7">
            <w:pPr>
              <w:pStyle w:val="78"/>
              <w:rPr>
                <w:rFonts w:cs="Times New Roman"/>
              </w:rPr>
            </w:pPr>
            <w:r>
              <w:rPr>
                <w:rFonts w:cs="Times New Roman"/>
              </w:rPr>
              <w:t>GW8</w:t>
            </w:r>
          </w:p>
        </w:tc>
        <w:tc>
          <w:tcPr>
            <w:tcW w:w="1085" w:type="pct"/>
            <w:tcBorders>
              <w:top w:val="single" w:color="auto" w:sz="4" w:space="0"/>
              <w:left w:val="single" w:color="auto" w:sz="4" w:space="0"/>
              <w:bottom w:val="single" w:color="auto" w:sz="4" w:space="0"/>
              <w:right w:val="single" w:color="auto" w:sz="4" w:space="0"/>
            </w:tcBorders>
            <w:vAlign w:val="center"/>
          </w:tcPr>
          <w:p w14:paraId="576EAA70">
            <w:pPr>
              <w:pStyle w:val="78"/>
              <w:rPr>
                <w:rFonts w:cs="Times New Roman"/>
              </w:rPr>
            </w:pPr>
            <w:r>
              <w:rPr>
                <w:rFonts w:cs="Times New Roman"/>
              </w:rPr>
              <w:t>巨正源项目场地</w:t>
            </w:r>
          </w:p>
        </w:tc>
        <w:tc>
          <w:tcPr>
            <w:tcW w:w="834" w:type="pct"/>
            <w:tcBorders>
              <w:top w:val="single" w:color="auto" w:sz="4" w:space="0"/>
              <w:left w:val="single" w:color="auto" w:sz="4" w:space="0"/>
              <w:bottom w:val="single" w:color="auto" w:sz="4" w:space="0"/>
              <w:right w:val="single" w:color="auto" w:sz="4" w:space="0"/>
            </w:tcBorders>
            <w:vAlign w:val="center"/>
          </w:tcPr>
          <w:p w14:paraId="4B8D7ED3">
            <w:pPr>
              <w:pStyle w:val="78"/>
              <w:rPr>
                <w:rFonts w:cs="Times New Roman"/>
              </w:rPr>
            </w:pPr>
            <w:r>
              <w:rPr>
                <w:rFonts w:cs="Times New Roman"/>
              </w:rPr>
              <w:t>SW/1867m</w:t>
            </w:r>
          </w:p>
        </w:tc>
        <w:tc>
          <w:tcPr>
            <w:tcW w:w="836" w:type="pct"/>
            <w:tcBorders>
              <w:top w:val="single" w:color="auto" w:sz="4" w:space="0"/>
              <w:left w:val="single" w:color="auto" w:sz="4" w:space="0"/>
              <w:bottom w:val="single" w:color="auto" w:sz="4" w:space="0"/>
              <w:right w:val="single" w:color="auto" w:sz="4" w:space="0"/>
            </w:tcBorders>
            <w:vAlign w:val="center"/>
          </w:tcPr>
          <w:p w14:paraId="0E475353">
            <w:pPr>
              <w:pStyle w:val="78"/>
              <w:rPr>
                <w:rFonts w:cs="Times New Roman"/>
              </w:rPr>
            </w:pPr>
            <w:r>
              <w:rPr>
                <w:rFonts w:cs="Times New Roman"/>
              </w:rPr>
              <w:t>水质、水位</w:t>
            </w:r>
          </w:p>
        </w:tc>
        <w:tc>
          <w:tcPr>
            <w:tcW w:w="748" w:type="pct"/>
            <w:vMerge w:val="continue"/>
            <w:tcBorders>
              <w:left w:val="single" w:color="auto" w:sz="4" w:space="0"/>
              <w:right w:val="single" w:color="auto" w:sz="4" w:space="0"/>
            </w:tcBorders>
            <w:vAlign w:val="center"/>
          </w:tcPr>
          <w:p w14:paraId="6154557E">
            <w:pPr>
              <w:pStyle w:val="78"/>
              <w:rPr>
                <w:rFonts w:cs="Times New Roman"/>
              </w:rPr>
            </w:pPr>
          </w:p>
        </w:tc>
        <w:tc>
          <w:tcPr>
            <w:tcW w:w="917" w:type="pct"/>
            <w:vMerge w:val="continue"/>
            <w:tcBorders>
              <w:left w:val="single" w:color="auto" w:sz="4" w:space="0"/>
              <w:right w:val="single" w:color="auto" w:sz="4" w:space="0"/>
            </w:tcBorders>
            <w:vAlign w:val="center"/>
          </w:tcPr>
          <w:p w14:paraId="7B60A168">
            <w:pPr>
              <w:pStyle w:val="78"/>
              <w:rPr>
                <w:rFonts w:cs="Times New Roman"/>
              </w:rPr>
            </w:pPr>
          </w:p>
        </w:tc>
      </w:tr>
      <w:tr w14:paraId="1035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040CE64D">
            <w:pPr>
              <w:pStyle w:val="78"/>
              <w:rPr>
                <w:rFonts w:cs="Times New Roman"/>
              </w:rPr>
            </w:pPr>
            <w:r>
              <w:rPr>
                <w:rFonts w:cs="Times New Roman"/>
              </w:rPr>
              <w:t>GW9</w:t>
            </w:r>
          </w:p>
        </w:tc>
        <w:tc>
          <w:tcPr>
            <w:tcW w:w="1085" w:type="pct"/>
            <w:tcBorders>
              <w:top w:val="single" w:color="auto" w:sz="4" w:space="0"/>
              <w:left w:val="single" w:color="auto" w:sz="4" w:space="0"/>
              <w:bottom w:val="single" w:color="auto" w:sz="4" w:space="0"/>
              <w:right w:val="single" w:color="auto" w:sz="4" w:space="0"/>
            </w:tcBorders>
            <w:vAlign w:val="center"/>
          </w:tcPr>
          <w:p w14:paraId="7DEBBF62">
            <w:pPr>
              <w:pStyle w:val="78"/>
              <w:rPr>
                <w:rFonts w:cs="Times New Roman"/>
              </w:rPr>
            </w:pPr>
            <w:r>
              <w:rPr>
                <w:rFonts w:cs="Times New Roman"/>
              </w:rPr>
              <w:t>湖东上村</w:t>
            </w:r>
          </w:p>
        </w:tc>
        <w:tc>
          <w:tcPr>
            <w:tcW w:w="834" w:type="pct"/>
            <w:tcBorders>
              <w:top w:val="single" w:color="auto" w:sz="4" w:space="0"/>
              <w:left w:val="single" w:color="auto" w:sz="4" w:space="0"/>
              <w:bottom w:val="single" w:color="auto" w:sz="4" w:space="0"/>
              <w:right w:val="single" w:color="auto" w:sz="4" w:space="0"/>
            </w:tcBorders>
            <w:vAlign w:val="center"/>
          </w:tcPr>
          <w:p w14:paraId="581A0145">
            <w:pPr>
              <w:pStyle w:val="78"/>
              <w:rPr>
                <w:rFonts w:cs="Times New Roman"/>
              </w:rPr>
            </w:pPr>
            <w:r>
              <w:rPr>
                <w:rFonts w:cs="Times New Roman"/>
              </w:rPr>
              <w:t>SW/2571m</w:t>
            </w:r>
          </w:p>
        </w:tc>
        <w:tc>
          <w:tcPr>
            <w:tcW w:w="836" w:type="pct"/>
            <w:tcBorders>
              <w:top w:val="single" w:color="auto" w:sz="4" w:space="0"/>
              <w:left w:val="single" w:color="auto" w:sz="4" w:space="0"/>
              <w:bottom w:val="single" w:color="auto" w:sz="4" w:space="0"/>
              <w:right w:val="single" w:color="auto" w:sz="4" w:space="0"/>
            </w:tcBorders>
            <w:vAlign w:val="center"/>
          </w:tcPr>
          <w:p w14:paraId="78AF98D8">
            <w:pPr>
              <w:pStyle w:val="78"/>
              <w:rPr>
                <w:rFonts w:cs="Times New Roman"/>
              </w:rPr>
            </w:pPr>
            <w:r>
              <w:rPr>
                <w:rFonts w:cs="Times New Roman"/>
              </w:rPr>
              <w:t>水质、水位</w:t>
            </w:r>
          </w:p>
        </w:tc>
        <w:tc>
          <w:tcPr>
            <w:tcW w:w="748" w:type="pct"/>
            <w:vMerge w:val="restart"/>
            <w:tcBorders>
              <w:left w:val="single" w:color="auto" w:sz="4" w:space="0"/>
              <w:right w:val="single" w:color="auto" w:sz="4" w:space="0"/>
            </w:tcBorders>
            <w:vAlign w:val="center"/>
          </w:tcPr>
          <w:p w14:paraId="03877C13">
            <w:pPr>
              <w:pStyle w:val="78"/>
              <w:rPr>
                <w:rFonts w:cs="Times New Roman"/>
              </w:rPr>
            </w:pPr>
            <w:r>
              <w:rPr>
                <w:rFonts w:cs="Times New Roman"/>
              </w:rPr>
              <w:t>2024年5月11日</w:t>
            </w:r>
          </w:p>
        </w:tc>
        <w:tc>
          <w:tcPr>
            <w:tcW w:w="917" w:type="pct"/>
            <w:vMerge w:val="restart"/>
            <w:tcBorders>
              <w:left w:val="single" w:color="auto" w:sz="4" w:space="0"/>
              <w:right w:val="single" w:color="auto" w:sz="4" w:space="0"/>
            </w:tcBorders>
            <w:vAlign w:val="center"/>
          </w:tcPr>
          <w:p w14:paraId="7FAFA410">
            <w:pPr>
              <w:pStyle w:val="78"/>
              <w:rPr>
                <w:rFonts w:cs="Times New Roman"/>
              </w:rPr>
            </w:pPr>
            <w:r>
              <w:rPr>
                <w:rFonts w:cs="Times New Roman"/>
              </w:rPr>
              <w:t>巨正源（揭阳）新材料基地项目变更</w:t>
            </w:r>
          </w:p>
        </w:tc>
      </w:tr>
      <w:tr w14:paraId="600E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1" w:type="pct"/>
            <w:tcBorders>
              <w:top w:val="single" w:color="auto" w:sz="4" w:space="0"/>
              <w:left w:val="single" w:color="auto" w:sz="4" w:space="0"/>
              <w:bottom w:val="single" w:color="auto" w:sz="4" w:space="0"/>
              <w:right w:val="single" w:color="auto" w:sz="4" w:space="0"/>
            </w:tcBorders>
            <w:vAlign w:val="center"/>
          </w:tcPr>
          <w:p w14:paraId="027A5522">
            <w:pPr>
              <w:pStyle w:val="78"/>
              <w:rPr>
                <w:rFonts w:cs="Times New Roman"/>
              </w:rPr>
            </w:pPr>
            <w:r>
              <w:rPr>
                <w:rFonts w:cs="Times New Roman"/>
              </w:rPr>
              <w:t>GW10</w:t>
            </w:r>
          </w:p>
        </w:tc>
        <w:tc>
          <w:tcPr>
            <w:tcW w:w="1085" w:type="pct"/>
            <w:tcBorders>
              <w:top w:val="single" w:color="auto" w:sz="4" w:space="0"/>
              <w:left w:val="single" w:color="auto" w:sz="4" w:space="0"/>
              <w:bottom w:val="single" w:color="auto" w:sz="4" w:space="0"/>
              <w:right w:val="single" w:color="auto" w:sz="4" w:space="0"/>
            </w:tcBorders>
            <w:vAlign w:val="center"/>
          </w:tcPr>
          <w:p w14:paraId="2A209CDF">
            <w:pPr>
              <w:pStyle w:val="78"/>
              <w:rPr>
                <w:rFonts w:cs="Times New Roman"/>
              </w:rPr>
            </w:pPr>
            <w:r>
              <w:rPr>
                <w:rFonts w:cs="Times New Roman"/>
                <w:szCs w:val="21"/>
              </w:rPr>
              <w:t>巨正源厂界西北面农田</w:t>
            </w:r>
          </w:p>
        </w:tc>
        <w:tc>
          <w:tcPr>
            <w:tcW w:w="834" w:type="pct"/>
            <w:tcBorders>
              <w:top w:val="single" w:color="auto" w:sz="4" w:space="0"/>
              <w:left w:val="single" w:color="auto" w:sz="4" w:space="0"/>
              <w:bottom w:val="single" w:color="auto" w:sz="4" w:space="0"/>
              <w:right w:val="single" w:color="auto" w:sz="4" w:space="0"/>
            </w:tcBorders>
            <w:vAlign w:val="center"/>
          </w:tcPr>
          <w:p w14:paraId="402ECE3D">
            <w:pPr>
              <w:pStyle w:val="78"/>
              <w:rPr>
                <w:rFonts w:cs="Times New Roman"/>
              </w:rPr>
            </w:pPr>
            <w:r>
              <w:rPr>
                <w:rFonts w:cs="Times New Roman"/>
              </w:rPr>
              <w:t>W/2365m</w:t>
            </w:r>
          </w:p>
        </w:tc>
        <w:tc>
          <w:tcPr>
            <w:tcW w:w="836" w:type="pct"/>
            <w:tcBorders>
              <w:top w:val="single" w:color="auto" w:sz="4" w:space="0"/>
              <w:left w:val="single" w:color="auto" w:sz="4" w:space="0"/>
              <w:bottom w:val="single" w:color="auto" w:sz="4" w:space="0"/>
              <w:right w:val="single" w:color="auto" w:sz="4" w:space="0"/>
            </w:tcBorders>
            <w:vAlign w:val="center"/>
          </w:tcPr>
          <w:p w14:paraId="5EAABF9E">
            <w:pPr>
              <w:pStyle w:val="78"/>
              <w:rPr>
                <w:rFonts w:cs="Times New Roman"/>
              </w:rPr>
            </w:pPr>
            <w:r>
              <w:rPr>
                <w:rFonts w:cs="Times New Roman"/>
              </w:rPr>
              <w:t>水位</w:t>
            </w:r>
          </w:p>
        </w:tc>
        <w:tc>
          <w:tcPr>
            <w:tcW w:w="748" w:type="pct"/>
            <w:vMerge w:val="continue"/>
            <w:tcBorders>
              <w:left w:val="single" w:color="auto" w:sz="4" w:space="0"/>
              <w:right w:val="single" w:color="auto" w:sz="4" w:space="0"/>
            </w:tcBorders>
            <w:vAlign w:val="center"/>
          </w:tcPr>
          <w:p w14:paraId="5785F8D9">
            <w:pPr>
              <w:pStyle w:val="78"/>
              <w:rPr>
                <w:rFonts w:cs="Times New Roman"/>
              </w:rPr>
            </w:pPr>
          </w:p>
        </w:tc>
        <w:tc>
          <w:tcPr>
            <w:tcW w:w="917" w:type="pct"/>
            <w:vMerge w:val="continue"/>
            <w:tcBorders>
              <w:left w:val="single" w:color="auto" w:sz="4" w:space="0"/>
              <w:right w:val="single" w:color="auto" w:sz="4" w:space="0"/>
            </w:tcBorders>
            <w:vAlign w:val="center"/>
          </w:tcPr>
          <w:p w14:paraId="49A87E9D">
            <w:pPr>
              <w:pStyle w:val="78"/>
              <w:rPr>
                <w:rFonts w:cs="Times New Roman"/>
              </w:rPr>
            </w:pPr>
          </w:p>
        </w:tc>
      </w:tr>
    </w:tbl>
    <w:p w14:paraId="1A328E55">
      <w:pPr>
        <w:pStyle w:val="6"/>
      </w:pPr>
      <w:r>
        <w:t>监测项目与频次</w:t>
      </w:r>
    </w:p>
    <w:p w14:paraId="208B2274">
      <w:pPr>
        <w:pStyle w:val="3"/>
        <w:ind w:firstLine="480"/>
      </w:pPr>
      <w:r>
        <w:t>监测项目如下表，监测频率均为一期，</w:t>
      </w:r>
      <w:r>
        <w:rPr>
          <w:kern w:val="0"/>
        </w:rPr>
        <w:t>采样一期，采样一天，每天采样一次</w:t>
      </w:r>
      <w:r>
        <w:t>。。</w:t>
      </w:r>
    </w:p>
    <w:p w14:paraId="14B5923C">
      <w:pPr>
        <w:pStyle w:val="14"/>
        <w:rPr>
          <w:rFonts w:cs="Times New Roman"/>
          <w:color w:val="auto"/>
        </w:rPr>
      </w:pPr>
      <w:r>
        <w:rPr>
          <w:rFonts w:cs="Times New Roman"/>
          <w:color w:val="auto"/>
        </w:rPr>
        <w:t>表</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w:t>
      </w:r>
      <w:r>
        <w:rPr>
          <w:rFonts w:cs="Times New Roman"/>
          <w:color w:val="auto"/>
        </w:rPr>
        <w:fldChar w:fldCharType="end"/>
      </w:r>
      <w:r>
        <w:rPr>
          <w:rFonts w:cs="Times New Roman"/>
          <w:color w:val="auto"/>
        </w:rPr>
        <w:t>历史地下水监测项目</w:t>
      </w:r>
    </w:p>
    <w:tbl>
      <w:tblPr>
        <w:tblStyle w:val="41"/>
        <w:tblW w:w="512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28"/>
        <w:gridCol w:w="911"/>
        <w:gridCol w:w="7338"/>
      </w:tblGrid>
      <w:tr w14:paraId="1161AD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4" w:space="0"/>
              <w:left w:val="single" w:color="auto" w:sz="4" w:space="0"/>
              <w:bottom w:val="single" w:color="auto" w:sz="6" w:space="0"/>
              <w:right w:val="single" w:color="auto" w:sz="6" w:space="0"/>
            </w:tcBorders>
            <w:vAlign w:val="center"/>
          </w:tcPr>
          <w:p w14:paraId="14B7D653">
            <w:pPr>
              <w:pStyle w:val="78"/>
              <w:rPr>
                <w:rFonts w:cs="Times New Roman"/>
              </w:rPr>
            </w:pPr>
            <w:r>
              <w:rPr>
                <w:rFonts w:cs="Times New Roman"/>
              </w:rPr>
              <w:t>编号</w:t>
            </w:r>
          </w:p>
        </w:tc>
        <w:tc>
          <w:tcPr>
            <w:tcW w:w="502" w:type="pct"/>
            <w:tcBorders>
              <w:top w:val="single" w:color="auto" w:sz="4" w:space="0"/>
              <w:left w:val="single" w:color="auto" w:sz="6" w:space="0"/>
              <w:bottom w:val="single" w:color="auto" w:sz="6" w:space="0"/>
              <w:right w:val="single" w:color="auto" w:sz="6" w:space="0"/>
            </w:tcBorders>
            <w:vAlign w:val="center"/>
          </w:tcPr>
          <w:p w14:paraId="6BA5EF6A">
            <w:pPr>
              <w:pStyle w:val="78"/>
              <w:rPr>
                <w:rFonts w:cs="Times New Roman"/>
              </w:rPr>
            </w:pPr>
            <w:r>
              <w:rPr>
                <w:rFonts w:cs="Times New Roman"/>
              </w:rPr>
              <w:t>监测类别</w:t>
            </w:r>
          </w:p>
        </w:tc>
        <w:tc>
          <w:tcPr>
            <w:tcW w:w="4042" w:type="pct"/>
            <w:tcBorders>
              <w:top w:val="single" w:color="auto" w:sz="4" w:space="0"/>
              <w:left w:val="single" w:color="auto" w:sz="6" w:space="0"/>
              <w:bottom w:val="single" w:color="auto" w:sz="6" w:space="0"/>
              <w:right w:val="single" w:color="auto" w:sz="6" w:space="0"/>
            </w:tcBorders>
            <w:vAlign w:val="center"/>
          </w:tcPr>
          <w:p w14:paraId="57DE975D">
            <w:pPr>
              <w:pStyle w:val="78"/>
              <w:rPr>
                <w:rFonts w:cs="Times New Roman"/>
              </w:rPr>
            </w:pPr>
            <w:r>
              <w:rPr>
                <w:rFonts w:cs="Times New Roman"/>
              </w:rPr>
              <w:t>监测因子</w:t>
            </w:r>
          </w:p>
        </w:tc>
      </w:tr>
      <w:tr w14:paraId="7F2C8C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6B42D0CB">
            <w:pPr>
              <w:pStyle w:val="78"/>
              <w:rPr>
                <w:rFonts w:cs="Times New Roman"/>
              </w:rPr>
            </w:pPr>
            <w:r>
              <w:rPr>
                <w:rFonts w:cs="Times New Roman"/>
              </w:rPr>
              <w:t>U1</w:t>
            </w:r>
          </w:p>
        </w:tc>
        <w:tc>
          <w:tcPr>
            <w:tcW w:w="502" w:type="pct"/>
            <w:vMerge w:val="restart"/>
            <w:tcBorders>
              <w:top w:val="single" w:color="auto" w:sz="6" w:space="0"/>
              <w:left w:val="single" w:color="auto" w:sz="6" w:space="0"/>
              <w:right w:val="single" w:color="auto" w:sz="6" w:space="0"/>
            </w:tcBorders>
            <w:vAlign w:val="center"/>
          </w:tcPr>
          <w:p w14:paraId="7D50E9D0">
            <w:pPr>
              <w:pStyle w:val="78"/>
              <w:rPr>
                <w:rFonts w:cs="Times New Roman"/>
              </w:rPr>
            </w:pPr>
            <w:r>
              <w:rPr>
                <w:rFonts w:cs="Times New Roman"/>
              </w:rPr>
              <w:t>水质、水位</w:t>
            </w:r>
          </w:p>
        </w:tc>
        <w:tc>
          <w:tcPr>
            <w:tcW w:w="4042" w:type="pct"/>
            <w:vMerge w:val="restart"/>
            <w:tcBorders>
              <w:top w:val="single" w:color="auto" w:sz="6" w:space="0"/>
              <w:left w:val="single" w:color="auto" w:sz="6" w:space="0"/>
              <w:right w:val="single" w:color="auto" w:sz="6" w:space="0"/>
            </w:tcBorders>
            <w:vAlign w:val="center"/>
          </w:tcPr>
          <w:p w14:paraId="2426CA53">
            <w:pPr>
              <w:pStyle w:val="78"/>
              <w:rPr>
                <w:rFonts w:cs="Times New Roman"/>
              </w:rPr>
            </w:pPr>
            <w:r>
              <w:rPr>
                <w:rFonts w:cs="Times New Roman"/>
              </w:rPr>
              <w:t>K</w:t>
            </w:r>
            <w:r>
              <w:rPr>
                <w:rFonts w:cs="Times New Roman"/>
                <w:vertAlign w:val="superscript"/>
              </w:rPr>
              <w:t>+</w:t>
            </w:r>
            <w:r>
              <w:rPr>
                <w:rFonts w:cs="Times New Roman"/>
              </w:rPr>
              <w:t>、Na</w:t>
            </w:r>
            <w:r>
              <w:rPr>
                <w:rFonts w:cs="Times New Roman"/>
                <w:vertAlign w:val="superscript"/>
              </w:rPr>
              <w:t>+</w:t>
            </w:r>
            <w:r>
              <w:rPr>
                <w:rFonts w:cs="Times New Roman"/>
              </w:rPr>
              <w:t>、Ca</w:t>
            </w:r>
            <w:r>
              <w:rPr>
                <w:rFonts w:cs="Times New Roman"/>
                <w:vertAlign w:val="superscript"/>
              </w:rPr>
              <w:t>2+</w:t>
            </w:r>
            <w:r>
              <w:rPr>
                <w:rFonts w:cs="Times New Roman"/>
              </w:rPr>
              <w:t>、Mg</w:t>
            </w:r>
            <w:r>
              <w:rPr>
                <w:rFonts w:cs="Times New Roman"/>
                <w:vertAlign w:val="superscript"/>
              </w:rPr>
              <w:t>2+</w:t>
            </w:r>
            <w:r>
              <w:rPr>
                <w:rFonts w:cs="Times New Roman"/>
              </w:rPr>
              <w:t>、CO</w:t>
            </w:r>
            <w:r>
              <w:rPr>
                <w:rFonts w:cs="Times New Roman"/>
                <w:vertAlign w:val="subscript"/>
              </w:rPr>
              <w:t>3</w:t>
            </w:r>
            <w:r>
              <w:rPr>
                <w:rFonts w:cs="Times New Roman"/>
                <w:vertAlign w:val="superscript"/>
              </w:rPr>
              <w:t>2-</w:t>
            </w:r>
            <w:r>
              <w:rPr>
                <w:rFonts w:cs="Times New Roman"/>
              </w:rPr>
              <w:t>、HCO</w:t>
            </w:r>
            <w:r>
              <w:rPr>
                <w:rFonts w:cs="Times New Roman"/>
                <w:vertAlign w:val="superscript"/>
              </w:rPr>
              <w:t>3-</w:t>
            </w:r>
            <w:r>
              <w:rPr>
                <w:rFonts w:cs="Times New Roman"/>
              </w:rPr>
              <w:t>、pH、氨氮、硝酸盐、亚硝酸盐、挥发性酚类、氰化物、砷、汞、六价铬、总硬度、铅、氟化物、镉、铁、锰、镍、溶解性总固体、耗氧量、阴离子表面活性剂、硫酸盐、氯化物、总大肠菌群、菌落总数、钒、镍、硫化物、铜、锌、铝、镍、钼、钡、甲苯、二甲苯、苯乙烯，同步监测地下水水位、埋深等.</w:t>
            </w:r>
          </w:p>
        </w:tc>
      </w:tr>
      <w:tr w14:paraId="341C67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6B067809">
            <w:pPr>
              <w:pStyle w:val="78"/>
              <w:rPr>
                <w:rFonts w:cs="Times New Roman"/>
              </w:rPr>
            </w:pPr>
            <w:r>
              <w:rPr>
                <w:rFonts w:cs="Times New Roman"/>
              </w:rPr>
              <w:t>U2</w:t>
            </w:r>
          </w:p>
        </w:tc>
        <w:tc>
          <w:tcPr>
            <w:tcW w:w="502" w:type="pct"/>
            <w:vMerge w:val="continue"/>
            <w:tcBorders>
              <w:left w:val="single" w:color="auto" w:sz="6" w:space="0"/>
              <w:right w:val="single" w:color="auto" w:sz="6" w:space="0"/>
            </w:tcBorders>
            <w:vAlign w:val="center"/>
          </w:tcPr>
          <w:p w14:paraId="7237E7E1">
            <w:pPr>
              <w:pStyle w:val="78"/>
              <w:rPr>
                <w:rFonts w:cs="Times New Roman"/>
              </w:rPr>
            </w:pPr>
          </w:p>
        </w:tc>
        <w:tc>
          <w:tcPr>
            <w:tcW w:w="4042" w:type="pct"/>
            <w:vMerge w:val="continue"/>
            <w:tcBorders>
              <w:left w:val="single" w:color="auto" w:sz="6" w:space="0"/>
              <w:right w:val="single" w:color="auto" w:sz="6" w:space="0"/>
            </w:tcBorders>
            <w:vAlign w:val="center"/>
          </w:tcPr>
          <w:p w14:paraId="65C79141">
            <w:pPr>
              <w:pStyle w:val="78"/>
              <w:rPr>
                <w:rFonts w:cs="Times New Roman"/>
              </w:rPr>
            </w:pPr>
          </w:p>
        </w:tc>
      </w:tr>
      <w:tr w14:paraId="6BFFF3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40C7AAC5">
            <w:pPr>
              <w:pStyle w:val="78"/>
              <w:rPr>
                <w:rFonts w:cs="Times New Roman"/>
              </w:rPr>
            </w:pPr>
            <w:r>
              <w:rPr>
                <w:rFonts w:cs="Times New Roman"/>
              </w:rPr>
              <w:t>U3</w:t>
            </w:r>
          </w:p>
        </w:tc>
        <w:tc>
          <w:tcPr>
            <w:tcW w:w="502" w:type="pct"/>
            <w:vMerge w:val="continue"/>
            <w:tcBorders>
              <w:left w:val="single" w:color="auto" w:sz="6" w:space="0"/>
              <w:right w:val="single" w:color="auto" w:sz="6" w:space="0"/>
            </w:tcBorders>
            <w:vAlign w:val="center"/>
          </w:tcPr>
          <w:p w14:paraId="46EF2C58">
            <w:pPr>
              <w:pStyle w:val="78"/>
              <w:rPr>
                <w:rFonts w:cs="Times New Roman"/>
              </w:rPr>
            </w:pPr>
          </w:p>
        </w:tc>
        <w:tc>
          <w:tcPr>
            <w:tcW w:w="4042" w:type="pct"/>
            <w:vMerge w:val="continue"/>
            <w:tcBorders>
              <w:left w:val="single" w:color="auto" w:sz="6" w:space="0"/>
              <w:right w:val="single" w:color="auto" w:sz="6" w:space="0"/>
            </w:tcBorders>
            <w:vAlign w:val="center"/>
          </w:tcPr>
          <w:p w14:paraId="60851192">
            <w:pPr>
              <w:pStyle w:val="78"/>
              <w:rPr>
                <w:rFonts w:cs="Times New Roman"/>
              </w:rPr>
            </w:pPr>
          </w:p>
        </w:tc>
      </w:tr>
      <w:tr w14:paraId="2DBC35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552FE03C">
            <w:pPr>
              <w:pStyle w:val="78"/>
              <w:rPr>
                <w:rFonts w:cs="Times New Roman"/>
              </w:rPr>
            </w:pPr>
            <w:r>
              <w:rPr>
                <w:rFonts w:cs="Times New Roman"/>
              </w:rPr>
              <w:t>U4</w:t>
            </w:r>
          </w:p>
        </w:tc>
        <w:tc>
          <w:tcPr>
            <w:tcW w:w="502" w:type="pct"/>
            <w:vMerge w:val="continue"/>
            <w:tcBorders>
              <w:left w:val="single" w:color="auto" w:sz="6" w:space="0"/>
              <w:right w:val="single" w:color="auto" w:sz="6" w:space="0"/>
            </w:tcBorders>
            <w:vAlign w:val="center"/>
          </w:tcPr>
          <w:p w14:paraId="28BA40A1">
            <w:pPr>
              <w:pStyle w:val="78"/>
              <w:rPr>
                <w:rFonts w:cs="Times New Roman"/>
              </w:rPr>
            </w:pPr>
          </w:p>
        </w:tc>
        <w:tc>
          <w:tcPr>
            <w:tcW w:w="4042" w:type="pct"/>
            <w:vMerge w:val="continue"/>
            <w:tcBorders>
              <w:left w:val="single" w:color="auto" w:sz="6" w:space="0"/>
              <w:right w:val="single" w:color="auto" w:sz="6" w:space="0"/>
            </w:tcBorders>
            <w:vAlign w:val="center"/>
          </w:tcPr>
          <w:p w14:paraId="0C4E2A5F">
            <w:pPr>
              <w:pStyle w:val="78"/>
              <w:rPr>
                <w:rFonts w:cs="Times New Roman"/>
              </w:rPr>
            </w:pPr>
          </w:p>
        </w:tc>
      </w:tr>
      <w:tr w14:paraId="709FF9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2866421E">
            <w:pPr>
              <w:pStyle w:val="78"/>
              <w:rPr>
                <w:rFonts w:cs="Times New Roman"/>
              </w:rPr>
            </w:pPr>
            <w:r>
              <w:rPr>
                <w:rFonts w:cs="Times New Roman"/>
              </w:rPr>
              <w:t>U5</w:t>
            </w:r>
          </w:p>
        </w:tc>
        <w:tc>
          <w:tcPr>
            <w:tcW w:w="502" w:type="pct"/>
            <w:vMerge w:val="continue"/>
            <w:tcBorders>
              <w:left w:val="single" w:color="auto" w:sz="6" w:space="0"/>
              <w:bottom w:val="single" w:color="auto" w:sz="6" w:space="0"/>
              <w:right w:val="single" w:color="auto" w:sz="6" w:space="0"/>
            </w:tcBorders>
            <w:vAlign w:val="center"/>
          </w:tcPr>
          <w:p w14:paraId="7603440C">
            <w:pPr>
              <w:pStyle w:val="78"/>
              <w:rPr>
                <w:rFonts w:cs="Times New Roman"/>
              </w:rPr>
            </w:pPr>
          </w:p>
        </w:tc>
        <w:tc>
          <w:tcPr>
            <w:tcW w:w="4042" w:type="pct"/>
            <w:vMerge w:val="continue"/>
            <w:tcBorders>
              <w:left w:val="single" w:color="auto" w:sz="6" w:space="0"/>
              <w:right w:val="single" w:color="auto" w:sz="6" w:space="0"/>
            </w:tcBorders>
            <w:vAlign w:val="center"/>
          </w:tcPr>
          <w:p w14:paraId="765687AD">
            <w:pPr>
              <w:pStyle w:val="78"/>
              <w:rPr>
                <w:rFonts w:cs="Times New Roman"/>
              </w:rPr>
            </w:pPr>
          </w:p>
        </w:tc>
      </w:tr>
      <w:tr w14:paraId="4081F7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4440D95E">
            <w:pPr>
              <w:pStyle w:val="78"/>
              <w:rPr>
                <w:rFonts w:cs="Times New Roman"/>
              </w:rPr>
            </w:pPr>
            <w:r>
              <w:rPr>
                <w:rFonts w:cs="Times New Roman"/>
              </w:rPr>
              <w:t>GW6</w:t>
            </w:r>
          </w:p>
        </w:tc>
        <w:tc>
          <w:tcPr>
            <w:tcW w:w="502" w:type="pct"/>
            <w:vMerge w:val="restart"/>
            <w:tcBorders>
              <w:top w:val="single" w:color="auto" w:sz="6" w:space="0"/>
              <w:left w:val="single" w:color="auto" w:sz="6" w:space="0"/>
              <w:right w:val="single" w:color="auto" w:sz="6" w:space="0"/>
            </w:tcBorders>
            <w:vAlign w:val="center"/>
          </w:tcPr>
          <w:p w14:paraId="06DFB568">
            <w:pPr>
              <w:pStyle w:val="78"/>
              <w:rPr>
                <w:rFonts w:cs="Times New Roman"/>
              </w:rPr>
            </w:pPr>
            <w:r>
              <w:rPr>
                <w:rFonts w:cs="Times New Roman"/>
              </w:rPr>
              <w:t>水质、水位</w:t>
            </w:r>
          </w:p>
        </w:tc>
        <w:tc>
          <w:tcPr>
            <w:tcW w:w="4042" w:type="pct"/>
            <w:vMerge w:val="restart"/>
            <w:tcBorders>
              <w:left w:val="single" w:color="auto" w:sz="6" w:space="0"/>
              <w:right w:val="single" w:color="auto" w:sz="6" w:space="0"/>
            </w:tcBorders>
            <w:vAlign w:val="center"/>
          </w:tcPr>
          <w:p w14:paraId="4F3F0A7B">
            <w:pPr>
              <w:pStyle w:val="78"/>
              <w:rPr>
                <w:rFonts w:cs="Times New Roman"/>
              </w:rPr>
            </w:pPr>
            <w:r>
              <w:rPr>
                <w:rFonts w:cs="Times New Roman"/>
              </w:rPr>
              <w:t>pH值、总硬度、溶解性总固体、耗氧量、氨氮、挥发酚、石油类、氯化物、氰化物、氟化物、硫酸盐、硝酸盐氮、亚硝酸盐氮、碳酸根、重碳酸根、总大肠菌群、细菌总数、六价铬、汞、砷、铁、锰、铅、镉、镍、钼、钾、钙、钠、镁、苯、甲苯、间,对-二甲苯，邻-二甲苯和苯乙烯共35项，同步监测地下水水位、埋深等。</w:t>
            </w:r>
          </w:p>
        </w:tc>
      </w:tr>
      <w:tr w14:paraId="1A4FB4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54F7925D">
            <w:pPr>
              <w:pStyle w:val="78"/>
              <w:rPr>
                <w:rFonts w:cs="Times New Roman"/>
              </w:rPr>
            </w:pPr>
            <w:r>
              <w:rPr>
                <w:rFonts w:cs="Times New Roman"/>
              </w:rPr>
              <w:t>GW7</w:t>
            </w:r>
          </w:p>
        </w:tc>
        <w:tc>
          <w:tcPr>
            <w:tcW w:w="502" w:type="pct"/>
            <w:vMerge w:val="continue"/>
            <w:tcBorders>
              <w:left w:val="single" w:color="auto" w:sz="6" w:space="0"/>
              <w:right w:val="single" w:color="auto" w:sz="6" w:space="0"/>
            </w:tcBorders>
            <w:vAlign w:val="center"/>
          </w:tcPr>
          <w:p w14:paraId="38B6EF80">
            <w:pPr>
              <w:pStyle w:val="78"/>
              <w:rPr>
                <w:rFonts w:cs="Times New Roman"/>
              </w:rPr>
            </w:pPr>
          </w:p>
        </w:tc>
        <w:tc>
          <w:tcPr>
            <w:tcW w:w="4042" w:type="pct"/>
            <w:vMerge w:val="continue"/>
            <w:tcBorders>
              <w:left w:val="single" w:color="auto" w:sz="6" w:space="0"/>
              <w:right w:val="single" w:color="auto" w:sz="6" w:space="0"/>
            </w:tcBorders>
            <w:vAlign w:val="center"/>
          </w:tcPr>
          <w:p w14:paraId="5D0EC2B0">
            <w:pPr>
              <w:pStyle w:val="78"/>
              <w:rPr>
                <w:rFonts w:cs="Times New Roman"/>
              </w:rPr>
            </w:pPr>
          </w:p>
        </w:tc>
      </w:tr>
      <w:tr w14:paraId="0DE9CC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7ED8E927">
            <w:pPr>
              <w:pStyle w:val="78"/>
              <w:rPr>
                <w:rFonts w:cs="Times New Roman"/>
              </w:rPr>
            </w:pPr>
            <w:r>
              <w:rPr>
                <w:rFonts w:cs="Times New Roman"/>
              </w:rPr>
              <w:t>GW8</w:t>
            </w:r>
          </w:p>
        </w:tc>
        <w:tc>
          <w:tcPr>
            <w:tcW w:w="502" w:type="pct"/>
            <w:vMerge w:val="continue"/>
            <w:tcBorders>
              <w:left w:val="single" w:color="auto" w:sz="6" w:space="0"/>
              <w:bottom w:val="single" w:color="auto" w:sz="6" w:space="0"/>
              <w:right w:val="single" w:color="auto" w:sz="6" w:space="0"/>
            </w:tcBorders>
            <w:vAlign w:val="center"/>
          </w:tcPr>
          <w:p w14:paraId="62756996">
            <w:pPr>
              <w:pStyle w:val="78"/>
              <w:rPr>
                <w:rFonts w:cs="Times New Roman"/>
              </w:rPr>
            </w:pPr>
          </w:p>
        </w:tc>
        <w:tc>
          <w:tcPr>
            <w:tcW w:w="4042" w:type="pct"/>
            <w:vMerge w:val="continue"/>
            <w:tcBorders>
              <w:left w:val="single" w:color="auto" w:sz="6" w:space="0"/>
              <w:right w:val="single" w:color="auto" w:sz="6" w:space="0"/>
            </w:tcBorders>
            <w:vAlign w:val="center"/>
          </w:tcPr>
          <w:p w14:paraId="4D609966">
            <w:pPr>
              <w:pStyle w:val="78"/>
              <w:rPr>
                <w:rFonts w:cs="Times New Roman"/>
              </w:rPr>
            </w:pPr>
          </w:p>
        </w:tc>
      </w:tr>
      <w:tr w14:paraId="708490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6" w:space="0"/>
              <w:right w:val="single" w:color="auto" w:sz="6" w:space="0"/>
            </w:tcBorders>
            <w:vAlign w:val="center"/>
          </w:tcPr>
          <w:p w14:paraId="5D4B9AD1">
            <w:pPr>
              <w:pStyle w:val="78"/>
              <w:rPr>
                <w:rFonts w:cs="Times New Roman"/>
              </w:rPr>
            </w:pPr>
            <w:r>
              <w:rPr>
                <w:rFonts w:cs="Times New Roman"/>
              </w:rPr>
              <w:t>GW9</w:t>
            </w:r>
          </w:p>
        </w:tc>
        <w:tc>
          <w:tcPr>
            <w:tcW w:w="502" w:type="pct"/>
            <w:tcBorders>
              <w:top w:val="single" w:color="auto" w:sz="6" w:space="0"/>
              <w:left w:val="single" w:color="auto" w:sz="6" w:space="0"/>
              <w:bottom w:val="single" w:color="auto" w:sz="6" w:space="0"/>
              <w:right w:val="single" w:color="auto" w:sz="6" w:space="0"/>
            </w:tcBorders>
            <w:vAlign w:val="center"/>
          </w:tcPr>
          <w:p w14:paraId="387F190C">
            <w:pPr>
              <w:pStyle w:val="78"/>
              <w:rPr>
                <w:rFonts w:cs="Times New Roman"/>
              </w:rPr>
            </w:pPr>
            <w:r>
              <w:rPr>
                <w:rFonts w:cs="Times New Roman"/>
              </w:rPr>
              <w:t>水质、水位</w:t>
            </w:r>
          </w:p>
        </w:tc>
        <w:tc>
          <w:tcPr>
            <w:tcW w:w="4042" w:type="pct"/>
            <w:tcBorders>
              <w:left w:val="single" w:color="auto" w:sz="6" w:space="0"/>
              <w:right w:val="single" w:color="auto" w:sz="6" w:space="0"/>
            </w:tcBorders>
            <w:vAlign w:val="center"/>
          </w:tcPr>
          <w:p w14:paraId="7EF0A205">
            <w:pPr>
              <w:pStyle w:val="78"/>
              <w:rPr>
                <w:rFonts w:cs="Times New Roman"/>
              </w:rPr>
            </w:pPr>
            <w:r>
              <w:rPr>
                <w:rFonts w:cs="Times New Roman"/>
              </w:rPr>
              <w:t>pH、氨氮、硝酸盐（以N计）、亚硝酸盐（以N计）、挥发性酚类（以苯酚计）、氰化物、砷、汞、六价铬（Cr</w:t>
            </w:r>
            <w:r>
              <w:rPr>
                <w:rFonts w:cs="Times New Roman"/>
                <w:vertAlign w:val="superscript"/>
              </w:rPr>
              <w:t>6+</w:t>
            </w:r>
            <w:r>
              <w:rPr>
                <w:rFonts w:cs="Times New Roman"/>
              </w:rPr>
              <w:t>）、总硬度（以CaCO</w:t>
            </w:r>
            <w:r>
              <w:rPr>
                <w:rFonts w:cs="Times New Roman"/>
                <w:vertAlign w:val="subscript"/>
              </w:rPr>
              <w:t>3</w:t>
            </w:r>
            <w:r>
              <w:rPr>
                <w:rFonts w:cs="Times New Roman"/>
              </w:rPr>
              <w:t>计）、铅、氟化物、铜、镉、铁、锰、溶解性总固体、耗氧量（COD</w:t>
            </w:r>
            <w:r>
              <w:rPr>
                <w:rFonts w:cs="Times New Roman"/>
                <w:vertAlign w:val="subscript"/>
              </w:rPr>
              <w:t>Mn</w:t>
            </w:r>
            <w:r>
              <w:rPr>
                <w:rFonts w:cs="Times New Roman"/>
              </w:rPr>
              <w:t>法，以O</w:t>
            </w:r>
            <w:r>
              <w:rPr>
                <w:rFonts w:cs="Times New Roman"/>
                <w:vertAlign w:val="subscript"/>
              </w:rPr>
              <w:t>2</w:t>
            </w:r>
            <w:r>
              <w:rPr>
                <w:rFonts w:cs="Times New Roman"/>
              </w:rPr>
              <w:t>计）、总大肠菌群、菌落总数、阴离子表面活性剂、硫化物、苯、甲苯、二甲苯、镍、色（铂钴色度单位）、嗅和味、浑浊度、肉眼可见物、K</w:t>
            </w:r>
            <w:r>
              <w:rPr>
                <w:rFonts w:cs="Times New Roman"/>
                <w:vertAlign w:val="superscript"/>
              </w:rPr>
              <w:t>+</w:t>
            </w:r>
            <w:r>
              <w:rPr>
                <w:rFonts w:cs="Times New Roman"/>
              </w:rPr>
              <w:t>、Na</w:t>
            </w:r>
            <w:r>
              <w:rPr>
                <w:rFonts w:cs="Times New Roman"/>
                <w:vertAlign w:val="superscript"/>
              </w:rPr>
              <w:t>+</w:t>
            </w:r>
            <w:r>
              <w:rPr>
                <w:rFonts w:cs="Times New Roman"/>
              </w:rPr>
              <w:t>、Ca</w:t>
            </w:r>
            <w:r>
              <w:rPr>
                <w:rFonts w:cs="Times New Roman"/>
                <w:vertAlign w:val="superscript"/>
              </w:rPr>
              <w:t>2+</w:t>
            </w:r>
            <w:r>
              <w:rPr>
                <w:rFonts w:cs="Times New Roman"/>
              </w:rPr>
              <w:t>、Mg</w:t>
            </w:r>
            <w:r>
              <w:rPr>
                <w:rFonts w:cs="Times New Roman"/>
                <w:vertAlign w:val="superscript"/>
              </w:rPr>
              <w:t>2+</w:t>
            </w:r>
            <w:r>
              <w:rPr>
                <w:rFonts w:cs="Times New Roman"/>
              </w:rPr>
              <w:t>、CO</w:t>
            </w:r>
            <w:r>
              <w:rPr>
                <w:rFonts w:cs="Times New Roman"/>
                <w:vertAlign w:val="subscript"/>
              </w:rPr>
              <w:t>3</w:t>
            </w:r>
            <w:r>
              <w:rPr>
                <w:rFonts w:cs="Times New Roman"/>
                <w:vertAlign w:val="superscript"/>
              </w:rPr>
              <w:t>2-</w:t>
            </w:r>
            <w:r>
              <w:rPr>
                <w:rFonts w:cs="Times New Roman"/>
              </w:rPr>
              <w:t>、HCO</w:t>
            </w:r>
            <w:r>
              <w:rPr>
                <w:rFonts w:cs="Times New Roman"/>
                <w:vertAlign w:val="superscript"/>
              </w:rPr>
              <w:t>3-</w:t>
            </w:r>
            <w:r>
              <w:rPr>
                <w:rFonts w:cs="Times New Roman"/>
              </w:rPr>
              <w:t>、Cl</w:t>
            </w:r>
            <w:r>
              <w:rPr>
                <w:rFonts w:cs="Times New Roman"/>
                <w:vertAlign w:val="superscript"/>
              </w:rPr>
              <w:t>-</w:t>
            </w:r>
            <w:r>
              <w:rPr>
                <w:rFonts w:cs="Times New Roman"/>
              </w:rPr>
              <w:t>、SO</w:t>
            </w:r>
            <w:r>
              <w:rPr>
                <w:rFonts w:cs="Times New Roman"/>
                <w:vertAlign w:val="subscript"/>
              </w:rPr>
              <w:t>4</w:t>
            </w:r>
            <w:r>
              <w:rPr>
                <w:rFonts w:cs="Times New Roman"/>
                <w:vertAlign w:val="superscript"/>
              </w:rPr>
              <w:t>2</w:t>
            </w:r>
            <w:r>
              <w:rPr>
                <w:rFonts w:cs="Times New Roman"/>
              </w:rPr>
              <w:t>-共38项，同步监测地下水位、埋深等。</w:t>
            </w:r>
          </w:p>
        </w:tc>
      </w:tr>
      <w:tr w14:paraId="4A03F0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56" w:type="pct"/>
            <w:tcBorders>
              <w:top w:val="single" w:color="auto" w:sz="6" w:space="0"/>
              <w:left w:val="single" w:color="auto" w:sz="4" w:space="0"/>
              <w:bottom w:val="single" w:color="auto" w:sz="4" w:space="0"/>
              <w:right w:val="single" w:color="auto" w:sz="6" w:space="0"/>
            </w:tcBorders>
            <w:vAlign w:val="center"/>
          </w:tcPr>
          <w:p w14:paraId="28AE33CE">
            <w:pPr>
              <w:pStyle w:val="78"/>
              <w:rPr>
                <w:rFonts w:cs="Times New Roman"/>
              </w:rPr>
            </w:pPr>
            <w:r>
              <w:rPr>
                <w:rFonts w:cs="Times New Roman"/>
              </w:rPr>
              <w:t>GW10</w:t>
            </w:r>
          </w:p>
        </w:tc>
        <w:tc>
          <w:tcPr>
            <w:tcW w:w="502" w:type="pct"/>
            <w:tcBorders>
              <w:top w:val="single" w:color="auto" w:sz="6" w:space="0"/>
              <w:left w:val="single" w:color="auto" w:sz="6" w:space="0"/>
              <w:bottom w:val="single" w:color="auto" w:sz="4" w:space="0"/>
              <w:right w:val="single" w:color="auto" w:sz="6" w:space="0"/>
            </w:tcBorders>
            <w:vAlign w:val="center"/>
          </w:tcPr>
          <w:p w14:paraId="3E063749">
            <w:pPr>
              <w:pStyle w:val="78"/>
              <w:rPr>
                <w:rFonts w:cs="Times New Roman"/>
              </w:rPr>
            </w:pPr>
            <w:r>
              <w:rPr>
                <w:rFonts w:cs="Times New Roman"/>
              </w:rPr>
              <w:t>水位</w:t>
            </w:r>
          </w:p>
        </w:tc>
        <w:tc>
          <w:tcPr>
            <w:tcW w:w="4042" w:type="pct"/>
            <w:tcBorders>
              <w:left w:val="single" w:color="auto" w:sz="6" w:space="0"/>
              <w:bottom w:val="single" w:color="auto" w:sz="4" w:space="0"/>
              <w:right w:val="single" w:color="auto" w:sz="6" w:space="0"/>
            </w:tcBorders>
            <w:vAlign w:val="center"/>
          </w:tcPr>
          <w:p w14:paraId="0F83B002">
            <w:pPr>
              <w:pStyle w:val="78"/>
              <w:rPr>
                <w:rFonts w:cs="Times New Roman"/>
              </w:rPr>
            </w:pPr>
            <w:r>
              <w:rPr>
                <w:rFonts w:cs="Times New Roman"/>
              </w:rPr>
              <w:t>地下水位、埋深等。</w:t>
            </w:r>
          </w:p>
        </w:tc>
      </w:tr>
    </w:tbl>
    <w:p w14:paraId="143F8B46">
      <w:pPr>
        <w:pStyle w:val="3"/>
        <w:ind w:firstLine="480"/>
      </w:pPr>
    </w:p>
    <w:p w14:paraId="64CEAC9B">
      <w:pPr>
        <w:pStyle w:val="3"/>
        <w:ind w:firstLine="480"/>
      </w:pPr>
    </w:p>
    <w:p w14:paraId="67C0AEA4">
      <w:pPr>
        <w:ind w:firstLine="480"/>
        <w:rPr>
          <w:rFonts w:ascii="Times New Roman" w:hAnsi="Times New Roman" w:cs="Times New Roman"/>
        </w:rPr>
      </w:pPr>
    </w:p>
    <w:p w14:paraId="65F8BED7">
      <w:pPr>
        <w:ind w:firstLine="480"/>
        <w:rPr>
          <w:rFonts w:ascii="Times New Roman" w:hAnsi="Times New Roman" w:cs="Times New Roman"/>
        </w:rPr>
      </w:pPr>
    </w:p>
    <w:p w14:paraId="12BE2236">
      <w:pPr>
        <w:ind w:firstLine="480"/>
        <w:rPr>
          <w:rFonts w:ascii="Times New Roman" w:hAnsi="Times New Roman" w:cs="Times New Roman"/>
        </w:rPr>
        <w:sectPr>
          <w:pgSz w:w="12240" w:h="15840"/>
          <w:pgMar w:top="1440" w:right="1800" w:bottom="1440" w:left="1800" w:header="720" w:footer="720" w:gutter="0"/>
          <w:cols w:space="720" w:num="1"/>
        </w:sectPr>
      </w:pPr>
    </w:p>
    <w:p w14:paraId="23333EDF">
      <w:pPr>
        <w:jc w:val="center"/>
        <w:rPr>
          <w:rFonts w:ascii="Times New Roman" w:hAnsi="Times New Roman" w:cs="Times New Roman"/>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6936105</wp:posOffset>
            </wp:positionH>
            <wp:positionV relativeFrom="paragraph">
              <wp:posOffset>15240</wp:posOffset>
            </wp:positionV>
            <wp:extent cx="1068705" cy="1076325"/>
            <wp:effectExtent l="0" t="0" r="0" b="0"/>
            <wp:wrapNone/>
            <wp:docPr id="29" name="图片 29" descr="C:\Users\ADMINI~1\AppData\Local\Temp\ksohtml15940\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ksohtml15940\wps14.png"/>
                    <pic:cNvPicPr>
                      <a:picLocks noChangeAspect="1" noChangeArrowheads="1"/>
                    </pic:cNvPicPr>
                  </pic:nvPicPr>
                  <pic:blipFill>
                    <a:blip r:embed="rId26"/>
                    <a:srcRect/>
                    <a:stretch>
                      <a:fillRect/>
                    </a:stretch>
                  </pic:blipFill>
                  <pic:spPr>
                    <a:xfrm>
                      <a:off x="0" y="0"/>
                      <a:ext cx="1068914" cy="1076325"/>
                    </a:xfrm>
                    <a:prstGeom prst="rect">
                      <a:avLst/>
                    </a:prstGeom>
                    <a:noFill/>
                    <a:ln>
                      <a:noFill/>
                    </a:ln>
                  </pic:spPr>
                </pic:pic>
              </a:graphicData>
            </a:graphic>
          </wp:anchor>
        </w:drawing>
      </w:r>
      <w:r>
        <w:rPr>
          <w:rFonts w:ascii="Times New Roman" w:hAnsi="Times New Roman" w:cs="Times New Roman"/>
        </w:rPr>
        <w:drawing>
          <wp:inline distT="0" distB="0" distL="0" distR="0">
            <wp:extent cx="7128510" cy="5039995"/>
            <wp:effectExtent l="19050" t="19050" r="15240" b="27305"/>
            <wp:docPr id="48300848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08481" name="图片 152"/>
                    <pic:cNvPicPr>
                      <a:picLocks noChangeAspect="1" noChangeArrowheads="1"/>
                    </pic:cNvPicPr>
                  </pic:nvPicPr>
                  <pic:blipFill>
                    <a:blip r:embed="rId27"/>
                    <a:srcRect/>
                    <a:stretch>
                      <a:fillRect/>
                    </a:stretch>
                  </pic:blipFill>
                  <pic:spPr>
                    <a:xfrm>
                      <a:off x="0" y="0"/>
                      <a:ext cx="7128542" cy="5040000"/>
                    </a:xfrm>
                    <a:prstGeom prst="rect">
                      <a:avLst/>
                    </a:prstGeom>
                    <a:noFill/>
                    <a:ln>
                      <a:solidFill>
                        <a:schemeClr val="tx1"/>
                      </a:solidFill>
                    </a:ln>
                  </pic:spPr>
                </pic:pic>
              </a:graphicData>
            </a:graphic>
          </wp:inline>
        </w:drawing>
      </w:r>
    </w:p>
    <w:p w14:paraId="7FFFAEE6">
      <w:pPr>
        <w:pStyle w:val="14"/>
        <w:rPr>
          <w:rFonts w:cs="Times New Roman"/>
          <w:color w:val="auto"/>
        </w:rPr>
        <w:sectPr>
          <w:pgSz w:w="16838" w:h="11906" w:orient="landscape"/>
          <w:pgMar w:top="1701" w:right="1418" w:bottom="1701" w:left="1418" w:header="851" w:footer="992" w:gutter="0"/>
          <w:cols w:space="425" w:num="1"/>
          <w:docGrid w:linePitch="326" w:charSpace="0"/>
        </w:sectPr>
      </w:pPr>
      <w:bookmarkStart w:id="44" w:name="_Ref142485469"/>
      <w:bookmarkEnd w:id="44"/>
      <w:bookmarkStart w:id="45" w:name="_Ref145680860"/>
      <w:bookmarkStart w:id="46" w:name="_Ref145680853"/>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1</w:t>
      </w:r>
      <w:r>
        <w:rPr>
          <w:rFonts w:cs="Times New Roman"/>
          <w:color w:val="auto"/>
        </w:rPr>
        <w:fldChar w:fldCharType="end"/>
      </w:r>
      <w:bookmarkEnd w:id="45"/>
      <w:r>
        <w:rPr>
          <w:rFonts w:cs="Times New Roman"/>
          <w:color w:val="auto"/>
        </w:rPr>
        <w:t xml:space="preserve">  地下水监测点位</w:t>
      </w:r>
      <w:bookmarkEnd w:id="46"/>
    </w:p>
    <w:p w14:paraId="0EE5AF1C">
      <w:pPr>
        <w:pStyle w:val="6"/>
      </w:pPr>
      <w:r>
        <w:t>评价标准及评价方法</w:t>
      </w:r>
    </w:p>
    <w:p w14:paraId="1C7B7AE6">
      <w:pPr>
        <w:pStyle w:val="3"/>
        <w:ind w:firstLine="482"/>
        <w:rPr>
          <w:b/>
          <w:bCs/>
        </w:rPr>
      </w:pPr>
      <w:r>
        <w:rPr>
          <w:b/>
          <w:bCs/>
        </w:rPr>
        <w:t>1、评价标准</w:t>
      </w:r>
    </w:p>
    <w:p w14:paraId="48268619">
      <w:pPr>
        <w:pStyle w:val="3"/>
        <w:ind w:firstLine="480"/>
      </w:pPr>
      <w:r>
        <w:t>东粤化学所在区域地下水水质目标为Ⅲ类，执行《地下水质量标准》（GB/T 14848-2017）中Ⅲ类水质标准。</w:t>
      </w:r>
    </w:p>
    <w:p w14:paraId="08F33DEF">
      <w:pPr>
        <w:pStyle w:val="3"/>
        <w:ind w:firstLine="482"/>
        <w:rPr>
          <w:b/>
          <w:bCs/>
          <w:szCs w:val="24"/>
        </w:rPr>
      </w:pPr>
      <w:r>
        <w:rPr>
          <w:b/>
          <w:bCs/>
        </w:rPr>
        <w:t>2、评价方法</w:t>
      </w:r>
    </w:p>
    <w:p w14:paraId="769BACEC">
      <w:pPr>
        <w:pStyle w:val="235"/>
        <w:ind w:firstLine="422" w:firstLineChars="176"/>
        <w:rPr>
          <w:rFonts w:ascii="Times New Roman" w:hAnsi="Times New Roman" w:cs="Times New Roman"/>
        </w:rPr>
      </w:pPr>
      <w:r>
        <w:rPr>
          <w:rFonts w:ascii="Times New Roman" w:hAnsi="Times New Roman" w:cs="Times New Roman"/>
        </w:rPr>
        <w:t>采用《环境影响评价技术导则 地下水环境》(HJ610-2016)要求的标准指数法进行评价。采用标准指数法进行评价，标准指数＞1，表明该水质因子已超过了规定的水质标准，指数值越大，超标越严重。标准指数计算公式为以下两种情况：</w:t>
      </w:r>
    </w:p>
    <w:p w14:paraId="4D45D54A">
      <w:pPr>
        <w:pStyle w:val="3"/>
        <w:ind w:firstLine="480"/>
      </w:pPr>
      <w:r>
        <w:t>（1）对于评价标准为定值的水质因子，其标准指数计算公式如下：</w:t>
      </w:r>
    </w:p>
    <w:p w14:paraId="0B1465F5">
      <w:pPr>
        <w:pStyle w:val="235"/>
        <w:ind w:firstLine="0" w:firstLineChars="0"/>
        <w:jc w:val="center"/>
        <w:rPr>
          <w:rFonts w:ascii="Times New Roman" w:hAnsi="Times New Roman" w:cs="Times New Roman"/>
        </w:rPr>
      </w:pPr>
      <w:r>
        <w:rPr>
          <w:rFonts w:ascii="Times New Roman" w:hAnsi="Times New Roman" w:cs="Times New Roman"/>
          <w:position w:val="-30"/>
        </w:rPr>
        <w:drawing>
          <wp:inline distT="0" distB="0" distL="0" distR="0">
            <wp:extent cx="542925" cy="4476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cstate="screen"/>
                    <a:srcRect/>
                    <a:stretch>
                      <a:fillRect/>
                    </a:stretch>
                  </pic:blipFill>
                  <pic:spPr>
                    <a:xfrm>
                      <a:off x="0" y="0"/>
                      <a:ext cx="542925" cy="447675"/>
                    </a:xfrm>
                    <a:prstGeom prst="rect">
                      <a:avLst/>
                    </a:prstGeom>
                    <a:noFill/>
                    <a:ln>
                      <a:noFill/>
                    </a:ln>
                  </pic:spPr>
                </pic:pic>
              </a:graphicData>
            </a:graphic>
          </wp:inline>
        </w:drawing>
      </w:r>
    </w:p>
    <w:p w14:paraId="289814F6">
      <w:pPr>
        <w:pStyle w:val="235"/>
        <w:ind w:firstLine="424" w:firstLineChars="177"/>
        <w:rPr>
          <w:rFonts w:ascii="Times New Roman" w:hAnsi="Times New Roman" w:cs="Times New Roman"/>
        </w:rPr>
      </w:pPr>
      <w:r>
        <w:rPr>
          <w:rFonts w:ascii="Times New Roman" w:hAnsi="Times New Roman" w:cs="Times New Roman"/>
        </w:rPr>
        <w:t>式中：</w:t>
      </w:r>
    </w:p>
    <w:p w14:paraId="6D68FA9B">
      <w:pPr>
        <w:pStyle w:val="235"/>
        <w:ind w:firstLine="424" w:firstLineChars="177"/>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i</w:t>
      </w:r>
      <w:r>
        <w:rPr>
          <w:rFonts w:ascii="Times New Roman" w:hAnsi="Times New Roman" w:cs="Times New Roman"/>
        </w:rPr>
        <w:t>——第i个水质因子的标准指数，无量纲；</w:t>
      </w:r>
    </w:p>
    <w:p w14:paraId="6F62F2F5">
      <w:pPr>
        <w:pStyle w:val="235"/>
        <w:ind w:firstLine="424" w:firstLineChars="177"/>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——第i个水质因子的监测浓度值，mg/L；</w:t>
      </w:r>
    </w:p>
    <w:p w14:paraId="420F9B83">
      <w:pPr>
        <w:pStyle w:val="235"/>
        <w:ind w:firstLine="424" w:firstLineChars="177"/>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Si</w:t>
      </w:r>
      <w:r>
        <w:rPr>
          <w:rFonts w:ascii="Times New Roman" w:hAnsi="Times New Roman" w:cs="Times New Roman"/>
        </w:rPr>
        <w:t>——第i个水质因子的标准浓度值，mg/L；</w:t>
      </w:r>
    </w:p>
    <w:p w14:paraId="6BCDC9D4">
      <w:pPr>
        <w:pStyle w:val="235"/>
        <w:ind w:firstLine="283" w:firstLineChars="118"/>
        <w:rPr>
          <w:rFonts w:ascii="Times New Roman" w:hAnsi="Times New Roman" w:cs="Times New Roman"/>
        </w:rPr>
      </w:pPr>
      <w:r>
        <w:rPr>
          <w:rFonts w:ascii="Times New Roman" w:hAnsi="Times New Roman" w:cs="Times New Roman"/>
        </w:rPr>
        <w:t>（2）对于评价标准为区间值的水质因子（如pH值），其标准指数计算公式如下：</w:t>
      </w:r>
    </w:p>
    <w:p w14:paraId="50C4B0AB">
      <w:pPr>
        <w:pStyle w:val="3"/>
        <w:ind w:firstLine="480"/>
        <w:jc w:val="center"/>
      </w:pPr>
      <w:r>
        <w:rPr>
          <w:position w:val="-30"/>
        </w:rPr>
        <w:drawing>
          <wp:inline distT="0" distB="0" distL="0" distR="0">
            <wp:extent cx="1238250" cy="457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cstate="screen"/>
                    <a:srcRect/>
                    <a:stretch>
                      <a:fillRect/>
                    </a:stretch>
                  </pic:blipFill>
                  <pic:spPr>
                    <a:xfrm>
                      <a:off x="0" y="0"/>
                      <a:ext cx="1238250" cy="457200"/>
                    </a:xfrm>
                    <a:prstGeom prst="rect">
                      <a:avLst/>
                    </a:prstGeom>
                    <a:noFill/>
                    <a:ln>
                      <a:noFill/>
                    </a:ln>
                  </pic:spPr>
                </pic:pic>
              </a:graphicData>
            </a:graphic>
          </wp:inline>
        </w:drawing>
      </w:r>
      <w:r>
        <w:t>，当pH≤7.0</w:t>
      </w:r>
    </w:p>
    <w:p w14:paraId="24BA6444">
      <w:pPr>
        <w:pStyle w:val="3"/>
        <w:ind w:firstLine="480"/>
        <w:jc w:val="center"/>
      </w:pPr>
      <w:r>
        <w:rPr>
          <w:position w:val="-30"/>
        </w:rPr>
        <w:drawing>
          <wp:inline distT="0" distB="0" distL="0" distR="0">
            <wp:extent cx="1238250" cy="457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cstate="screen"/>
                    <a:srcRect/>
                    <a:stretch>
                      <a:fillRect/>
                    </a:stretch>
                  </pic:blipFill>
                  <pic:spPr>
                    <a:xfrm>
                      <a:off x="0" y="0"/>
                      <a:ext cx="1238250" cy="457200"/>
                    </a:xfrm>
                    <a:prstGeom prst="rect">
                      <a:avLst/>
                    </a:prstGeom>
                    <a:noFill/>
                    <a:ln>
                      <a:noFill/>
                    </a:ln>
                  </pic:spPr>
                </pic:pic>
              </a:graphicData>
            </a:graphic>
          </wp:inline>
        </w:drawing>
      </w:r>
      <w:r>
        <w:t>，当pH＞7.0</w:t>
      </w:r>
    </w:p>
    <w:p w14:paraId="1DA55DDF">
      <w:pPr>
        <w:pStyle w:val="235"/>
        <w:ind w:firstLine="424" w:firstLineChars="177"/>
        <w:rPr>
          <w:rFonts w:ascii="Times New Roman" w:hAnsi="Times New Roman" w:cs="Times New Roman"/>
        </w:rPr>
      </w:pPr>
      <w:r>
        <w:rPr>
          <w:rFonts w:ascii="Times New Roman" w:hAnsi="Times New Roman" w:cs="Times New Roman"/>
        </w:rPr>
        <w:t>式中：</w:t>
      </w:r>
    </w:p>
    <w:p w14:paraId="6C0EED54">
      <w:pPr>
        <w:pStyle w:val="235"/>
        <w:ind w:firstLine="424" w:firstLineChars="177"/>
        <w:rPr>
          <w:rFonts w:ascii="Times New Roman" w:hAnsi="Times New Roman" w:cs="Times New Roman"/>
        </w:rPr>
      </w:pPr>
      <w:r>
        <w:rPr>
          <w:rFonts w:ascii="Times New Roman" w:hAnsi="Times New Roman" w:cs="Times New Roman"/>
          <w:position w:val="-14"/>
        </w:rPr>
        <w:drawing>
          <wp:inline distT="0" distB="0" distL="0" distR="0">
            <wp:extent cx="247650" cy="247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cstate="screen"/>
                    <a:srcRect/>
                    <a:stretch>
                      <a:fillRect/>
                    </a:stretch>
                  </pic:blipFill>
                  <pic:spPr>
                    <a:xfrm>
                      <a:off x="0" y="0"/>
                      <a:ext cx="247650" cy="247650"/>
                    </a:xfrm>
                    <a:prstGeom prst="rect">
                      <a:avLst/>
                    </a:prstGeom>
                    <a:noFill/>
                    <a:ln>
                      <a:noFill/>
                    </a:ln>
                  </pic:spPr>
                </pic:pic>
              </a:graphicData>
            </a:graphic>
          </wp:inline>
        </w:drawing>
      </w:r>
      <w:r>
        <w:rPr>
          <w:rFonts w:ascii="Times New Roman" w:hAnsi="Times New Roman" w:cs="Times New Roman"/>
        </w:rPr>
        <w:t>――pH的标准指数，无量纲；</w:t>
      </w:r>
    </w:p>
    <w:p w14:paraId="13B3ADFF">
      <w:pPr>
        <w:pStyle w:val="235"/>
        <w:ind w:firstLine="424" w:firstLineChars="177"/>
        <w:rPr>
          <w:rFonts w:ascii="Times New Roman" w:hAnsi="Times New Roman" w:cs="Times New Roman"/>
        </w:rPr>
      </w:pPr>
      <w:r>
        <w:rPr>
          <w:rFonts w:ascii="Times New Roman" w:hAnsi="Times New Roman" w:cs="Times New Roman"/>
        </w:rPr>
        <w:t>pH―― 监测值；</w:t>
      </w:r>
    </w:p>
    <w:p w14:paraId="6F26DA7D">
      <w:pPr>
        <w:pStyle w:val="235"/>
        <w:ind w:firstLine="424" w:firstLineChars="177"/>
        <w:rPr>
          <w:rFonts w:ascii="Times New Roman" w:hAnsi="Times New Roman" w:cs="Times New Roman"/>
        </w:rPr>
      </w:pPr>
      <w:r>
        <w:rPr>
          <w:rFonts w:ascii="Times New Roman" w:hAnsi="Times New Roman" w:cs="Times New Roman"/>
          <w:position w:val="-12"/>
        </w:rPr>
        <w:drawing>
          <wp:inline distT="0" distB="0" distL="0" distR="0">
            <wp:extent cx="352425" cy="2286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cstate="screen"/>
                    <a:srcRect/>
                    <a:stretch>
                      <a:fillRect/>
                    </a:stretch>
                  </pic:blipFill>
                  <pic:spPr>
                    <a:xfrm>
                      <a:off x="0" y="0"/>
                      <a:ext cx="352425" cy="228600"/>
                    </a:xfrm>
                    <a:prstGeom prst="rect">
                      <a:avLst/>
                    </a:prstGeom>
                    <a:noFill/>
                    <a:ln>
                      <a:noFill/>
                    </a:ln>
                  </pic:spPr>
                </pic:pic>
              </a:graphicData>
            </a:graphic>
          </wp:inline>
        </w:drawing>
      </w:r>
      <w:r>
        <w:rPr>
          <w:rFonts w:ascii="Times New Roman" w:hAnsi="Times New Roman" w:cs="Times New Roman"/>
        </w:rPr>
        <w:t>――水质标准中规定的pH的上限值；</w:t>
      </w:r>
    </w:p>
    <w:p w14:paraId="4098D8DC">
      <w:pPr>
        <w:pStyle w:val="235"/>
        <w:ind w:firstLine="424" w:firstLineChars="177"/>
        <w:rPr>
          <w:rFonts w:ascii="Times New Roman" w:hAnsi="Times New Roman" w:cs="Times New Roman"/>
        </w:rPr>
      </w:pPr>
      <w:r>
        <w:rPr>
          <w:rFonts w:ascii="Times New Roman" w:hAnsi="Times New Roman" w:cs="Times New Roman"/>
        </w:rPr>
        <w:drawing>
          <wp:inline distT="0" distB="0" distL="0" distR="0">
            <wp:extent cx="371475" cy="2286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cstate="screen"/>
                    <a:srcRect/>
                    <a:stretch>
                      <a:fillRect/>
                    </a:stretch>
                  </pic:blipFill>
                  <pic:spPr>
                    <a:xfrm>
                      <a:off x="0" y="0"/>
                      <a:ext cx="371475" cy="228600"/>
                    </a:xfrm>
                    <a:prstGeom prst="rect">
                      <a:avLst/>
                    </a:prstGeom>
                    <a:noFill/>
                    <a:ln>
                      <a:noFill/>
                    </a:ln>
                  </pic:spPr>
                </pic:pic>
              </a:graphicData>
            </a:graphic>
          </wp:inline>
        </w:drawing>
      </w:r>
      <w:r>
        <w:rPr>
          <w:rFonts w:ascii="Times New Roman" w:hAnsi="Times New Roman" w:cs="Times New Roman"/>
        </w:rPr>
        <w:t>――水质标准中规定的pH的下限值。</w:t>
      </w:r>
    </w:p>
    <w:p w14:paraId="42C435AE">
      <w:pPr>
        <w:pStyle w:val="3"/>
        <w:ind w:firstLine="480"/>
      </w:pPr>
    </w:p>
    <w:p w14:paraId="7C4C322B">
      <w:pPr>
        <w:pStyle w:val="6"/>
      </w:pPr>
      <w:r>
        <w:t>监测结果</w:t>
      </w:r>
    </w:p>
    <w:p w14:paraId="122D9349">
      <w:pPr>
        <w:pStyle w:val="3"/>
        <w:ind w:firstLine="482"/>
        <w:rPr>
          <w:b/>
        </w:rPr>
      </w:pPr>
      <w:r>
        <w:rPr>
          <w:b/>
        </w:rPr>
        <w:t>1、地下水水位监测结果</w:t>
      </w:r>
    </w:p>
    <w:p w14:paraId="79780E24">
      <w:pPr>
        <w:pStyle w:val="262"/>
        <w:rPr>
          <w:rFonts w:ascii="Times New Roman" w:hAnsi="Times New Roman" w:cs="Times New Roman"/>
          <w:color w:val="auto"/>
        </w:rPr>
      </w:pPr>
      <w:r>
        <w:rPr>
          <w:rFonts w:ascii="Times New Roman" w:hAnsi="Times New Roman" w:cs="Times New Roman"/>
          <w:color w:val="auto"/>
        </w:rPr>
        <w:t>本公司地下水水位数据如下表：</w:t>
      </w:r>
    </w:p>
    <w:p w14:paraId="0DC364E1">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3</w:t>
      </w:r>
      <w:r>
        <w:rPr>
          <w:rFonts w:cs="Times New Roman"/>
          <w:color w:val="auto"/>
        </w:rPr>
        <w:fldChar w:fldCharType="end"/>
      </w:r>
      <w:r>
        <w:rPr>
          <w:rFonts w:cs="Times New Roman"/>
          <w:color w:val="auto"/>
        </w:rPr>
        <w:t xml:space="preserve">  补充监测点位地下水水位数据</w:t>
      </w:r>
    </w:p>
    <w:tbl>
      <w:tblPr>
        <w:tblStyle w:val="42"/>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757"/>
        <w:gridCol w:w="1074"/>
        <w:gridCol w:w="1058"/>
        <w:gridCol w:w="1079"/>
        <w:gridCol w:w="1422"/>
        <w:gridCol w:w="1139"/>
      </w:tblGrid>
      <w:tr w14:paraId="750F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trPr>
        <w:tc>
          <w:tcPr>
            <w:tcW w:w="640" w:type="pct"/>
            <w:vAlign w:val="center"/>
          </w:tcPr>
          <w:p w14:paraId="1C01D180">
            <w:pPr>
              <w:pStyle w:val="78"/>
              <w:rPr>
                <w:rFonts w:cs="Times New Roman"/>
                <w:b/>
              </w:rPr>
            </w:pPr>
            <w:r>
              <w:rPr>
                <w:rFonts w:cs="Times New Roman"/>
                <w:b/>
              </w:rPr>
              <w:t>检测日期</w:t>
            </w:r>
          </w:p>
        </w:tc>
        <w:tc>
          <w:tcPr>
            <w:tcW w:w="1015" w:type="pct"/>
            <w:vAlign w:val="center"/>
          </w:tcPr>
          <w:p w14:paraId="0CCED31A">
            <w:pPr>
              <w:pStyle w:val="78"/>
              <w:rPr>
                <w:rFonts w:cs="Times New Roman"/>
                <w:b/>
              </w:rPr>
            </w:pPr>
            <w:r>
              <w:rPr>
                <w:rFonts w:cs="Times New Roman"/>
                <w:b/>
              </w:rPr>
              <w:t>检测点位</w:t>
            </w:r>
          </w:p>
        </w:tc>
        <w:tc>
          <w:tcPr>
            <w:tcW w:w="622" w:type="pct"/>
            <w:vAlign w:val="center"/>
          </w:tcPr>
          <w:p w14:paraId="75853760">
            <w:pPr>
              <w:pStyle w:val="78"/>
              <w:rPr>
                <w:rFonts w:cs="Times New Roman"/>
                <w:b/>
              </w:rPr>
            </w:pPr>
            <w:r>
              <w:rPr>
                <w:rFonts w:cs="Times New Roman"/>
                <w:b/>
              </w:rPr>
              <w:t>水位标高（m）</w:t>
            </w:r>
          </w:p>
        </w:tc>
        <w:tc>
          <w:tcPr>
            <w:tcW w:w="613" w:type="pct"/>
            <w:vAlign w:val="center"/>
          </w:tcPr>
          <w:p w14:paraId="12AA6127">
            <w:pPr>
              <w:pStyle w:val="78"/>
              <w:rPr>
                <w:rFonts w:cs="Times New Roman"/>
                <w:b/>
              </w:rPr>
            </w:pPr>
            <w:r>
              <w:rPr>
                <w:rFonts w:cs="Times New Roman"/>
                <w:b/>
              </w:rPr>
              <w:t>井深</w:t>
            </w:r>
          </w:p>
          <w:p w14:paraId="2D5DD1A3">
            <w:pPr>
              <w:pStyle w:val="78"/>
              <w:rPr>
                <w:rFonts w:cs="Times New Roman"/>
                <w:b/>
              </w:rPr>
            </w:pPr>
            <w:r>
              <w:rPr>
                <w:rFonts w:cs="Times New Roman"/>
                <w:b/>
              </w:rPr>
              <w:t>（m）</w:t>
            </w:r>
          </w:p>
        </w:tc>
        <w:tc>
          <w:tcPr>
            <w:tcW w:w="625" w:type="pct"/>
            <w:vAlign w:val="center"/>
          </w:tcPr>
          <w:p w14:paraId="03402419">
            <w:pPr>
              <w:pStyle w:val="78"/>
              <w:rPr>
                <w:rFonts w:cs="Times New Roman"/>
                <w:b/>
              </w:rPr>
            </w:pPr>
            <w:r>
              <w:rPr>
                <w:rFonts w:cs="Times New Roman"/>
                <w:b/>
              </w:rPr>
              <w:t>采样深度</w:t>
            </w:r>
          </w:p>
          <w:p w14:paraId="4EB58A4E">
            <w:pPr>
              <w:pStyle w:val="78"/>
              <w:rPr>
                <w:rFonts w:cs="Times New Roman"/>
                <w:b/>
              </w:rPr>
            </w:pPr>
            <w:r>
              <w:rPr>
                <w:rFonts w:cs="Times New Roman"/>
                <w:b/>
              </w:rPr>
              <w:t>（m）</w:t>
            </w:r>
          </w:p>
        </w:tc>
        <w:tc>
          <w:tcPr>
            <w:tcW w:w="822" w:type="pct"/>
            <w:vAlign w:val="center"/>
          </w:tcPr>
          <w:p w14:paraId="2587A729">
            <w:pPr>
              <w:pStyle w:val="78"/>
              <w:rPr>
                <w:rFonts w:cs="Times New Roman"/>
                <w:b/>
              </w:rPr>
            </w:pPr>
            <w:r>
              <w:rPr>
                <w:rFonts w:cs="Times New Roman"/>
                <w:b/>
              </w:rPr>
              <w:t>地下水位埋深（m）</w:t>
            </w:r>
          </w:p>
        </w:tc>
        <w:tc>
          <w:tcPr>
            <w:tcW w:w="659" w:type="pct"/>
            <w:vAlign w:val="center"/>
          </w:tcPr>
          <w:p w14:paraId="60248BB0">
            <w:pPr>
              <w:pStyle w:val="78"/>
              <w:rPr>
                <w:rFonts w:cs="Times New Roman"/>
                <w:b/>
              </w:rPr>
            </w:pPr>
            <w:r>
              <w:rPr>
                <w:rFonts w:cs="Times New Roman"/>
                <w:b/>
              </w:rPr>
              <w:t>地表高程（m）</w:t>
            </w:r>
          </w:p>
        </w:tc>
      </w:tr>
      <w:tr w14:paraId="6445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40" w:type="pct"/>
            <w:vAlign w:val="center"/>
          </w:tcPr>
          <w:p w14:paraId="76E5BF53">
            <w:pPr>
              <w:pStyle w:val="78"/>
              <w:rPr>
                <w:rFonts w:cs="Times New Roman"/>
              </w:rPr>
            </w:pPr>
            <w:r>
              <w:rPr>
                <w:rFonts w:cs="Times New Roman"/>
              </w:rPr>
              <w:t>2023.07.02</w:t>
            </w:r>
          </w:p>
        </w:tc>
        <w:tc>
          <w:tcPr>
            <w:tcW w:w="1015" w:type="pct"/>
            <w:vAlign w:val="center"/>
          </w:tcPr>
          <w:p w14:paraId="66E9CAF6">
            <w:pPr>
              <w:pStyle w:val="78"/>
              <w:rPr>
                <w:rFonts w:cs="Times New Roman"/>
              </w:rPr>
            </w:pPr>
            <w:r>
              <w:rPr>
                <w:rFonts w:cs="Times New Roman"/>
              </w:rPr>
              <w:t>U6</w:t>
            </w:r>
          </w:p>
        </w:tc>
        <w:tc>
          <w:tcPr>
            <w:tcW w:w="622" w:type="pct"/>
            <w:vAlign w:val="center"/>
          </w:tcPr>
          <w:p w14:paraId="321C2A4B">
            <w:pPr>
              <w:pStyle w:val="78"/>
              <w:rPr>
                <w:rFonts w:cs="Times New Roman"/>
              </w:rPr>
            </w:pPr>
            <w:r>
              <w:rPr>
                <w:rFonts w:cs="Times New Roman"/>
                <w:bCs/>
                <w:szCs w:val="21"/>
              </w:rPr>
              <w:t>8.25</w:t>
            </w:r>
          </w:p>
        </w:tc>
        <w:tc>
          <w:tcPr>
            <w:tcW w:w="613" w:type="pct"/>
            <w:vAlign w:val="center"/>
          </w:tcPr>
          <w:p w14:paraId="7D8F3A70">
            <w:pPr>
              <w:pStyle w:val="78"/>
              <w:rPr>
                <w:rFonts w:cs="Times New Roman"/>
              </w:rPr>
            </w:pPr>
            <w:r>
              <w:rPr>
                <w:rFonts w:cs="Times New Roman"/>
                <w:bCs/>
                <w:szCs w:val="21"/>
              </w:rPr>
              <w:t>3.5</w:t>
            </w:r>
          </w:p>
        </w:tc>
        <w:tc>
          <w:tcPr>
            <w:tcW w:w="625" w:type="pct"/>
            <w:vAlign w:val="center"/>
          </w:tcPr>
          <w:p w14:paraId="7AC1C78E">
            <w:pPr>
              <w:pStyle w:val="78"/>
              <w:rPr>
                <w:rFonts w:cs="Times New Roman"/>
              </w:rPr>
            </w:pPr>
            <w:r>
              <w:rPr>
                <w:rFonts w:cs="Times New Roman"/>
                <w:bCs/>
              </w:rPr>
              <w:t>1.0</w:t>
            </w:r>
          </w:p>
        </w:tc>
        <w:tc>
          <w:tcPr>
            <w:tcW w:w="822" w:type="pct"/>
            <w:vAlign w:val="center"/>
          </w:tcPr>
          <w:p w14:paraId="77118FF0">
            <w:pPr>
              <w:pStyle w:val="78"/>
              <w:rPr>
                <w:rFonts w:cs="Times New Roman"/>
              </w:rPr>
            </w:pPr>
            <w:r>
              <w:rPr>
                <w:rFonts w:cs="Times New Roman"/>
                <w:bCs/>
                <w:szCs w:val="21"/>
              </w:rPr>
              <w:t>1.75</w:t>
            </w:r>
          </w:p>
        </w:tc>
        <w:tc>
          <w:tcPr>
            <w:tcW w:w="659" w:type="pct"/>
            <w:vAlign w:val="center"/>
          </w:tcPr>
          <w:p w14:paraId="77CBE60A">
            <w:pPr>
              <w:pStyle w:val="78"/>
              <w:rPr>
                <w:rFonts w:cs="Times New Roman"/>
              </w:rPr>
            </w:pPr>
            <w:r>
              <w:rPr>
                <w:rFonts w:cs="Times New Roman"/>
                <w:bCs/>
                <w:szCs w:val="21"/>
              </w:rPr>
              <w:t>10.0</w:t>
            </w:r>
          </w:p>
        </w:tc>
      </w:tr>
    </w:tbl>
    <w:p w14:paraId="49A64BAD">
      <w:pPr>
        <w:pStyle w:val="14"/>
        <w:spacing w:before="240"/>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4</w:t>
      </w:r>
      <w:r>
        <w:rPr>
          <w:rFonts w:cs="Times New Roman"/>
          <w:color w:val="auto"/>
        </w:rPr>
        <w:fldChar w:fldCharType="end"/>
      </w:r>
      <w:r>
        <w:rPr>
          <w:rFonts w:cs="Times New Roman"/>
          <w:color w:val="auto"/>
        </w:rPr>
        <w:t xml:space="preserve">  引用监测点位地下水水位数据</w:t>
      </w:r>
    </w:p>
    <w:tbl>
      <w:tblPr>
        <w:tblStyle w:val="42"/>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768"/>
        <w:gridCol w:w="1072"/>
        <w:gridCol w:w="1058"/>
        <w:gridCol w:w="1079"/>
        <w:gridCol w:w="1425"/>
        <w:gridCol w:w="1141"/>
      </w:tblGrid>
      <w:tr w14:paraId="7F22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666" w:type="pct"/>
            <w:vAlign w:val="center"/>
          </w:tcPr>
          <w:p w14:paraId="0BB20D8F">
            <w:pPr>
              <w:pStyle w:val="14"/>
              <w:rPr>
                <w:rFonts w:cs="Times New Roman"/>
                <w:color w:val="auto"/>
              </w:rPr>
            </w:pPr>
            <w:r>
              <w:rPr>
                <w:rFonts w:cs="Times New Roman"/>
                <w:color w:val="auto"/>
              </w:rPr>
              <w:t>检测日期</w:t>
            </w:r>
          </w:p>
        </w:tc>
        <w:tc>
          <w:tcPr>
            <w:tcW w:w="1015" w:type="pct"/>
            <w:vAlign w:val="center"/>
          </w:tcPr>
          <w:p w14:paraId="48BED508">
            <w:pPr>
              <w:pStyle w:val="14"/>
              <w:rPr>
                <w:rFonts w:cs="Times New Roman"/>
                <w:color w:val="auto"/>
              </w:rPr>
            </w:pPr>
            <w:r>
              <w:rPr>
                <w:rFonts w:cs="Times New Roman"/>
                <w:color w:val="auto"/>
              </w:rPr>
              <w:t>检测点位</w:t>
            </w:r>
          </w:p>
        </w:tc>
        <w:tc>
          <w:tcPr>
            <w:tcW w:w="615" w:type="pct"/>
            <w:vAlign w:val="center"/>
          </w:tcPr>
          <w:p w14:paraId="5BFF6294">
            <w:pPr>
              <w:pStyle w:val="14"/>
              <w:rPr>
                <w:rFonts w:cs="Times New Roman"/>
                <w:color w:val="auto"/>
              </w:rPr>
            </w:pPr>
            <w:r>
              <w:rPr>
                <w:rFonts w:cs="Times New Roman"/>
                <w:color w:val="auto"/>
              </w:rPr>
              <w:t>水位标高（m）</w:t>
            </w:r>
          </w:p>
        </w:tc>
        <w:tc>
          <w:tcPr>
            <w:tcW w:w="607" w:type="pct"/>
            <w:vAlign w:val="center"/>
          </w:tcPr>
          <w:p w14:paraId="6F75BD53">
            <w:pPr>
              <w:pStyle w:val="14"/>
              <w:rPr>
                <w:rFonts w:cs="Times New Roman"/>
                <w:color w:val="auto"/>
              </w:rPr>
            </w:pPr>
            <w:r>
              <w:rPr>
                <w:rFonts w:cs="Times New Roman"/>
                <w:color w:val="auto"/>
              </w:rPr>
              <w:t>井深</w:t>
            </w:r>
          </w:p>
          <w:p w14:paraId="12ED1922">
            <w:pPr>
              <w:pStyle w:val="14"/>
              <w:rPr>
                <w:rFonts w:cs="Times New Roman"/>
                <w:color w:val="auto"/>
              </w:rPr>
            </w:pPr>
            <w:r>
              <w:rPr>
                <w:rFonts w:cs="Times New Roman"/>
                <w:color w:val="auto"/>
              </w:rPr>
              <w:t>（m）</w:t>
            </w:r>
          </w:p>
        </w:tc>
        <w:tc>
          <w:tcPr>
            <w:tcW w:w="619" w:type="pct"/>
            <w:vAlign w:val="center"/>
          </w:tcPr>
          <w:p w14:paraId="2CE9EA1F">
            <w:pPr>
              <w:pStyle w:val="14"/>
              <w:rPr>
                <w:rFonts w:cs="Times New Roman"/>
                <w:color w:val="auto"/>
              </w:rPr>
            </w:pPr>
            <w:r>
              <w:rPr>
                <w:rFonts w:cs="Times New Roman"/>
                <w:color w:val="auto"/>
              </w:rPr>
              <w:t>采样深度</w:t>
            </w:r>
          </w:p>
          <w:p w14:paraId="24C766A7">
            <w:pPr>
              <w:pStyle w:val="14"/>
              <w:rPr>
                <w:rFonts w:cs="Times New Roman"/>
                <w:color w:val="auto"/>
              </w:rPr>
            </w:pPr>
            <w:r>
              <w:rPr>
                <w:rFonts w:cs="Times New Roman"/>
                <w:color w:val="auto"/>
              </w:rPr>
              <w:t>（m）</w:t>
            </w:r>
          </w:p>
        </w:tc>
        <w:tc>
          <w:tcPr>
            <w:tcW w:w="818" w:type="pct"/>
            <w:vAlign w:val="center"/>
          </w:tcPr>
          <w:p w14:paraId="10B9E1C6">
            <w:pPr>
              <w:pStyle w:val="14"/>
              <w:rPr>
                <w:rFonts w:cs="Times New Roman"/>
                <w:color w:val="auto"/>
              </w:rPr>
            </w:pPr>
            <w:r>
              <w:rPr>
                <w:rFonts w:cs="Times New Roman"/>
                <w:color w:val="auto"/>
              </w:rPr>
              <w:t>地下水位埋深（m）</w:t>
            </w:r>
          </w:p>
        </w:tc>
        <w:tc>
          <w:tcPr>
            <w:tcW w:w="655" w:type="pct"/>
            <w:vAlign w:val="center"/>
          </w:tcPr>
          <w:p w14:paraId="461718E2">
            <w:pPr>
              <w:pStyle w:val="14"/>
              <w:rPr>
                <w:rFonts w:cs="Times New Roman"/>
                <w:color w:val="auto"/>
              </w:rPr>
            </w:pPr>
            <w:r>
              <w:rPr>
                <w:rFonts w:cs="Times New Roman"/>
                <w:color w:val="auto"/>
              </w:rPr>
              <w:t>地表高程（m）</w:t>
            </w:r>
          </w:p>
        </w:tc>
      </w:tr>
      <w:tr w14:paraId="438C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restart"/>
            <w:vAlign w:val="center"/>
          </w:tcPr>
          <w:p w14:paraId="689D31AB">
            <w:pPr>
              <w:pStyle w:val="14"/>
              <w:rPr>
                <w:rFonts w:cs="Times New Roman"/>
                <w:b w:val="0"/>
                <w:bCs/>
                <w:color w:val="auto"/>
              </w:rPr>
            </w:pPr>
            <w:r>
              <w:rPr>
                <w:rFonts w:cs="Times New Roman"/>
                <w:b w:val="0"/>
                <w:bCs/>
                <w:color w:val="auto"/>
              </w:rPr>
              <w:t>2023.08.24</w:t>
            </w:r>
          </w:p>
        </w:tc>
        <w:tc>
          <w:tcPr>
            <w:tcW w:w="1015" w:type="pct"/>
            <w:vAlign w:val="center"/>
          </w:tcPr>
          <w:p w14:paraId="71875040">
            <w:pPr>
              <w:pStyle w:val="14"/>
              <w:rPr>
                <w:rFonts w:cs="Times New Roman"/>
                <w:b w:val="0"/>
                <w:bCs/>
                <w:color w:val="auto"/>
              </w:rPr>
            </w:pPr>
            <w:r>
              <w:rPr>
                <w:rFonts w:cs="Times New Roman"/>
                <w:b w:val="0"/>
                <w:bCs/>
                <w:color w:val="auto"/>
              </w:rPr>
              <w:t>U1</w:t>
            </w:r>
          </w:p>
        </w:tc>
        <w:tc>
          <w:tcPr>
            <w:tcW w:w="615" w:type="pct"/>
            <w:vAlign w:val="center"/>
          </w:tcPr>
          <w:p w14:paraId="6F1E8D00">
            <w:pPr>
              <w:pStyle w:val="14"/>
              <w:rPr>
                <w:rFonts w:cs="Times New Roman"/>
                <w:b w:val="0"/>
                <w:bCs/>
                <w:color w:val="auto"/>
              </w:rPr>
            </w:pPr>
            <w:r>
              <w:rPr>
                <w:rFonts w:cs="Times New Roman"/>
                <w:b w:val="0"/>
                <w:bCs/>
                <w:color w:val="auto"/>
              </w:rPr>
              <w:t>12.73</w:t>
            </w:r>
          </w:p>
        </w:tc>
        <w:tc>
          <w:tcPr>
            <w:tcW w:w="607" w:type="pct"/>
            <w:vAlign w:val="center"/>
          </w:tcPr>
          <w:p w14:paraId="02142C9E">
            <w:pPr>
              <w:pStyle w:val="14"/>
              <w:rPr>
                <w:rFonts w:cs="Times New Roman"/>
                <w:b w:val="0"/>
                <w:bCs/>
                <w:color w:val="auto"/>
              </w:rPr>
            </w:pPr>
            <w:r>
              <w:rPr>
                <w:rFonts w:cs="Times New Roman"/>
                <w:b w:val="0"/>
                <w:bCs/>
                <w:color w:val="auto"/>
              </w:rPr>
              <w:t>2.77</w:t>
            </w:r>
          </w:p>
        </w:tc>
        <w:tc>
          <w:tcPr>
            <w:tcW w:w="619" w:type="pct"/>
            <w:vAlign w:val="center"/>
          </w:tcPr>
          <w:p w14:paraId="5B00675D">
            <w:pPr>
              <w:pStyle w:val="14"/>
              <w:rPr>
                <w:rFonts w:cs="Times New Roman"/>
                <w:b w:val="0"/>
                <w:bCs/>
                <w:color w:val="auto"/>
              </w:rPr>
            </w:pPr>
            <w:r>
              <w:rPr>
                <w:rFonts w:cs="Times New Roman"/>
                <w:b w:val="0"/>
                <w:bCs/>
                <w:color w:val="auto"/>
              </w:rPr>
              <w:t>1.0</w:t>
            </w:r>
          </w:p>
        </w:tc>
        <w:tc>
          <w:tcPr>
            <w:tcW w:w="818" w:type="pct"/>
            <w:vAlign w:val="center"/>
          </w:tcPr>
          <w:p w14:paraId="398A3CF2">
            <w:pPr>
              <w:pStyle w:val="14"/>
              <w:rPr>
                <w:rFonts w:cs="Times New Roman"/>
                <w:b w:val="0"/>
                <w:bCs/>
                <w:color w:val="auto"/>
              </w:rPr>
            </w:pPr>
            <w:r>
              <w:rPr>
                <w:rFonts w:cs="Times New Roman"/>
                <w:b w:val="0"/>
                <w:bCs/>
                <w:color w:val="auto"/>
              </w:rPr>
              <w:t>0.32</w:t>
            </w:r>
          </w:p>
        </w:tc>
        <w:tc>
          <w:tcPr>
            <w:tcW w:w="655" w:type="pct"/>
            <w:vAlign w:val="center"/>
          </w:tcPr>
          <w:p w14:paraId="0750D873">
            <w:pPr>
              <w:pStyle w:val="14"/>
              <w:rPr>
                <w:rFonts w:cs="Times New Roman"/>
                <w:b w:val="0"/>
                <w:bCs/>
                <w:color w:val="auto"/>
              </w:rPr>
            </w:pPr>
            <w:r>
              <w:rPr>
                <w:rFonts w:cs="Times New Roman"/>
                <w:b w:val="0"/>
                <w:bCs/>
                <w:color w:val="auto"/>
              </w:rPr>
              <w:t>13.05</w:t>
            </w:r>
          </w:p>
        </w:tc>
      </w:tr>
      <w:tr w14:paraId="1427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7B6505AA">
            <w:pPr>
              <w:pStyle w:val="14"/>
              <w:rPr>
                <w:rFonts w:cs="Times New Roman"/>
                <w:b w:val="0"/>
                <w:bCs/>
                <w:color w:val="auto"/>
              </w:rPr>
            </w:pPr>
          </w:p>
        </w:tc>
        <w:tc>
          <w:tcPr>
            <w:tcW w:w="1015" w:type="pct"/>
            <w:vAlign w:val="center"/>
          </w:tcPr>
          <w:p w14:paraId="6D973587">
            <w:pPr>
              <w:pStyle w:val="14"/>
              <w:rPr>
                <w:rFonts w:cs="Times New Roman"/>
                <w:b w:val="0"/>
                <w:bCs/>
                <w:color w:val="auto"/>
              </w:rPr>
            </w:pPr>
            <w:r>
              <w:rPr>
                <w:rFonts w:cs="Times New Roman"/>
                <w:b w:val="0"/>
                <w:bCs/>
                <w:color w:val="auto"/>
              </w:rPr>
              <w:t>U2</w:t>
            </w:r>
          </w:p>
        </w:tc>
        <w:tc>
          <w:tcPr>
            <w:tcW w:w="615" w:type="pct"/>
            <w:vAlign w:val="center"/>
          </w:tcPr>
          <w:p w14:paraId="5CED761A">
            <w:pPr>
              <w:pStyle w:val="14"/>
              <w:rPr>
                <w:rFonts w:cs="Times New Roman"/>
                <w:b w:val="0"/>
                <w:bCs/>
                <w:color w:val="auto"/>
              </w:rPr>
            </w:pPr>
            <w:r>
              <w:rPr>
                <w:rFonts w:cs="Times New Roman"/>
                <w:b w:val="0"/>
                <w:bCs/>
                <w:color w:val="auto"/>
              </w:rPr>
              <w:t>10.97</w:t>
            </w:r>
          </w:p>
        </w:tc>
        <w:tc>
          <w:tcPr>
            <w:tcW w:w="607" w:type="pct"/>
            <w:vAlign w:val="center"/>
          </w:tcPr>
          <w:p w14:paraId="1CD8993E">
            <w:pPr>
              <w:pStyle w:val="14"/>
              <w:rPr>
                <w:rFonts w:cs="Times New Roman"/>
                <w:b w:val="0"/>
                <w:bCs/>
                <w:color w:val="auto"/>
              </w:rPr>
            </w:pPr>
            <w:r>
              <w:rPr>
                <w:rFonts w:cs="Times New Roman"/>
                <w:b w:val="0"/>
                <w:bCs/>
                <w:color w:val="auto"/>
              </w:rPr>
              <w:t>4.04</w:t>
            </w:r>
          </w:p>
        </w:tc>
        <w:tc>
          <w:tcPr>
            <w:tcW w:w="619" w:type="pct"/>
            <w:vAlign w:val="center"/>
          </w:tcPr>
          <w:p w14:paraId="3C7B922D">
            <w:pPr>
              <w:pStyle w:val="14"/>
              <w:rPr>
                <w:rFonts w:cs="Times New Roman"/>
                <w:b w:val="0"/>
                <w:bCs/>
                <w:color w:val="auto"/>
              </w:rPr>
            </w:pPr>
            <w:r>
              <w:rPr>
                <w:rFonts w:cs="Times New Roman"/>
                <w:b w:val="0"/>
                <w:bCs/>
                <w:color w:val="auto"/>
              </w:rPr>
              <w:t>1.0</w:t>
            </w:r>
          </w:p>
        </w:tc>
        <w:tc>
          <w:tcPr>
            <w:tcW w:w="818" w:type="pct"/>
            <w:vAlign w:val="center"/>
          </w:tcPr>
          <w:p w14:paraId="6BA39A18">
            <w:pPr>
              <w:pStyle w:val="14"/>
              <w:rPr>
                <w:rFonts w:cs="Times New Roman"/>
                <w:b w:val="0"/>
                <w:bCs/>
                <w:color w:val="auto"/>
              </w:rPr>
            </w:pPr>
            <w:r>
              <w:rPr>
                <w:rFonts w:cs="Times New Roman"/>
                <w:b w:val="0"/>
                <w:bCs/>
                <w:color w:val="auto"/>
              </w:rPr>
              <w:t>2.36</w:t>
            </w:r>
          </w:p>
        </w:tc>
        <w:tc>
          <w:tcPr>
            <w:tcW w:w="655" w:type="pct"/>
            <w:vAlign w:val="center"/>
          </w:tcPr>
          <w:p w14:paraId="7E5B6B13">
            <w:pPr>
              <w:pStyle w:val="14"/>
              <w:rPr>
                <w:rFonts w:cs="Times New Roman"/>
                <w:b w:val="0"/>
                <w:bCs/>
                <w:color w:val="auto"/>
              </w:rPr>
            </w:pPr>
            <w:r>
              <w:rPr>
                <w:rFonts w:cs="Times New Roman"/>
                <w:b w:val="0"/>
                <w:bCs/>
                <w:color w:val="auto"/>
              </w:rPr>
              <w:t>13.33</w:t>
            </w:r>
          </w:p>
        </w:tc>
      </w:tr>
      <w:tr w14:paraId="6454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5078D074">
            <w:pPr>
              <w:pStyle w:val="14"/>
              <w:rPr>
                <w:rFonts w:cs="Times New Roman"/>
                <w:b w:val="0"/>
                <w:bCs/>
                <w:color w:val="auto"/>
              </w:rPr>
            </w:pPr>
          </w:p>
        </w:tc>
        <w:tc>
          <w:tcPr>
            <w:tcW w:w="1015" w:type="pct"/>
            <w:vAlign w:val="center"/>
          </w:tcPr>
          <w:p w14:paraId="45E1DFB0">
            <w:pPr>
              <w:pStyle w:val="14"/>
              <w:rPr>
                <w:rFonts w:cs="Times New Roman"/>
                <w:b w:val="0"/>
                <w:bCs/>
                <w:color w:val="auto"/>
              </w:rPr>
            </w:pPr>
            <w:r>
              <w:rPr>
                <w:rFonts w:cs="Times New Roman"/>
                <w:b w:val="0"/>
                <w:bCs/>
                <w:color w:val="auto"/>
              </w:rPr>
              <w:t>U3</w:t>
            </w:r>
          </w:p>
        </w:tc>
        <w:tc>
          <w:tcPr>
            <w:tcW w:w="615" w:type="pct"/>
            <w:vAlign w:val="center"/>
          </w:tcPr>
          <w:p w14:paraId="054F2BD9">
            <w:pPr>
              <w:pStyle w:val="14"/>
              <w:rPr>
                <w:rFonts w:cs="Times New Roman"/>
                <w:b w:val="0"/>
                <w:bCs/>
                <w:color w:val="auto"/>
              </w:rPr>
            </w:pPr>
            <w:r>
              <w:rPr>
                <w:rFonts w:cs="Times New Roman"/>
                <w:b w:val="0"/>
                <w:bCs/>
                <w:color w:val="auto"/>
              </w:rPr>
              <w:t>11.27</w:t>
            </w:r>
          </w:p>
        </w:tc>
        <w:tc>
          <w:tcPr>
            <w:tcW w:w="607" w:type="pct"/>
            <w:vAlign w:val="center"/>
          </w:tcPr>
          <w:p w14:paraId="4951CD31">
            <w:pPr>
              <w:pStyle w:val="14"/>
              <w:rPr>
                <w:rFonts w:cs="Times New Roman"/>
                <w:b w:val="0"/>
                <w:bCs/>
                <w:color w:val="auto"/>
              </w:rPr>
            </w:pPr>
            <w:r>
              <w:rPr>
                <w:rFonts w:cs="Times New Roman"/>
                <w:b w:val="0"/>
                <w:bCs/>
                <w:color w:val="auto"/>
              </w:rPr>
              <w:t>4.58</w:t>
            </w:r>
          </w:p>
        </w:tc>
        <w:tc>
          <w:tcPr>
            <w:tcW w:w="619" w:type="pct"/>
            <w:vAlign w:val="center"/>
          </w:tcPr>
          <w:p w14:paraId="6239B4D4">
            <w:pPr>
              <w:pStyle w:val="14"/>
              <w:rPr>
                <w:rFonts w:cs="Times New Roman"/>
                <w:b w:val="0"/>
                <w:bCs/>
                <w:color w:val="auto"/>
              </w:rPr>
            </w:pPr>
            <w:r>
              <w:rPr>
                <w:rFonts w:cs="Times New Roman"/>
                <w:b w:val="0"/>
                <w:bCs/>
                <w:color w:val="auto"/>
              </w:rPr>
              <w:t>1.0</w:t>
            </w:r>
          </w:p>
        </w:tc>
        <w:tc>
          <w:tcPr>
            <w:tcW w:w="818" w:type="pct"/>
            <w:vAlign w:val="center"/>
          </w:tcPr>
          <w:p w14:paraId="5ADB15A9">
            <w:pPr>
              <w:pStyle w:val="14"/>
              <w:rPr>
                <w:rFonts w:cs="Times New Roman"/>
                <w:b w:val="0"/>
                <w:bCs/>
                <w:color w:val="auto"/>
              </w:rPr>
            </w:pPr>
            <w:r>
              <w:rPr>
                <w:rFonts w:cs="Times New Roman"/>
                <w:b w:val="0"/>
                <w:bCs/>
                <w:color w:val="auto"/>
              </w:rPr>
              <w:t>2.21</w:t>
            </w:r>
          </w:p>
        </w:tc>
        <w:tc>
          <w:tcPr>
            <w:tcW w:w="655" w:type="pct"/>
            <w:vAlign w:val="center"/>
          </w:tcPr>
          <w:p w14:paraId="21DADCC6">
            <w:pPr>
              <w:pStyle w:val="14"/>
              <w:rPr>
                <w:rFonts w:cs="Times New Roman"/>
                <w:b w:val="0"/>
                <w:bCs/>
                <w:color w:val="auto"/>
              </w:rPr>
            </w:pPr>
            <w:r>
              <w:rPr>
                <w:rFonts w:cs="Times New Roman"/>
                <w:b w:val="0"/>
                <w:bCs/>
                <w:color w:val="auto"/>
              </w:rPr>
              <w:t>13.48</w:t>
            </w:r>
          </w:p>
        </w:tc>
      </w:tr>
      <w:tr w14:paraId="3293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110304C6">
            <w:pPr>
              <w:pStyle w:val="14"/>
              <w:rPr>
                <w:rFonts w:cs="Times New Roman"/>
                <w:b w:val="0"/>
                <w:bCs/>
                <w:color w:val="auto"/>
              </w:rPr>
            </w:pPr>
          </w:p>
        </w:tc>
        <w:tc>
          <w:tcPr>
            <w:tcW w:w="1015" w:type="pct"/>
            <w:vAlign w:val="center"/>
          </w:tcPr>
          <w:p w14:paraId="3BDAEA1C">
            <w:pPr>
              <w:pStyle w:val="14"/>
              <w:rPr>
                <w:rFonts w:cs="Times New Roman"/>
                <w:b w:val="0"/>
                <w:bCs/>
                <w:color w:val="auto"/>
              </w:rPr>
            </w:pPr>
            <w:r>
              <w:rPr>
                <w:rFonts w:cs="Times New Roman"/>
                <w:b w:val="0"/>
                <w:bCs/>
                <w:color w:val="auto"/>
              </w:rPr>
              <w:t>U4</w:t>
            </w:r>
          </w:p>
        </w:tc>
        <w:tc>
          <w:tcPr>
            <w:tcW w:w="615" w:type="pct"/>
            <w:vAlign w:val="center"/>
          </w:tcPr>
          <w:p w14:paraId="58540744">
            <w:pPr>
              <w:pStyle w:val="14"/>
              <w:rPr>
                <w:rFonts w:cs="Times New Roman"/>
                <w:b w:val="0"/>
                <w:bCs/>
                <w:color w:val="auto"/>
              </w:rPr>
            </w:pPr>
            <w:r>
              <w:rPr>
                <w:rFonts w:cs="Times New Roman"/>
                <w:b w:val="0"/>
                <w:bCs/>
                <w:color w:val="auto"/>
              </w:rPr>
              <w:t>10.89</w:t>
            </w:r>
          </w:p>
        </w:tc>
        <w:tc>
          <w:tcPr>
            <w:tcW w:w="607" w:type="pct"/>
            <w:vAlign w:val="center"/>
          </w:tcPr>
          <w:p w14:paraId="2AA7A667">
            <w:pPr>
              <w:pStyle w:val="14"/>
              <w:rPr>
                <w:rFonts w:cs="Times New Roman"/>
                <w:b w:val="0"/>
                <w:bCs/>
                <w:color w:val="auto"/>
              </w:rPr>
            </w:pPr>
            <w:r>
              <w:rPr>
                <w:rFonts w:cs="Times New Roman"/>
                <w:b w:val="0"/>
                <w:bCs/>
                <w:color w:val="auto"/>
              </w:rPr>
              <w:t>4.35</w:t>
            </w:r>
          </w:p>
        </w:tc>
        <w:tc>
          <w:tcPr>
            <w:tcW w:w="619" w:type="pct"/>
            <w:vAlign w:val="center"/>
          </w:tcPr>
          <w:p w14:paraId="7CA78A11">
            <w:pPr>
              <w:pStyle w:val="14"/>
              <w:rPr>
                <w:rFonts w:cs="Times New Roman"/>
                <w:b w:val="0"/>
                <w:bCs/>
                <w:color w:val="auto"/>
              </w:rPr>
            </w:pPr>
            <w:r>
              <w:rPr>
                <w:rFonts w:cs="Times New Roman"/>
                <w:b w:val="0"/>
                <w:bCs/>
                <w:color w:val="auto"/>
              </w:rPr>
              <w:t>1.0</w:t>
            </w:r>
          </w:p>
        </w:tc>
        <w:tc>
          <w:tcPr>
            <w:tcW w:w="818" w:type="pct"/>
            <w:vAlign w:val="center"/>
          </w:tcPr>
          <w:p w14:paraId="4268A769">
            <w:pPr>
              <w:pStyle w:val="14"/>
              <w:rPr>
                <w:rFonts w:cs="Times New Roman"/>
                <w:b w:val="0"/>
                <w:bCs/>
                <w:color w:val="auto"/>
              </w:rPr>
            </w:pPr>
            <w:r>
              <w:rPr>
                <w:rFonts w:cs="Times New Roman"/>
                <w:b w:val="0"/>
                <w:bCs/>
                <w:color w:val="auto"/>
              </w:rPr>
              <w:t>2.52</w:t>
            </w:r>
          </w:p>
        </w:tc>
        <w:tc>
          <w:tcPr>
            <w:tcW w:w="655" w:type="pct"/>
            <w:vAlign w:val="center"/>
          </w:tcPr>
          <w:p w14:paraId="43EB3D16">
            <w:pPr>
              <w:pStyle w:val="14"/>
              <w:rPr>
                <w:rFonts w:cs="Times New Roman"/>
                <w:b w:val="0"/>
                <w:bCs/>
                <w:color w:val="auto"/>
              </w:rPr>
            </w:pPr>
            <w:r>
              <w:rPr>
                <w:rFonts w:cs="Times New Roman"/>
                <w:b w:val="0"/>
                <w:bCs/>
                <w:color w:val="auto"/>
              </w:rPr>
              <w:t>13.41</w:t>
            </w:r>
          </w:p>
        </w:tc>
      </w:tr>
      <w:tr w14:paraId="5007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restart"/>
            <w:vAlign w:val="center"/>
          </w:tcPr>
          <w:p w14:paraId="5A3B1C6B">
            <w:pPr>
              <w:pStyle w:val="14"/>
              <w:rPr>
                <w:rFonts w:cs="Times New Roman"/>
                <w:b w:val="0"/>
                <w:bCs/>
                <w:color w:val="auto"/>
              </w:rPr>
            </w:pPr>
            <w:r>
              <w:rPr>
                <w:rFonts w:cs="Times New Roman"/>
                <w:b w:val="0"/>
                <w:bCs/>
                <w:color w:val="auto"/>
              </w:rPr>
              <w:t>2023.04.24</w:t>
            </w:r>
          </w:p>
        </w:tc>
        <w:tc>
          <w:tcPr>
            <w:tcW w:w="1015" w:type="pct"/>
            <w:vAlign w:val="center"/>
          </w:tcPr>
          <w:p w14:paraId="28BE15FB">
            <w:pPr>
              <w:pStyle w:val="14"/>
              <w:rPr>
                <w:rFonts w:cs="Times New Roman"/>
                <w:b w:val="0"/>
                <w:bCs/>
                <w:color w:val="auto"/>
              </w:rPr>
            </w:pPr>
            <w:r>
              <w:rPr>
                <w:rFonts w:cs="Times New Roman"/>
                <w:b w:val="0"/>
                <w:bCs/>
                <w:color w:val="auto"/>
              </w:rPr>
              <w:t>GW6</w:t>
            </w:r>
          </w:p>
        </w:tc>
        <w:tc>
          <w:tcPr>
            <w:tcW w:w="615" w:type="pct"/>
            <w:vAlign w:val="center"/>
          </w:tcPr>
          <w:p w14:paraId="1F5E013F">
            <w:pPr>
              <w:pStyle w:val="14"/>
              <w:rPr>
                <w:rFonts w:cs="Times New Roman"/>
                <w:b w:val="0"/>
                <w:bCs/>
                <w:color w:val="auto"/>
              </w:rPr>
            </w:pPr>
            <w:r>
              <w:rPr>
                <w:rFonts w:cs="Times New Roman"/>
                <w:b w:val="0"/>
                <w:bCs/>
                <w:color w:val="auto"/>
              </w:rPr>
              <w:t>7.96</w:t>
            </w:r>
          </w:p>
        </w:tc>
        <w:tc>
          <w:tcPr>
            <w:tcW w:w="607" w:type="pct"/>
            <w:vAlign w:val="center"/>
          </w:tcPr>
          <w:p w14:paraId="7462972A">
            <w:pPr>
              <w:pStyle w:val="14"/>
              <w:rPr>
                <w:rFonts w:cs="Times New Roman"/>
                <w:b w:val="0"/>
                <w:bCs/>
                <w:color w:val="auto"/>
              </w:rPr>
            </w:pPr>
            <w:r>
              <w:rPr>
                <w:rFonts w:cs="Times New Roman"/>
                <w:b w:val="0"/>
                <w:bCs/>
                <w:color w:val="auto"/>
              </w:rPr>
              <w:t>2.97</w:t>
            </w:r>
          </w:p>
        </w:tc>
        <w:tc>
          <w:tcPr>
            <w:tcW w:w="619" w:type="pct"/>
            <w:vAlign w:val="center"/>
          </w:tcPr>
          <w:p w14:paraId="054E18D4">
            <w:pPr>
              <w:pStyle w:val="14"/>
              <w:rPr>
                <w:rFonts w:cs="Times New Roman"/>
                <w:b w:val="0"/>
                <w:bCs/>
                <w:color w:val="auto"/>
              </w:rPr>
            </w:pPr>
            <w:r>
              <w:rPr>
                <w:rFonts w:cs="Times New Roman"/>
                <w:b w:val="0"/>
                <w:bCs/>
                <w:color w:val="auto"/>
              </w:rPr>
              <w:t>1.0</w:t>
            </w:r>
          </w:p>
        </w:tc>
        <w:tc>
          <w:tcPr>
            <w:tcW w:w="818" w:type="pct"/>
            <w:vAlign w:val="center"/>
          </w:tcPr>
          <w:p w14:paraId="201B2627">
            <w:pPr>
              <w:pStyle w:val="14"/>
              <w:rPr>
                <w:rFonts w:cs="Times New Roman"/>
                <w:b w:val="0"/>
                <w:bCs/>
                <w:color w:val="auto"/>
              </w:rPr>
            </w:pPr>
            <w:r>
              <w:rPr>
                <w:rFonts w:cs="Times New Roman"/>
                <w:b w:val="0"/>
                <w:bCs/>
                <w:color w:val="auto"/>
              </w:rPr>
              <w:t>1.36</w:t>
            </w:r>
          </w:p>
        </w:tc>
        <w:tc>
          <w:tcPr>
            <w:tcW w:w="655" w:type="pct"/>
            <w:vAlign w:val="center"/>
          </w:tcPr>
          <w:p w14:paraId="4C93754B">
            <w:pPr>
              <w:pStyle w:val="14"/>
              <w:rPr>
                <w:rFonts w:cs="Times New Roman"/>
                <w:b w:val="0"/>
                <w:bCs/>
                <w:color w:val="auto"/>
              </w:rPr>
            </w:pPr>
            <w:r>
              <w:rPr>
                <w:rFonts w:cs="Times New Roman"/>
                <w:b w:val="0"/>
                <w:bCs/>
                <w:color w:val="auto"/>
              </w:rPr>
              <w:t>/</w:t>
            </w:r>
          </w:p>
        </w:tc>
      </w:tr>
      <w:tr w14:paraId="1540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4D4E6214">
            <w:pPr>
              <w:pStyle w:val="14"/>
              <w:rPr>
                <w:rFonts w:cs="Times New Roman"/>
                <w:b w:val="0"/>
                <w:bCs/>
                <w:color w:val="auto"/>
              </w:rPr>
            </w:pPr>
          </w:p>
        </w:tc>
        <w:tc>
          <w:tcPr>
            <w:tcW w:w="1015" w:type="pct"/>
            <w:vAlign w:val="center"/>
          </w:tcPr>
          <w:p w14:paraId="53157EA5">
            <w:pPr>
              <w:pStyle w:val="14"/>
              <w:rPr>
                <w:rFonts w:cs="Times New Roman"/>
                <w:b w:val="0"/>
                <w:bCs/>
                <w:color w:val="auto"/>
              </w:rPr>
            </w:pPr>
            <w:r>
              <w:rPr>
                <w:rFonts w:cs="Times New Roman"/>
                <w:b w:val="0"/>
                <w:bCs/>
                <w:color w:val="auto"/>
              </w:rPr>
              <w:t>GW7</w:t>
            </w:r>
          </w:p>
        </w:tc>
        <w:tc>
          <w:tcPr>
            <w:tcW w:w="615" w:type="pct"/>
            <w:vAlign w:val="center"/>
          </w:tcPr>
          <w:p w14:paraId="7AA85090">
            <w:pPr>
              <w:pStyle w:val="14"/>
              <w:rPr>
                <w:rFonts w:cs="Times New Roman"/>
                <w:b w:val="0"/>
                <w:bCs/>
                <w:color w:val="auto"/>
              </w:rPr>
            </w:pPr>
            <w:r>
              <w:rPr>
                <w:rFonts w:cs="Times New Roman"/>
                <w:b w:val="0"/>
                <w:bCs/>
                <w:color w:val="auto"/>
              </w:rPr>
              <w:t>6.09</w:t>
            </w:r>
          </w:p>
        </w:tc>
        <w:tc>
          <w:tcPr>
            <w:tcW w:w="607" w:type="pct"/>
            <w:vAlign w:val="center"/>
          </w:tcPr>
          <w:p w14:paraId="26278F3D">
            <w:pPr>
              <w:pStyle w:val="14"/>
              <w:rPr>
                <w:rFonts w:cs="Times New Roman"/>
                <w:b w:val="0"/>
                <w:bCs/>
                <w:color w:val="auto"/>
              </w:rPr>
            </w:pPr>
            <w:r>
              <w:rPr>
                <w:rFonts w:cs="Times New Roman"/>
                <w:b w:val="0"/>
                <w:bCs/>
                <w:color w:val="auto"/>
              </w:rPr>
              <w:t>3.5</w:t>
            </w:r>
          </w:p>
        </w:tc>
        <w:tc>
          <w:tcPr>
            <w:tcW w:w="619" w:type="pct"/>
            <w:vAlign w:val="center"/>
          </w:tcPr>
          <w:p w14:paraId="56AED26D">
            <w:pPr>
              <w:pStyle w:val="14"/>
              <w:rPr>
                <w:rFonts w:cs="Times New Roman"/>
                <w:b w:val="0"/>
                <w:bCs/>
                <w:color w:val="auto"/>
              </w:rPr>
            </w:pPr>
            <w:r>
              <w:rPr>
                <w:rFonts w:cs="Times New Roman"/>
                <w:b w:val="0"/>
                <w:bCs/>
                <w:color w:val="auto"/>
              </w:rPr>
              <w:t>1.0</w:t>
            </w:r>
          </w:p>
        </w:tc>
        <w:tc>
          <w:tcPr>
            <w:tcW w:w="818" w:type="pct"/>
            <w:vAlign w:val="center"/>
          </w:tcPr>
          <w:p w14:paraId="0BCB9371">
            <w:pPr>
              <w:pStyle w:val="14"/>
              <w:rPr>
                <w:rFonts w:cs="Times New Roman"/>
                <w:b w:val="0"/>
                <w:bCs/>
                <w:color w:val="auto"/>
              </w:rPr>
            </w:pPr>
            <w:r>
              <w:rPr>
                <w:rFonts w:cs="Times New Roman"/>
                <w:b w:val="0"/>
                <w:bCs/>
                <w:color w:val="auto"/>
              </w:rPr>
              <w:t>2.61</w:t>
            </w:r>
          </w:p>
        </w:tc>
        <w:tc>
          <w:tcPr>
            <w:tcW w:w="655" w:type="pct"/>
            <w:vAlign w:val="center"/>
          </w:tcPr>
          <w:p w14:paraId="1BE4027C">
            <w:pPr>
              <w:pStyle w:val="14"/>
              <w:rPr>
                <w:rFonts w:cs="Times New Roman"/>
                <w:b w:val="0"/>
                <w:bCs/>
                <w:color w:val="auto"/>
              </w:rPr>
            </w:pPr>
            <w:r>
              <w:rPr>
                <w:rFonts w:cs="Times New Roman"/>
                <w:b w:val="0"/>
                <w:bCs/>
                <w:color w:val="auto"/>
              </w:rPr>
              <w:t>/</w:t>
            </w:r>
          </w:p>
        </w:tc>
      </w:tr>
      <w:tr w14:paraId="1D13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57C6D125">
            <w:pPr>
              <w:pStyle w:val="14"/>
              <w:rPr>
                <w:rFonts w:cs="Times New Roman"/>
                <w:b w:val="0"/>
                <w:bCs/>
                <w:color w:val="auto"/>
              </w:rPr>
            </w:pPr>
          </w:p>
        </w:tc>
        <w:tc>
          <w:tcPr>
            <w:tcW w:w="1015" w:type="pct"/>
            <w:vAlign w:val="center"/>
          </w:tcPr>
          <w:p w14:paraId="0152702E">
            <w:pPr>
              <w:pStyle w:val="14"/>
              <w:rPr>
                <w:rFonts w:cs="Times New Roman"/>
                <w:b w:val="0"/>
                <w:bCs/>
                <w:color w:val="auto"/>
              </w:rPr>
            </w:pPr>
            <w:r>
              <w:rPr>
                <w:rFonts w:cs="Times New Roman"/>
                <w:b w:val="0"/>
                <w:bCs/>
                <w:color w:val="auto"/>
              </w:rPr>
              <w:t>GW8</w:t>
            </w:r>
          </w:p>
        </w:tc>
        <w:tc>
          <w:tcPr>
            <w:tcW w:w="615" w:type="pct"/>
            <w:vAlign w:val="center"/>
          </w:tcPr>
          <w:p w14:paraId="52A6523A">
            <w:pPr>
              <w:pStyle w:val="14"/>
              <w:rPr>
                <w:rFonts w:cs="Times New Roman"/>
                <w:b w:val="0"/>
                <w:bCs/>
                <w:color w:val="auto"/>
              </w:rPr>
            </w:pPr>
            <w:r>
              <w:rPr>
                <w:rFonts w:cs="Times New Roman"/>
                <w:b w:val="0"/>
                <w:bCs/>
                <w:color w:val="auto"/>
              </w:rPr>
              <w:t>8.42</w:t>
            </w:r>
          </w:p>
        </w:tc>
        <w:tc>
          <w:tcPr>
            <w:tcW w:w="607" w:type="pct"/>
            <w:vAlign w:val="center"/>
          </w:tcPr>
          <w:p w14:paraId="51AD59C8">
            <w:pPr>
              <w:pStyle w:val="14"/>
              <w:rPr>
                <w:rFonts w:cs="Times New Roman"/>
                <w:b w:val="0"/>
                <w:bCs/>
                <w:color w:val="auto"/>
              </w:rPr>
            </w:pPr>
            <w:r>
              <w:rPr>
                <w:rFonts w:cs="Times New Roman"/>
                <w:b w:val="0"/>
                <w:bCs/>
                <w:color w:val="auto"/>
              </w:rPr>
              <w:t>2.46</w:t>
            </w:r>
          </w:p>
        </w:tc>
        <w:tc>
          <w:tcPr>
            <w:tcW w:w="619" w:type="pct"/>
            <w:vAlign w:val="center"/>
          </w:tcPr>
          <w:p w14:paraId="025A2361">
            <w:pPr>
              <w:pStyle w:val="14"/>
              <w:rPr>
                <w:rFonts w:cs="Times New Roman"/>
                <w:b w:val="0"/>
                <w:bCs/>
                <w:color w:val="auto"/>
              </w:rPr>
            </w:pPr>
            <w:r>
              <w:rPr>
                <w:rFonts w:cs="Times New Roman"/>
                <w:b w:val="0"/>
                <w:bCs/>
                <w:color w:val="auto"/>
              </w:rPr>
              <w:t>1.0</w:t>
            </w:r>
          </w:p>
        </w:tc>
        <w:tc>
          <w:tcPr>
            <w:tcW w:w="818" w:type="pct"/>
            <w:vAlign w:val="center"/>
          </w:tcPr>
          <w:p w14:paraId="570BEBEC">
            <w:pPr>
              <w:pStyle w:val="14"/>
              <w:rPr>
                <w:rFonts w:cs="Times New Roman"/>
                <w:b w:val="0"/>
                <w:bCs/>
                <w:color w:val="auto"/>
              </w:rPr>
            </w:pPr>
            <w:r>
              <w:rPr>
                <w:rFonts w:cs="Times New Roman"/>
                <w:b w:val="0"/>
                <w:bCs/>
                <w:color w:val="auto"/>
              </w:rPr>
              <w:t>0.69</w:t>
            </w:r>
          </w:p>
        </w:tc>
        <w:tc>
          <w:tcPr>
            <w:tcW w:w="655" w:type="pct"/>
            <w:vAlign w:val="center"/>
          </w:tcPr>
          <w:p w14:paraId="7F66929A">
            <w:pPr>
              <w:pStyle w:val="14"/>
              <w:rPr>
                <w:rFonts w:cs="Times New Roman"/>
                <w:b w:val="0"/>
                <w:bCs/>
                <w:color w:val="auto"/>
              </w:rPr>
            </w:pPr>
            <w:r>
              <w:rPr>
                <w:rFonts w:cs="Times New Roman"/>
                <w:b w:val="0"/>
                <w:bCs/>
                <w:color w:val="auto"/>
              </w:rPr>
              <w:t>/</w:t>
            </w:r>
          </w:p>
        </w:tc>
      </w:tr>
      <w:tr w14:paraId="1042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restart"/>
            <w:vAlign w:val="center"/>
          </w:tcPr>
          <w:p w14:paraId="0016D963">
            <w:pPr>
              <w:pStyle w:val="14"/>
              <w:rPr>
                <w:rFonts w:cs="Times New Roman"/>
                <w:b w:val="0"/>
                <w:bCs/>
                <w:color w:val="auto"/>
              </w:rPr>
            </w:pPr>
            <w:r>
              <w:rPr>
                <w:rFonts w:cs="Times New Roman"/>
                <w:b w:val="0"/>
                <w:bCs/>
                <w:color w:val="auto"/>
              </w:rPr>
              <w:t>2024.05.11</w:t>
            </w:r>
          </w:p>
        </w:tc>
        <w:tc>
          <w:tcPr>
            <w:tcW w:w="1015" w:type="pct"/>
            <w:vAlign w:val="center"/>
          </w:tcPr>
          <w:p w14:paraId="079E6629">
            <w:pPr>
              <w:pStyle w:val="14"/>
              <w:rPr>
                <w:rFonts w:cs="Times New Roman"/>
                <w:b w:val="0"/>
                <w:bCs/>
                <w:color w:val="auto"/>
              </w:rPr>
            </w:pPr>
            <w:r>
              <w:rPr>
                <w:rFonts w:cs="Times New Roman"/>
                <w:b w:val="0"/>
                <w:bCs/>
                <w:color w:val="auto"/>
              </w:rPr>
              <w:t>GW9</w:t>
            </w:r>
          </w:p>
        </w:tc>
        <w:tc>
          <w:tcPr>
            <w:tcW w:w="615" w:type="pct"/>
            <w:vAlign w:val="center"/>
          </w:tcPr>
          <w:p w14:paraId="62C1F967">
            <w:pPr>
              <w:pStyle w:val="14"/>
              <w:rPr>
                <w:rFonts w:cs="Times New Roman"/>
                <w:b w:val="0"/>
                <w:bCs/>
                <w:color w:val="auto"/>
              </w:rPr>
            </w:pPr>
            <w:r>
              <w:rPr>
                <w:rFonts w:cs="Times New Roman"/>
                <w:b w:val="0"/>
                <w:bCs/>
                <w:color w:val="auto"/>
              </w:rPr>
              <w:t>8.41</w:t>
            </w:r>
          </w:p>
        </w:tc>
        <w:tc>
          <w:tcPr>
            <w:tcW w:w="607" w:type="pct"/>
            <w:vAlign w:val="center"/>
          </w:tcPr>
          <w:p w14:paraId="4689C8FE">
            <w:pPr>
              <w:pStyle w:val="14"/>
              <w:rPr>
                <w:rFonts w:cs="Times New Roman"/>
                <w:b w:val="0"/>
                <w:bCs/>
                <w:color w:val="auto"/>
              </w:rPr>
            </w:pPr>
            <w:r>
              <w:rPr>
                <w:rFonts w:cs="Times New Roman"/>
                <w:b w:val="0"/>
                <w:bCs/>
                <w:color w:val="auto"/>
              </w:rPr>
              <w:t>1.15</w:t>
            </w:r>
          </w:p>
        </w:tc>
        <w:tc>
          <w:tcPr>
            <w:tcW w:w="619" w:type="pct"/>
            <w:vAlign w:val="center"/>
          </w:tcPr>
          <w:p w14:paraId="2EF0811B">
            <w:pPr>
              <w:pStyle w:val="14"/>
              <w:rPr>
                <w:rFonts w:cs="Times New Roman"/>
                <w:b w:val="0"/>
                <w:bCs/>
                <w:color w:val="auto"/>
              </w:rPr>
            </w:pPr>
            <w:r>
              <w:rPr>
                <w:rFonts w:cs="Times New Roman"/>
                <w:b w:val="0"/>
                <w:bCs/>
                <w:color w:val="auto"/>
              </w:rPr>
              <w:t>1.0</w:t>
            </w:r>
          </w:p>
        </w:tc>
        <w:tc>
          <w:tcPr>
            <w:tcW w:w="818" w:type="pct"/>
            <w:vAlign w:val="center"/>
          </w:tcPr>
          <w:p w14:paraId="5B95B190">
            <w:pPr>
              <w:pStyle w:val="14"/>
              <w:rPr>
                <w:rFonts w:cs="Times New Roman"/>
                <w:b w:val="0"/>
                <w:bCs/>
                <w:color w:val="auto"/>
              </w:rPr>
            </w:pPr>
            <w:r>
              <w:rPr>
                <w:rFonts w:cs="Times New Roman"/>
                <w:b w:val="0"/>
                <w:bCs/>
                <w:color w:val="auto"/>
              </w:rPr>
              <w:t>3.10</w:t>
            </w:r>
          </w:p>
        </w:tc>
        <w:tc>
          <w:tcPr>
            <w:tcW w:w="655" w:type="pct"/>
            <w:vAlign w:val="center"/>
          </w:tcPr>
          <w:p w14:paraId="18C9C977">
            <w:pPr>
              <w:pStyle w:val="14"/>
              <w:rPr>
                <w:rFonts w:cs="Times New Roman"/>
                <w:b w:val="0"/>
                <w:bCs/>
                <w:color w:val="auto"/>
              </w:rPr>
            </w:pPr>
            <w:r>
              <w:rPr>
                <w:rFonts w:cs="Times New Roman"/>
                <w:b w:val="0"/>
                <w:bCs/>
                <w:color w:val="auto"/>
              </w:rPr>
              <w:t>9.56</w:t>
            </w:r>
          </w:p>
        </w:tc>
      </w:tr>
      <w:tr w14:paraId="74EA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66" w:type="pct"/>
            <w:vMerge w:val="continue"/>
            <w:vAlign w:val="center"/>
          </w:tcPr>
          <w:p w14:paraId="67064A9C">
            <w:pPr>
              <w:pStyle w:val="14"/>
              <w:rPr>
                <w:rFonts w:cs="Times New Roman"/>
                <w:b w:val="0"/>
                <w:bCs/>
                <w:color w:val="auto"/>
              </w:rPr>
            </w:pPr>
          </w:p>
        </w:tc>
        <w:tc>
          <w:tcPr>
            <w:tcW w:w="1015" w:type="pct"/>
            <w:vAlign w:val="center"/>
          </w:tcPr>
          <w:p w14:paraId="77693216">
            <w:pPr>
              <w:pStyle w:val="14"/>
              <w:rPr>
                <w:rFonts w:cs="Times New Roman"/>
                <w:b w:val="0"/>
                <w:bCs/>
                <w:color w:val="auto"/>
              </w:rPr>
            </w:pPr>
            <w:r>
              <w:rPr>
                <w:rFonts w:cs="Times New Roman"/>
                <w:b w:val="0"/>
                <w:bCs/>
                <w:color w:val="auto"/>
              </w:rPr>
              <w:t>GW10</w:t>
            </w:r>
          </w:p>
        </w:tc>
        <w:tc>
          <w:tcPr>
            <w:tcW w:w="615" w:type="pct"/>
            <w:vAlign w:val="center"/>
          </w:tcPr>
          <w:p w14:paraId="19B37A05">
            <w:pPr>
              <w:pStyle w:val="78"/>
              <w:rPr>
                <w:rFonts w:cs="Times New Roman"/>
              </w:rPr>
            </w:pPr>
            <w:r>
              <w:rPr>
                <w:rFonts w:cs="Times New Roman"/>
              </w:rPr>
              <w:t>10.42</w:t>
            </w:r>
          </w:p>
        </w:tc>
        <w:tc>
          <w:tcPr>
            <w:tcW w:w="607" w:type="pct"/>
            <w:vAlign w:val="center"/>
          </w:tcPr>
          <w:p w14:paraId="155CC765">
            <w:pPr>
              <w:pStyle w:val="78"/>
              <w:rPr>
                <w:rFonts w:cs="Times New Roman"/>
              </w:rPr>
            </w:pPr>
            <w:r>
              <w:rPr>
                <w:rFonts w:cs="Times New Roman"/>
              </w:rPr>
              <w:t>1.24</w:t>
            </w:r>
          </w:p>
        </w:tc>
        <w:tc>
          <w:tcPr>
            <w:tcW w:w="619" w:type="pct"/>
            <w:vAlign w:val="center"/>
          </w:tcPr>
          <w:p w14:paraId="235A1C4D">
            <w:pPr>
              <w:pStyle w:val="78"/>
              <w:rPr>
                <w:rFonts w:cs="Times New Roman"/>
              </w:rPr>
            </w:pPr>
            <w:r>
              <w:rPr>
                <w:rFonts w:cs="Times New Roman"/>
              </w:rPr>
              <w:t>1</w:t>
            </w:r>
          </w:p>
        </w:tc>
        <w:tc>
          <w:tcPr>
            <w:tcW w:w="818" w:type="pct"/>
            <w:vAlign w:val="center"/>
          </w:tcPr>
          <w:p w14:paraId="52FC68B3">
            <w:pPr>
              <w:pStyle w:val="78"/>
              <w:rPr>
                <w:rFonts w:cs="Times New Roman"/>
              </w:rPr>
            </w:pPr>
            <w:r>
              <w:rPr>
                <w:rFonts w:cs="Times New Roman"/>
              </w:rPr>
              <w:t>3.35</w:t>
            </w:r>
          </w:p>
        </w:tc>
        <w:tc>
          <w:tcPr>
            <w:tcW w:w="655" w:type="pct"/>
            <w:vAlign w:val="center"/>
          </w:tcPr>
          <w:p w14:paraId="384973BE">
            <w:pPr>
              <w:pStyle w:val="78"/>
              <w:rPr>
                <w:rFonts w:cs="Times New Roman"/>
              </w:rPr>
            </w:pPr>
            <w:r>
              <w:rPr>
                <w:rFonts w:cs="Times New Roman"/>
              </w:rPr>
              <w:t>11.66</w:t>
            </w:r>
          </w:p>
        </w:tc>
      </w:tr>
    </w:tbl>
    <w:p w14:paraId="544B00D1">
      <w:pPr>
        <w:pStyle w:val="3"/>
        <w:ind w:firstLine="482"/>
        <w:rPr>
          <w:b/>
        </w:rPr>
      </w:pPr>
      <w:r>
        <w:rPr>
          <w:b/>
        </w:rPr>
        <w:t>2、地下水水质监测结果</w:t>
      </w:r>
    </w:p>
    <w:p w14:paraId="4CBB59E0">
      <w:pPr>
        <w:pStyle w:val="3"/>
        <w:ind w:firstLine="480"/>
      </w:pPr>
      <w:r>
        <w:t>地下水环境质量现状监测结果见</w:t>
      </w:r>
      <w:r>
        <w:fldChar w:fldCharType="begin"/>
      </w:r>
      <w:r>
        <w:instrText xml:space="preserve"> REF _Ref145696566 \h  \* MERGEFORMAT </w:instrText>
      </w:r>
      <w:r>
        <w:fldChar w:fldCharType="separate"/>
      </w:r>
    </w:p>
    <w:p w14:paraId="19AB2B26">
      <w:pPr>
        <w:pStyle w:val="3"/>
        <w:ind w:firstLine="480"/>
      </w:pPr>
      <w:r>
        <w:t>表 2.7</w:t>
      </w:r>
      <w:r>
        <w:noBreakHyphen/>
      </w:r>
      <w:r>
        <w:t>5</w:t>
      </w:r>
      <w:r>
        <w:fldChar w:fldCharType="end"/>
      </w:r>
      <w:r>
        <w:t>~</w:t>
      </w:r>
      <w:r>
        <w:fldChar w:fldCharType="begin"/>
      </w:r>
      <w:r>
        <w:instrText xml:space="preserve"> REF _Ref9579 \h  \* MERGEFORMAT </w:instrText>
      </w:r>
      <w:r>
        <w:fldChar w:fldCharType="separate"/>
      </w:r>
      <w:r>
        <w:t>表 2.7</w:t>
      </w:r>
      <w:r>
        <w:noBreakHyphen/>
      </w:r>
      <w:r>
        <w:t>8</w:t>
      </w:r>
      <w:r>
        <w:fldChar w:fldCharType="end"/>
      </w:r>
      <w:r>
        <w:t>，各监测因子单项标准指数计算结果具体见</w:t>
      </w:r>
      <w:r>
        <w:fldChar w:fldCharType="begin"/>
      </w:r>
      <w:r>
        <w:instrText xml:space="preserve"> REF _Ref9605 \h  \* MERGEFORMAT </w:instrText>
      </w:r>
      <w:r>
        <w:fldChar w:fldCharType="separate"/>
      </w:r>
      <w:r>
        <w:t>表 2.7</w:t>
      </w:r>
      <w:r>
        <w:noBreakHyphen/>
      </w:r>
      <w:r>
        <w:t>9</w:t>
      </w:r>
      <w:r>
        <w:fldChar w:fldCharType="end"/>
      </w:r>
      <w:r>
        <w:t>~表4.7-14。</w:t>
      </w:r>
      <w:bookmarkStart w:id="47" w:name="_Ref145696566"/>
    </w:p>
    <w:p w14:paraId="56A316B6">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5</w:t>
      </w:r>
      <w:r>
        <w:rPr>
          <w:rFonts w:cs="Times New Roman"/>
          <w:color w:val="auto"/>
        </w:rPr>
        <w:fldChar w:fldCharType="end"/>
      </w:r>
      <w:bookmarkEnd w:id="47"/>
      <w:r>
        <w:rPr>
          <w:rFonts w:cs="Times New Roman"/>
          <w:color w:val="auto"/>
        </w:rPr>
        <w:t xml:space="preserve"> 地下水环境质量现状监测结果（U5）</w:t>
      </w:r>
    </w:p>
    <w:tbl>
      <w:tblPr>
        <w:tblStyle w:val="41"/>
        <w:tblW w:w="5000" w:type="pct"/>
        <w:jc w:val="center"/>
        <w:tblLayout w:type="autofit"/>
        <w:tblCellMar>
          <w:top w:w="0" w:type="dxa"/>
          <w:left w:w="108" w:type="dxa"/>
          <w:bottom w:w="0" w:type="dxa"/>
          <w:right w:w="108" w:type="dxa"/>
        </w:tblCellMar>
      </w:tblPr>
      <w:tblGrid>
        <w:gridCol w:w="3155"/>
        <w:gridCol w:w="3615"/>
        <w:gridCol w:w="1950"/>
      </w:tblGrid>
      <w:tr w14:paraId="3DB2BA41">
        <w:tblPrEx>
          <w:tblCellMar>
            <w:top w:w="0" w:type="dxa"/>
            <w:left w:w="108" w:type="dxa"/>
            <w:bottom w:w="0" w:type="dxa"/>
            <w:right w:w="108" w:type="dxa"/>
          </w:tblCellMar>
        </w:tblPrEx>
        <w:trPr>
          <w:trHeight w:val="603" w:hRule="atLeast"/>
          <w:tblHeader/>
          <w:jc w:val="center"/>
        </w:trPr>
        <w:tc>
          <w:tcPr>
            <w:tcW w:w="1809" w:type="pct"/>
            <w:tcBorders>
              <w:top w:val="single" w:color="000000" w:sz="8" w:space="0"/>
              <w:left w:val="single" w:color="000000" w:sz="8" w:space="0"/>
              <w:bottom w:val="single" w:color="000000" w:sz="8" w:space="0"/>
              <w:right w:val="single" w:color="000000" w:sz="8" w:space="0"/>
            </w:tcBorders>
            <w:vAlign w:val="center"/>
          </w:tcPr>
          <w:p w14:paraId="49AB3003">
            <w:pPr>
              <w:pStyle w:val="78"/>
              <w:rPr>
                <w:rFonts w:cs="Times New Roman"/>
                <w:b/>
                <w:bCs/>
              </w:rPr>
            </w:pPr>
            <w:r>
              <w:rPr>
                <w:rFonts w:cs="Times New Roman"/>
                <w:b/>
                <w:bCs/>
              </w:rPr>
              <w:t>监测点位</w:t>
            </w:r>
          </w:p>
        </w:tc>
        <w:tc>
          <w:tcPr>
            <w:tcW w:w="2073" w:type="pct"/>
            <w:tcBorders>
              <w:top w:val="single" w:color="000000" w:sz="8" w:space="0"/>
              <w:left w:val="single" w:color="000000" w:sz="8" w:space="0"/>
              <w:bottom w:val="single" w:color="000000" w:sz="8" w:space="0"/>
              <w:right w:val="single" w:color="000000" w:sz="8" w:space="0"/>
            </w:tcBorders>
            <w:vAlign w:val="center"/>
          </w:tcPr>
          <w:p w14:paraId="475DD282">
            <w:pPr>
              <w:pStyle w:val="78"/>
              <w:rPr>
                <w:rFonts w:cs="Times New Roman"/>
                <w:b/>
                <w:bCs/>
              </w:rPr>
            </w:pPr>
            <w:r>
              <w:rPr>
                <w:rFonts w:cs="Times New Roman"/>
                <w:b/>
                <w:bCs/>
              </w:rPr>
              <w:t>检测因子</w:t>
            </w:r>
          </w:p>
        </w:tc>
        <w:tc>
          <w:tcPr>
            <w:tcW w:w="1118" w:type="pct"/>
            <w:tcBorders>
              <w:top w:val="single" w:color="000000" w:sz="8" w:space="0"/>
              <w:left w:val="single" w:color="000000" w:sz="8" w:space="0"/>
              <w:bottom w:val="single" w:color="000000" w:sz="8" w:space="0"/>
              <w:right w:val="single" w:color="000000" w:sz="8" w:space="0"/>
            </w:tcBorders>
            <w:vAlign w:val="center"/>
          </w:tcPr>
          <w:p w14:paraId="7561A2E2">
            <w:pPr>
              <w:pStyle w:val="78"/>
              <w:rPr>
                <w:rFonts w:cs="Times New Roman"/>
                <w:b/>
                <w:bCs/>
              </w:rPr>
            </w:pPr>
            <w:r>
              <w:rPr>
                <w:rFonts w:cs="Times New Roman"/>
                <w:b/>
                <w:bCs/>
              </w:rPr>
              <w:t>检测浓度（mg/L）</w:t>
            </w:r>
          </w:p>
        </w:tc>
      </w:tr>
      <w:tr w14:paraId="17C65840">
        <w:tblPrEx>
          <w:tblCellMar>
            <w:top w:w="0" w:type="dxa"/>
            <w:left w:w="108" w:type="dxa"/>
            <w:bottom w:w="0" w:type="dxa"/>
            <w:right w:w="108" w:type="dxa"/>
          </w:tblCellMar>
        </w:tblPrEx>
        <w:trPr>
          <w:trHeight w:val="312" w:hRule="atLeast"/>
          <w:jc w:val="center"/>
        </w:trPr>
        <w:tc>
          <w:tcPr>
            <w:tcW w:w="1809" w:type="pct"/>
            <w:vMerge w:val="restart"/>
            <w:tcBorders>
              <w:top w:val="nil"/>
              <w:left w:val="single" w:color="auto" w:sz="4" w:space="0"/>
              <w:bottom w:val="single" w:color="000000" w:sz="8" w:space="0"/>
              <w:right w:val="single" w:color="000000" w:sz="8" w:space="0"/>
            </w:tcBorders>
            <w:vAlign w:val="center"/>
          </w:tcPr>
          <w:p w14:paraId="0CA016B9">
            <w:pPr>
              <w:pStyle w:val="78"/>
              <w:rPr>
                <w:rFonts w:cs="Times New Roman"/>
              </w:rPr>
            </w:pPr>
            <w:r>
              <w:rPr>
                <w:rFonts w:cs="Times New Roman"/>
              </w:rPr>
              <w:t>U5地下水</w:t>
            </w:r>
          </w:p>
        </w:tc>
        <w:tc>
          <w:tcPr>
            <w:tcW w:w="2073" w:type="pct"/>
            <w:tcBorders>
              <w:top w:val="nil"/>
              <w:left w:val="single" w:color="000000" w:sz="8" w:space="0"/>
              <w:bottom w:val="single" w:color="000000" w:sz="8" w:space="0"/>
              <w:right w:val="single" w:color="000000" w:sz="8" w:space="0"/>
            </w:tcBorders>
            <w:vAlign w:val="center"/>
          </w:tcPr>
          <w:p w14:paraId="74947924">
            <w:pPr>
              <w:pStyle w:val="78"/>
              <w:rPr>
                <w:rFonts w:cs="Times New Roman"/>
              </w:rPr>
            </w:pPr>
            <w:r>
              <w:rPr>
                <w:rFonts w:cs="Times New Roman"/>
              </w:rPr>
              <w:t>pH值（无量纲）</w:t>
            </w:r>
          </w:p>
        </w:tc>
        <w:tc>
          <w:tcPr>
            <w:tcW w:w="1118" w:type="pct"/>
            <w:tcBorders>
              <w:top w:val="nil"/>
              <w:left w:val="single" w:color="000000" w:sz="8" w:space="0"/>
              <w:bottom w:val="single" w:color="000000" w:sz="8" w:space="0"/>
              <w:right w:val="single" w:color="000000" w:sz="8" w:space="0"/>
            </w:tcBorders>
            <w:vAlign w:val="center"/>
          </w:tcPr>
          <w:p w14:paraId="7EF85448">
            <w:pPr>
              <w:pStyle w:val="78"/>
              <w:rPr>
                <w:rFonts w:cs="Times New Roman"/>
              </w:rPr>
            </w:pPr>
            <w:r>
              <w:rPr>
                <w:rFonts w:cs="Times New Roman"/>
              </w:rPr>
              <w:t>7</w:t>
            </w:r>
          </w:p>
        </w:tc>
      </w:tr>
      <w:tr w14:paraId="5A7CA8B7">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F346019">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bottom"/>
          </w:tcPr>
          <w:p w14:paraId="0757788D">
            <w:pPr>
              <w:pStyle w:val="78"/>
              <w:rPr>
                <w:rFonts w:cs="Times New Roman"/>
              </w:rPr>
            </w:pPr>
            <w:r>
              <w:rPr>
                <w:rFonts w:cs="Times New Roman"/>
              </w:rPr>
              <w:t>总硬度</w:t>
            </w:r>
          </w:p>
        </w:tc>
        <w:tc>
          <w:tcPr>
            <w:tcW w:w="1118" w:type="pct"/>
            <w:tcBorders>
              <w:top w:val="nil"/>
              <w:left w:val="single" w:color="000000" w:sz="8" w:space="0"/>
              <w:bottom w:val="single" w:color="000000" w:sz="8" w:space="0"/>
              <w:right w:val="single" w:color="000000" w:sz="8" w:space="0"/>
            </w:tcBorders>
            <w:vAlign w:val="center"/>
          </w:tcPr>
          <w:p w14:paraId="41B8680E">
            <w:pPr>
              <w:pStyle w:val="78"/>
              <w:rPr>
                <w:rFonts w:cs="Times New Roman"/>
              </w:rPr>
            </w:pPr>
            <w:r>
              <w:rPr>
                <w:rFonts w:cs="Times New Roman"/>
              </w:rPr>
              <w:t>10.5</w:t>
            </w:r>
          </w:p>
        </w:tc>
      </w:tr>
      <w:tr w14:paraId="70D79642">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B616731">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2C0C686">
            <w:pPr>
              <w:pStyle w:val="78"/>
              <w:rPr>
                <w:rFonts w:cs="Times New Roman"/>
              </w:rPr>
            </w:pPr>
            <w:r>
              <w:rPr>
                <w:rFonts w:cs="Times New Roman"/>
              </w:rPr>
              <w:t>溶解性固体总量</w:t>
            </w:r>
          </w:p>
        </w:tc>
        <w:tc>
          <w:tcPr>
            <w:tcW w:w="1118" w:type="pct"/>
            <w:tcBorders>
              <w:top w:val="nil"/>
              <w:left w:val="single" w:color="000000" w:sz="8" w:space="0"/>
              <w:bottom w:val="single" w:color="000000" w:sz="8" w:space="0"/>
              <w:right w:val="single" w:color="000000" w:sz="8" w:space="0"/>
            </w:tcBorders>
            <w:vAlign w:val="center"/>
          </w:tcPr>
          <w:p w14:paraId="188CE91C">
            <w:pPr>
              <w:pStyle w:val="78"/>
              <w:rPr>
                <w:rFonts w:cs="Times New Roman"/>
              </w:rPr>
            </w:pPr>
            <w:r>
              <w:rPr>
                <w:rFonts w:cs="Times New Roman"/>
              </w:rPr>
              <w:t>49</w:t>
            </w:r>
          </w:p>
        </w:tc>
      </w:tr>
      <w:tr w14:paraId="227E1A4F">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19AC5FEF">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04E91457">
            <w:pPr>
              <w:pStyle w:val="78"/>
              <w:rPr>
                <w:rFonts w:cs="Times New Roman"/>
              </w:rPr>
            </w:pPr>
            <w:r>
              <w:rPr>
                <w:rFonts w:cs="Times New Roman"/>
              </w:rPr>
              <w:t>氯化物</w:t>
            </w:r>
          </w:p>
        </w:tc>
        <w:tc>
          <w:tcPr>
            <w:tcW w:w="1118" w:type="pct"/>
            <w:tcBorders>
              <w:top w:val="nil"/>
              <w:left w:val="single" w:color="000000" w:sz="8" w:space="0"/>
              <w:bottom w:val="single" w:color="000000" w:sz="8" w:space="0"/>
              <w:right w:val="single" w:color="000000" w:sz="8" w:space="0"/>
            </w:tcBorders>
            <w:vAlign w:val="center"/>
          </w:tcPr>
          <w:p w14:paraId="7CBE1023">
            <w:pPr>
              <w:pStyle w:val="78"/>
              <w:rPr>
                <w:rFonts w:cs="Times New Roman"/>
              </w:rPr>
            </w:pPr>
            <w:r>
              <w:rPr>
                <w:rFonts w:cs="Times New Roman"/>
              </w:rPr>
              <w:t>12</w:t>
            </w:r>
          </w:p>
        </w:tc>
      </w:tr>
      <w:tr w14:paraId="4EEB39D8">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5AC40B76">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DF881A3">
            <w:pPr>
              <w:pStyle w:val="78"/>
              <w:rPr>
                <w:rFonts w:cs="Times New Roman"/>
              </w:rPr>
            </w:pPr>
            <w:r>
              <w:rPr>
                <w:rFonts w:cs="Times New Roman"/>
              </w:rPr>
              <w:t>硫酸盐</w:t>
            </w:r>
          </w:p>
        </w:tc>
        <w:tc>
          <w:tcPr>
            <w:tcW w:w="1118" w:type="pct"/>
            <w:tcBorders>
              <w:top w:val="nil"/>
              <w:left w:val="single" w:color="000000" w:sz="8" w:space="0"/>
              <w:bottom w:val="single" w:color="000000" w:sz="8" w:space="0"/>
              <w:right w:val="single" w:color="000000" w:sz="8" w:space="0"/>
            </w:tcBorders>
            <w:vAlign w:val="center"/>
          </w:tcPr>
          <w:p w14:paraId="319226E7">
            <w:pPr>
              <w:pStyle w:val="78"/>
              <w:rPr>
                <w:rFonts w:cs="Times New Roman"/>
              </w:rPr>
            </w:pPr>
            <w:r>
              <w:rPr>
                <w:rFonts w:cs="Times New Roman"/>
              </w:rPr>
              <w:t>1.6</w:t>
            </w:r>
          </w:p>
        </w:tc>
      </w:tr>
      <w:tr w14:paraId="62D38C69">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3116E9B6">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5710C794">
            <w:pPr>
              <w:pStyle w:val="78"/>
              <w:rPr>
                <w:rFonts w:cs="Times New Roman"/>
              </w:rPr>
            </w:pPr>
            <w:r>
              <w:rPr>
                <w:rFonts w:cs="Times New Roman"/>
              </w:rPr>
              <w:t>氨氮</w:t>
            </w:r>
          </w:p>
        </w:tc>
        <w:tc>
          <w:tcPr>
            <w:tcW w:w="1118" w:type="pct"/>
            <w:tcBorders>
              <w:top w:val="nil"/>
              <w:left w:val="single" w:color="000000" w:sz="8" w:space="0"/>
              <w:bottom w:val="single" w:color="000000" w:sz="8" w:space="0"/>
              <w:right w:val="single" w:color="000000" w:sz="8" w:space="0"/>
            </w:tcBorders>
            <w:vAlign w:val="center"/>
          </w:tcPr>
          <w:p w14:paraId="39C55826">
            <w:pPr>
              <w:pStyle w:val="78"/>
              <w:rPr>
                <w:rFonts w:cs="Times New Roman"/>
              </w:rPr>
            </w:pPr>
            <w:r>
              <w:rPr>
                <w:rFonts w:cs="Times New Roman"/>
              </w:rPr>
              <w:t>0.053</w:t>
            </w:r>
          </w:p>
        </w:tc>
      </w:tr>
      <w:tr w14:paraId="2F9C99A7">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68BE737B">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D611FA1">
            <w:pPr>
              <w:pStyle w:val="78"/>
              <w:rPr>
                <w:rFonts w:cs="Times New Roman"/>
              </w:rPr>
            </w:pPr>
            <w:r>
              <w:rPr>
                <w:rFonts w:cs="Times New Roman"/>
              </w:rPr>
              <w:t>硝酸盐氮</w:t>
            </w:r>
          </w:p>
        </w:tc>
        <w:tc>
          <w:tcPr>
            <w:tcW w:w="1118" w:type="pct"/>
            <w:tcBorders>
              <w:top w:val="nil"/>
              <w:left w:val="single" w:color="000000" w:sz="8" w:space="0"/>
              <w:bottom w:val="single" w:color="000000" w:sz="8" w:space="0"/>
              <w:right w:val="single" w:color="000000" w:sz="8" w:space="0"/>
            </w:tcBorders>
            <w:vAlign w:val="center"/>
          </w:tcPr>
          <w:p w14:paraId="42075D8C">
            <w:pPr>
              <w:pStyle w:val="78"/>
              <w:rPr>
                <w:rFonts w:cs="Times New Roman"/>
              </w:rPr>
            </w:pPr>
            <w:r>
              <w:rPr>
                <w:rFonts w:cs="Times New Roman"/>
              </w:rPr>
              <w:t>1.03</w:t>
            </w:r>
          </w:p>
        </w:tc>
      </w:tr>
      <w:tr w14:paraId="7496A4E8">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5BF74AF">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3CEC2F52">
            <w:pPr>
              <w:pStyle w:val="78"/>
              <w:rPr>
                <w:rFonts w:cs="Times New Roman"/>
              </w:rPr>
            </w:pPr>
            <w:r>
              <w:rPr>
                <w:rFonts w:cs="Times New Roman"/>
              </w:rPr>
              <w:t>亚硝酸盐氮</w:t>
            </w:r>
          </w:p>
        </w:tc>
        <w:tc>
          <w:tcPr>
            <w:tcW w:w="1118" w:type="pct"/>
            <w:tcBorders>
              <w:top w:val="nil"/>
              <w:left w:val="single" w:color="000000" w:sz="8" w:space="0"/>
              <w:bottom w:val="single" w:color="000000" w:sz="8" w:space="0"/>
              <w:right w:val="single" w:color="000000" w:sz="8" w:space="0"/>
            </w:tcBorders>
            <w:vAlign w:val="center"/>
          </w:tcPr>
          <w:p w14:paraId="4BE03D25">
            <w:pPr>
              <w:pStyle w:val="78"/>
              <w:rPr>
                <w:rFonts w:cs="Times New Roman"/>
              </w:rPr>
            </w:pPr>
            <w:r>
              <w:rPr>
                <w:rFonts w:cs="Times New Roman"/>
              </w:rPr>
              <w:t>0.008</w:t>
            </w:r>
          </w:p>
        </w:tc>
      </w:tr>
      <w:tr w14:paraId="613B80EA">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52414AC5">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DDE5663">
            <w:pPr>
              <w:pStyle w:val="78"/>
              <w:rPr>
                <w:rFonts w:cs="Times New Roman"/>
              </w:rPr>
            </w:pPr>
            <w:r>
              <w:rPr>
                <w:rFonts w:cs="Times New Roman"/>
              </w:rPr>
              <w:t>挥发酚</w:t>
            </w:r>
          </w:p>
        </w:tc>
        <w:tc>
          <w:tcPr>
            <w:tcW w:w="1118" w:type="pct"/>
            <w:tcBorders>
              <w:top w:val="nil"/>
              <w:left w:val="single" w:color="000000" w:sz="8" w:space="0"/>
              <w:bottom w:val="single" w:color="000000" w:sz="8" w:space="0"/>
              <w:right w:val="single" w:color="000000" w:sz="8" w:space="0"/>
            </w:tcBorders>
            <w:vAlign w:val="center"/>
          </w:tcPr>
          <w:p w14:paraId="45A4E03E">
            <w:pPr>
              <w:pStyle w:val="78"/>
              <w:rPr>
                <w:rFonts w:cs="Times New Roman"/>
              </w:rPr>
            </w:pPr>
            <w:r>
              <w:rPr>
                <w:rFonts w:cs="Times New Roman"/>
              </w:rPr>
              <w:t>ND</w:t>
            </w:r>
          </w:p>
        </w:tc>
      </w:tr>
      <w:tr w14:paraId="356616A7">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42CD7B68">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0041BEC">
            <w:pPr>
              <w:pStyle w:val="78"/>
              <w:rPr>
                <w:rFonts w:cs="Times New Roman"/>
              </w:rPr>
            </w:pPr>
            <w:r>
              <w:rPr>
                <w:rFonts w:cs="Times New Roman"/>
              </w:rPr>
              <w:t>硫化物</w:t>
            </w:r>
          </w:p>
        </w:tc>
        <w:tc>
          <w:tcPr>
            <w:tcW w:w="1118" w:type="pct"/>
            <w:tcBorders>
              <w:top w:val="nil"/>
              <w:left w:val="single" w:color="000000" w:sz="8" w:space="0"/>
              <w:bottom w:val="single" w:color="000000" w:sz="8" w:space="0"/>
              <w:right w:val="single" w:color="000000" w:sz="8" w:space="0"/>
            </w:tcBorders>
            <w:vAlign w:val="center"/>
          </w:tcPr>
          <w:p w14:paraId="18B01018">
            <w:pPr>
              <w:pStyle w:val="78"/>
              <w:rPr>
                <w:rFonts w:cs="Times New Roman"/>
              </w:rPr>
            </w:pPr>
            <w:r>
              <w:rPr>
                <w:rFonts w:cs="Times New Roman"/>
              </w:rPr>
              <w:t>ND</w:t>
            </w:r>
          </w:p>
        </w:tc>
      </w:tr>
      <w:tr w14:paraId="32CB3037">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87FC568">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8C4FE39">
            <w:pPr>
              <w:pStyle w:val="78"/>
              <w:rPr>
                <w:rFonts w:cs="Times New Roman"/>
              </w:rPr>
            </w:pPr>
            <w:r>
              <w:rPr>
                <w:rFonts w:cs="Times New Roman"/>
              </w:rPr>
              <w:t>氰化物</w:t>
            </w:r>
          </w:p>
        </w:tc>
        <w:tc>
          <w:tcPr>
            <w:tcW w:w="1118" w:type="pct"/>
            <w:tcBorders>
              <w:top w:val="nil"/>
              <w:left w:val="single" w:color="000000" w:sz="8" w:space="0"/>
              <w:bottom w:val="single" w:color="000000" w:sz="8" w:space="0"/>
              <w:right w:val="single" w:color="000000" w:sz="8" w:space="0"/>
            </w:tcBorders>
            <w:vAlign w:val="center"/>
          </w:tcPr>
          <w:p w14:paraId="4859A992">
            <w:pPr>
              <w:pStyle w:val="78"/>
              <w:rPr>
                <w:rFonts w:cs="Times New Roman"/>
              </w:rPr>
            </w:pPr>
            <w:r>
              <w:rPr>
                <w:rFonts w:cs="Times New Roman"/>
              </w:rPr>
              <w:t>ND</w:t>
            </w:r>
          </w:p>
        </w:tc>
      </w:tr>
      <w:tr w14:paraId="7B9442D4">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38057038">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3AEDDB3">
            <w:pPr>
              <w:pStyle w:val="78"/>
              <w:rPr>
                <w:rFonts w:cs="Times New Roman"/>
              </w:rPr>
            </w:pPr>
            <w:r>
              <w:rPr>
                <w:rFonts w:cs="Times New Roman"/>
              </w:rPr>
              <w:t>氟化物</w:t>
            </w:r>
          </w:p>
        </w:tc>
        <w:tc>
          <w:tcPr>
            <w:tcW w:w="1118" w:type="pct"/>
            <w:tcBorders>
              <w:top w:val="nil"/>
              <w:left w:val="single" w:color="000000" w:sz="8" w:space="0"/>
              <w:bottom w:val="single" w:color="000000" w:sz="8" w:space="0"/>
              <w:right w:val="single" w:color="000000" w:sz="8" w:space="0"/>
            </w:tcBorders>
            <w:vAlign w:val="center"/>
          </w:tcPr>
          <w:p w14:paraId="267BEF33">
            <w:pPr>
              <w:pStyle w:val="78"/>
              <w:rPr>
                <w:rFonts w:cs="Times New Roman"/>
              </w:rPr>
            </w:pPr>
            <w:r>
              <w:rPr>
                <w:rFonts w:cs="Times New Roman"/>
              </w:rPr>
              <w:t>ND</w:t>
            </w:r>
          </w:p>
        </w:tc>
      </w:tr>
      <w:tr w14:paraId="56046FDB">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01D4ADEA">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572096E4">
            <w:pPr>
              <w:pStyle w:val="78"/>
              <w:rPr>
                <w:rFonts w:cs="Times New Roman"/>
              </w:rPr>
            </w:pPr>
            <w:r>
              <w:rPr>
                <w:rFonts w:cs="Times New Roman"/>
              </w:rPr>
              <w:t>阴离子表面活性剂</w:t>
            </w:r>
          </w:p>
        </w:tc>
        <w:tc>
          <w:tcPr>
            <w:tcW w:w="1118" w:type="pct"/>
            <w:tcBorders>
              <w:top w:val="nil"/>
              <w:left w:val="single" w:color="000000" w:sz="8" w:space="0"/>
              <w:bottom w:val="single" w:color="000000" w:sz="8" w:space="0"/>
              <w:right w:val="single" w:color="000000" w:sz="8" w:space="0"/>
            </w:tcBorders>
            <w:vAlign w:val="center"/>
          </w:tcPr>
          <w:p w14:paraId="18497B1B">
            <w:pPr>
              <w:pStyle w:val="78"/>
              <w:rPr>
                <w:rFonts w:cs="Times New Roman"/>
              </w:rPr>
            </w:pPr>
            <w:r>
              <w:rPr>
                <w:rFonts w:cs="Times New Roman"/>
              </w:rPr>
              <w:t>ND</w:t>
            </w:r>
          </w:p>
        </w:tc>
      </w:tr>
      <w:tr w14:paraId="7323790B">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0344157B">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65F8B8E4">
            <w:pPr>
              <w:pStyle w:val="78"/>
              <w:rPr>
                <w:rFonts w:cs="Times New Roman"/>
              </w:rPr>
            </w:pPr>
            <w:r>
              <w:rPr>
                <w:rFonts w:cs="Times New Roman"/>
              </w:rPr>
              <w:t>耗氧量</w:t>
            </w:r>
          </w:p>
        </w:tc>
        <w:tc>
          <w:tcPr>
            <w:tcW w:w="1118" w:type="pct"/>
            <w:tcBorders>
              <w:top w:val="nil"/>
              <w:left w:val="single" w:color="000000" w:sz="8" w:space="0"/>
              <w:bottom w:val="single" w:color="000000" w:sz="8" w:space="0"/>
              <w:right w:val="single" w:color="000000" w:sz="8" w:space="0"/>
            </w:tcBorders>
            <w:vAlign w:val="center"/>
          </w:tcPr>
          <w:p w14:paraId="11D9FF4A">
            <w:pPr>
              <w:pStyle w:val="78"/>
              <w:rPr>
                <w:rFonts w:cs="Times New Roman"/>
              </w:rPr>
            </w:pPr>
            <w:r>
              <w:rPr>
                <w:rFonts w:cs="Times New Roman"/>
              </w:rPr>
              <w:t>0.7</w:t>
            </w:r>
          </w:p>
        </w:tc>
      </w:tr>
      <w:tr w14:paraId="4150AC4D">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32E79FEC">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7AEEDD33">
            <w:pPr>
              <w:pStyle w:val="78"/>
              <w:rPr>
                <w:rFonts w:cs="Times New Roman"/>
              </w:rPr>
            </w:pPr>
            <w:r>
              <w:rPr>
                <w:rFonts w:cs="Times New Roman"/>
              </w:rPr>
              <w:t>总大肠菌群（MPN/L）</w:t>
            </w:r>
          </w:p>
        </w:tc>
        <w:tc>
          <w:tcPr>
            <w:tcW w:w="1118" w:type="pct"/>
            <w:tcBorders>
              <w:top w:val="nil"/>
              <w:left w:val="single" w:color="000000" w:sz="8" w:space="0"/>
              <w:bottom w:val="single" w:color="000000" w:sz="8" w:space="0"/>
              <w:right w:val="single" w:color="000000" w:sz="8" w:space="0"/>
            </w:tcBorders>
            <w:vAlign w:val="center"/>
          </w:tcPr>
          <w:p w14:paraId="38A8DDC5">
            <w:pPr>
              <w:pStyle w:val="78"/>
              <w:rPr>
                <w:rFonts w:cs="Times New Roman"/>
              </w:rPr>
            </w:pPr>
            <w:r>
              <w:rPr>
                <w:rFonts w:cs="Times New Roman"/>
              </w:rPr>
              <w:t>未检出</w:t>
            </w:r>
          </w:p>
        </w:tc>
      </w:tr>
      <w:tr w14:paraId="409B62CB">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4EEEE8BA">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3E6310D8">
            <w:pPr>
              <w:pStyle w:val="78"/>
              <w:rPr>
                <w:rFonts w:cs="Times New Roman"/>
              </w:rPr>
            </w:pPr>
            <w:r>
              <w:rPr>
                <w:rFonts w:cs="Times New Roman"/>
              </w:rPr>
              <w:t>菌落总数（CFU/mL）</w:t>
            </w:r>
          </w:p>
        </w:tc>
        <w:tc>
          <w:tcPr>
            <w:tcW w:w="1118" w:type="pct"/>
            <w:tcBorders>
              <w:top w:val="nil"/>
              <w:left w:val="single" w:color="000000" w:sz="8" w:space="0"/>
              <w:bottom w:val="single" w:color="000000" w:sz="8" w:space="0"/>
              <w:right w:val="single" w:color="000000" w:sz="8" w:space="0"/>
            </w:tcBorders>
            <w:vAlign w:val="center"/>
          </w:tcPr>
          <w:p w14:paraId="798A102C">
            <w:pPr>
              <w:pStyle w:val="78"/>
              <w:rPr>
                <w:rFonts w:cs="Times New Roman"/>
              </w:rPr>
            </w:pPr>
            <w:r>
              <w:rPr>
                <w:rFonts w:cs="Times New Roman"/>
              </w:rPr>
              <w:t>96</w:t>
            </w:r>
          </w:p>
        </w:tc>
      </w:tr>
      <w:tr w14:paraId="2A2F6B99">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429D47F">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73C9E24D">
            <w:pPr>
              <w:pStyle w:val="78"/>
              <w:rPr>
                <w:rFonts w:cs="Times New Roman"/>
              </w:rPr>
            </w:pPr>
            <w:r>
              <w:rPr>
                <w:rFonts w:cs="Times New Roman"/>
              </w:rPr>
              <w:t>碳酸根</w:t>
            </w:r>
          </w:p>
        </w:tc>
        <w:tc>
          <w:tcPr>
            <w:tcW w:w="1118" w:type="pct"/>
            <w:tcBorders>
              <w:top w:val="nil"/>
              <w:left w:val="single" w:color="000000" w:sz="8" w:space="0"/>
              <w:bottom w:val="single" w:color="000000" w:sz="8" w:space="0"/>
              <w:right w:val="single" w:color="000000" w:sz="8" w:space="0"/>
            </w:tcBorders>
            <w:vAlign w:val="center"/>
          </w:tcPr>
          <w:p w14:paraId="22FB9FD5">
            <w:pPr>
              <w:pStyle w:val="78"/>
              <w:rPr>
                <w:rFonts w:cs="Times New Roman"/>
              </w:rPr>
            </w:pPr>
            <w:r>
              <w:rPr>
                <w:rFonts w:cs="Times New Roman"/>
              </w:rPr>
              <w:t>ND</w:t>
            </w:r>
          </w:p>
        </w:tc>
      </w:tr>
      <w:tr w14:paraId="2FF28D55">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83F8F6A">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396DD69C">
            <w:pPr>
              <w:pStyle w:val="78"/>
              <w:rPr>
                <w:rFonts w:cs="Times New Roman"/>
              </w:rPr>
            </w:pPr>
            <w:r>
              <w:rPr>
                <w:rFonts w:cs="Times New Roman"/>
              </w:rPr>
              <w:t>重碳酸根</w:t>
            </w:r>
          </w:p>
        </w:tc>
        <w:tc>
          <w:tcPr>
            <w:tcW w:w="1118" w:type="pct"/>
            <w:tcBorders>
              <w:top w:val="nil"/>
              <w:left w:val="single" w:color="000000" w:sz="8" w:space="0"/>
              <w:bottom w:val="single" w:color="000000" w:sz="8" w:space="0"/>
              <w:right w:val="single" w:color="000000" w:sz="8" w:space="0"/>
            </w:tcBorders>
            <w:vAlign w:val="center"/>
          </w:tcPr>
          <w:p w14:paraId="45CEF750">
            <w:pPr>
              <w:pStyle w:val="78"/>
              <w:rPr>
                <w:rFonts w:cs="Times New Roman"/>
              </w:rPr>
            </w:pPr>
            <w:r>
              <w:rPr>
                <w:rFonts w:cs="Times New Roman"/>
              </w:rPr>
              <w:t>22</w:t>
            </w:r>
          </w:p>
        </w:tc>
      </w:tr>
      <w:tr w14:paraId="221E0BC8">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0724C47C">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8926AEB">
            <w:pPr>
              <w:pStyle w:val="78"/>
              <w:rPr>
                <w:rFonts w:cs="Times New Roman"/>
              </w:rPr>
            </w:pPr>
            <w:r>
              <w:rPr>
                <w:rFonts w:cs="Times New Roman"/>
              </w:rPr>
              <w:t>六价铬</w:t>
            </w:r>
          </w:p>
        </w:tc>
        <w:tc>
          <w:tcPr>
            <w:tcW w:w="1118" w:type="pct"/>
            <w:tcBorders>
              <w:top w:val="nil"/>
              <w:left w:val="single" w:color="000000" w:sz="8" w:space="0"/>
              <w:bottom w:val="single" w:color="000000" w:sz="8" w:space="0"/>
              <w:right w:val="single" w:color="000000" w:sz="8" w:space="0"/>
            </w:tcBorders>
            <w:vAlign w:val="center"/>
          </w:tcPr>
          <w:p w14:paraId="141C70BF">
            <w:pPr>
              <w:pStyle w:val="78"/>
              <w:rPr>
                <w:rFonts w:cs="Times New Roman"/>
              </w:rPr>
            </w:pPr>
            <w:r>
              <w:rPr>
                <w:rFonts w:cs="Times New Roman"/>
              </w:rPr>
              <w:t>ND</w:t>
            </w:r>
          </w:p>
        </w:tc>
      </w:tr>
      <w:tr w14:paraId="24DFAD1C">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5B6BA90">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7E202E61">
            <w:pPr>
              <w:pStyle w:val="78"/>
              <w:rPr>
                <w:rFonts w:cs="Times New Roman"/>
              </w:rPr>
            </w:pPr>
            <w:r>
              <w:rPr>
                <w:rFonts w:cs="Times New Roman"/>
              </w:rPr>
              <w:t>钠离子（Na</w:t>
            </w:r>
            <w:r>
              <w:rPr>
                <w:rFonts w:cs="Times New Roman"/>
                <w:vertAlign w:val="superscript"/>
              </w:rPr>
              <w:t>+</w:t>
            </w:r>
            <w:r>
              <w:rPr>
                <w:rFonts w:cs="Times New Roman"/>
              </w:rPr>
              <w:t>）</w:t>
            </w:r>
          </w:p>
        </w:tc>
        <w:tc>
          <w:tcPr>
            <w:tcW w:w="1118" w:type="pct"/>
            <w:tcBorders>
              <w:top w:val="nil"/>
              <w:left w:val="single" w:color="000000" w:sz="8" w:space="0"/>
              <w:bottom w:val="single" w:color="000000" w:sz="8" w:space="0"/>
              <w:right w:val="single" w:color="000000" w:sz="8" w:space="0"/>
            </w:tcBorders>
            <w:vAlign w:val="center"/>
          </w:tcPr>
          <w:p w14:paraId="33A03A0C">
            <w:pPr>
              <w:pStyle w:val="78"/>
              <w:rPr>
                <w:rFonts w:cs="Times New Roman"/>
              </w:rPr>
            </w:pPr>
            <w:r>
              <w:rPr>
                <w:rFonts w:cs="Times New Roman"/>
              </w:rPr>
              <w:t>9.8</w:t>
            </w:r>
          </w:p>
        </w:tc>
      </w:tr>
      <w:tr w14:paraId="50F9B2B9">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3400E157">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0D19C1A">
            <w:pPr>
              <w:pStyle w:val="78"/>
              <w:rPr>
                <w:rFonts w:cs="Times New Roman"/>
              </w:rPr>
            </w:pPr>
            <w:r>
              <w:rPr>
                <w:rFonts w:cs="Times New Roman"/>
              </w:rPr>
              <w:t>钾离子（K</w:t>
            </w:r>
            <w:r>
              <w:rPr>
                <w:rFonts w:cs="Times New Roman"/>
                <w:vertAlign w:val="superscript"/>
              </w:rPr>
              <w:t>+</w:t>
            </w:r>
            <w:r>
              <w:rPr>
                <w:rFonts w:cs="Times New Roman"/>
              </w:rPr>
              <w:t>）</w:t>
            </w:r>
          </w:p>
        </w:tc>
        <w:tc>
          <w:tcPr>
            <w:tcW w:w="1118" w:type="pct"/>
            <w:tcBorders>
              <w:top w:val="nil"/>
              <w:left w:val="single" w:color="000000" w:sz="8" w:space="0"/>
              <w:bottom w:val="single" w:color="000000" w:sz="8" w:space="0"/>
              <w:right w:val="single" w:color="000000" w:sz="8" w:space="0"/>
            </w:tcBorders>
            <w:vAlign w:val="center"/>
          </w:tcPr>
          <w:p w14:paraId="245E4E97">
            <w:pPr>
              <w:pStyle w:val="78"/>
              <w:rPr>
                <w:rFonts w:cs="Times New Roman"/>
              </w:rPr>
            </w:pPr>
            <w:r>
              <w:rPr>
                <w:rFonts w:cs="Times New Roman"/>
              </w:rPr>
              <w:t>3.66</w:t>
            </w:r>
          </w:p>
        </w:tc>
      </w:tr>
      <w:tr w14:paraId="032ECA6D">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164A4212">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39D55E5E">
            <w:pPr>
              <w:pStyle w:val="78"/>
              <w:rPr>
                <w:rFonts w:cs="Times New Roman"/>
              </w:rPr>
            </w:pPr>
            <w:r>
              <w:rPr>
                <w:rFonts w:cs="Times New Roman"/>
              </w:rPr>
              <w:t>镁离子（Mg</w:t>
            </w:r>
            <w:r>
              <w:rPr>
                <w:rFonts w:cs="Times New Roman"/>
                <w:vertAlign w:val="superscript"/>
              </w:rPr>
              <w:t>2+</w:t>
            </w:r>
            <w:r>
              <w:rPr>
                <w:rFonts w:cs="Times New Roman"/>
              </w:rPr>
              <w:t>）</w:t>
            </w:r>
          </w:p>
        </w:tc>
        <w:tc>
          <w:tcPr>
            <w:tcW w:w="1118" w:type="pct"/>
            <w:tcBorders>
              <w:top w:val="nil"/>
              <w:left w:val="single" w:color="000000" w:sz="8" w:space="0"/>
              <w:bottom w:val="single" w:color="000000" w:sz="8" w:space="0"/>
              <w:right w:val="single" w:color="000000" w:sz="8" w:space="0"/>
            </w:tcBorders>
            <w:vAlign w:val="center"/>
          </w:tcPr>
          <w:p w14:paraId="49920DF8">
            <w:pPr>
              <w:pStyle w:val="78"/>
              <w:rPr>
                <w:rFonts w:cs="Times New Roman"/>
              </w:rPr>
            </w:pPr>
            <w:r>
              <w:rPr>
                <w:rFonts w:cs="Times New Roman"/>
              </w:rPr>
              <w:t>1.18</w:t>
            </w:r>
          </w:p>
        </w:tc>
      </w:tr>
      <w:tr w14:paraId="316A9D8A">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35185738">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01D6CBDA">
            <w:pPr>
              <w:pStyle w:val="78"/>
              <w:rPr>
                <w:rFonts w:cs="Times New Roman"/>
              </w:rPr>
            </w:pPr>
            <w:r>
              <w:rPr>
                <w:rFonts w:cs="Times New Roman"/>
              </w:rPr>
              <w:t>钙离子（Ca</w:t>
            </w:r>
            <w:r>
              <w:rPr>
                <w:rFonts w:cs="Times New Roman"/>
                <w:vertAlign w:val="superscript"/>
              </w:rPr>
              <w:t>2+</w:t>
            </w:r>
            <w:r>
              <w:rPr>
                <w:rFonts w:cs="Times New Roman"/>
              </w:rPr>
              <w:t>）</w:t>
            </w:r>
          </w:p>
        </w:tc>
        <w:tc>
          <w:tcPr>
            <w:tcW w:w="1118" w:type="pct"/>
            <w:tcBorders>
              <w:top w:val="nil"/>
              <w:left w:val="single" w:color="000000" w:sz="8" w:space="0"/>
              <w:bottom w:val="single" w:color="000000" w:sz="8" w:space="0"/>
              <w:right w:val="single" w:color="000000" w:sz="8" w:space="0"/>
            </w:tcBorders>
            <w:vAlign w:val="center"/>
          </w:tcPr>
          <w:p w14:paraId="28571FC5">
            <w:pPr>
              <w:pStyle w:val="78"/>
              <w:rPr>
                <w:rFonts w:cs="Times New Roman"/>
              </w:rPr>
            </w:pPr>
            <w:r>
              <w:rPr>
                <w:rFonts w:cs="Times New Roman"/>
              </w:rPr>
              <w:t>1.57</w:t>
            </w:r>
          </w:p>
        </w:tc>
      </w:tr>
      <w:tr w14:paraId="66683CDE">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622A80DC">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139E6DF0">
            <w:pPr>
              <w:pStyle w:val="78"/>
              <w:rPr>
                <w:rFonts w:cs="Times New Roman"/>
              </w:rPr>
            </w:pPr>
            <w:r>
              <w:rPr>
                <w:rFonts w:cs="Times New Roman"/>
              </w:rPr>
              <w:t>铁</w:t>
            </w:r>
          </w:p>
        </w:tc>
        <w:tc>
          <w:tcPr>
            <w:tcW w:w="1118" w:type="pct"/>
            <w:tcBorders>
              <w:top w:val="nil"/>
              <w:left w:val="single" w:color="000000" w:sz="8" w:space="0"/>
              <w:bottom w:val="single" w:color="000000" w:sz="8" w:space="0"/>
              <w:right w:val="single" w:color="000000" w:sz="8" w:space="0"/>
            </w:tcBorders>
            <w:vAlign w:val="center"/>
          </w:tcPr>
          <w:p w14:paraId="3FEC46E3">
            <w:pPr>
              <w:pStyle w:val="78"/>
              <w:rPr>
                <w:rFonts w:cs="Times New Roman"/>
              </w:rPr>
            </w:pPr>
            <w:r>
              <w:rPr>
                <w:rFonts w:cs="Times New Roman"/>
              </w:rPr>
              <w:t>ND</w:t>
            </w:r>
          </w:p>
        </w:tc>
      </w:tr>
      <w:tr w14:paraId="5D80AE83">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47F3F8A6">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7596D6A3">
            <w:pPr>
              <w:pStyle w:val="78"/>
              <w:rPr>
                <w:rFonts w:cs="Times New Roman"/>
              </w:rPr>
            </w:pPr>
            <w:r>
              <w:rPr>
                <w:rFonts w:cs="Times New Roman"/>
              </w:rPr>
              <w:t>锰</w:t>
            </w:r>
          </w:p>
        </w:tc>
        <w:tc>
          <w:tcPr>
            <w:tcW w:w="1118" w:type="pct"/>
            <w:tcBorders>
              <w:top w:val="nil"/>
              <w:left w:val="single" w:color="000000" w:sz="8" w:space="0"/>
              <w:bottom w:val="single" w:color="000000" w:sz="8" w:space="0"/>
              <w:right w:val="single" w:color="000000" w:sz="8" w:space="0"/>
            </w:tcBorders>
            <w:vAlign w:val="center"/>
          </w:tcPr>
          <w:p w14:paraId="36B51F5B">
            <w:pPr>
              <w:pStyle w:val="78"/>
              <w:rPr>
                <w:rFonts w:cs="Times New Roman"/>
              </w:rPr>
            </w:pPr>
            <w:r>
              <w:rPr>
                <w:rFonts w:cs="Times New Roman"/>
              </w:rPr>
              <w:t>ND</w:t>
            </w:r>
          </w:p>
        </w:tc>
      </w:tr>
      <w:tr w14:paraId="41A355DD">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CB3CA3B">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08620FD4">
            <w:pPr>
              <w:pStyle w:val="78"/>
              <w:rPr>
                <w:rFonts w:cs="Times New Roman"/>
              </w:rPr>
            </w:pPr>
            <w:r>
              <w:rPr>
                <w:rFonts w:cs="Times New Roman"/>
              </w:rPr>
              <w:t>锌</w:t>
            </w:r>
          </w:p>
        </w:tc>
        <w:tc>
          <w:tcPr>
            <w:tcW w:w="1118" w:type="pct"/>
            <w:tcBorders>
              <w:top w:val="nil"/>
              <w:left w:val="single" w:color="000000" w:sz="8" w:space="0"/>
              <w:bottom w:val="single" w:color="000000" w:sz="8" w:space="0"/>
              <w:right w:val="single" w:color="000000" w:sz="8" w:space="0"/>
            </w:tcBorders>
            <w:vAlign w:val="center"/>
          </w:tcPr>
          <w:p w14:paraId="3505FC0D">
            <w:pPr>
              <w:pStyle w:val="78"/>
              <w:rPr>
                <w:rFonts w:cs="Times New Roman"/>
              </w:rPr>
            </w:pPr>
            <w:r>
              <w:rPr>
                <w:rFonts w:cs="Times New Roman"/>
              </w:rPr>
              <w:t>ND</w:t>
            </w:r>
          </w:p>
        </w:tc>
      </w:tr>
      <w:tr w14:paraId="5AB342FA">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3221E2A4">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590081DF">
            <w:pPr>
              <w:pStyle w:val="78"/>
              <w:rPr>
                <w:rFonts w:cs="Times New Roman"/>
              </w:rPr>
            </w:pPr>
            <w:r>
              <w:rPr>
                <w:rFonts w:cs="Times New Roman"/>
              </w:rPr>
              <w:t>铜</w:t>
            </w:r>
          </w:p>
        </w:tc>
        <w:tc>
          <w:tcPr>
            <w:tcW w:w="1118" w:type="pct"/>
            <w:tcBorders>
              <w:top w:val="nil"/>
              <w:left w:val="single" w:color="000000" w:sz="8" w:space="0"/>
              <w:bottom w:val="single" w:color="000000" w:sz="8" w:space="0"/>
              <w:right w:val="single" w:color="000000" w:sz="8" w:space="0"/>
            </w:tcBorders>
            <w:vAlign w:val="center"/>
          </w:tcPr>
          <w:p w14:paraId="03832F1E">
            <w:pPr>
              <w:pStyle w:val="78"/>
              <w:rPr>
                <w:rFonts w:cs="Times New Roman"/>
              </w:rPr>
            </w:pPr>
            <w:r>
              <w:rPr>
                <w:rFonts w:cs="Times New Roman"/>
              </w:rPr>
              <w:t>ND</w:t>
            </w:r>
          </w:p>
        </w:tc>
      </w:tr>
      <w:tr w14:paraId="557EA644">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A1D49B0">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40A0A8BF">
            <w:pPr>
              <w:pStyle w:val="78"/>
              <w:rPr>
                <w:rFonts w:cs="Times New Roman"/>
              </w:rPr>
            </w:pPr>
            <w:r>
              <w:rPr>
                <w:rFonts w:cs="Times New Roman"/>
              </w:rPr>
              <w:t>镍</w:t>
            </w:r>
          </w:p>
        </w:tc>
        <w:tc>
          <w:tcPr>
            <w:tcW w:w="1118" w:type="pct"/>
            <w:tcBorders>
              <w:top w:val="nil"/>
              <w:left w:val="single" w:color="000000" w:sz="8" w:space="0"/>
              <w:bottom w:val="single" w:color="000000" w:sz="8" w:space="0"/>
              <w:right w:val="single" w:color="000000" w:sz="8" w:space="0"/>
            </w:tcBorders>
            <w:vAlign w:val="center"/>
          </w:tcPr>
          <w:p w14:paraId="6E768FFC">
            <w:pPr>
              <w:pStyle w:val="78"/>
              <w:rPr>
                <w:rFonts w:cs="Times New Roman"/>
              </w:rPr>
            </w:pPr>
            <w:r>
              <w:rPr>
                <w:rFonts w:cs="Times New Roman"/>
              </w:rPr>
              <w:t>ND</w:t>
            </w:r>
          </w:p>
        </w:tc>
      </w:tr>
      <w:tr w14:paraId="7167BC36">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6BD51F2">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57FDA98C">
            <w:pPr>
              <w:pStyle w:val="78"/>
              <w:rPr>
                <w:rFonts w:cs="Times New Roman"/>
              </w:rPr>
            </w:pPr>
            <w:r>
              <w:rPr>
                <w:rFonts w:cs="Times New Roman"/>
              </w:rPr>
              <w:t>铝</w:t>
            </w:r>
          </w:p>
        </w:tc>
        <w:tc>
          <w:tcPr>
            <w:tcW w:w="1118" w:type="pct"/>
            <w:tcBorders>
              <w:top w:val="nil"/>
              <w:left w:val="single" w:color="000000" w:sz="8" w:space="0"/>
              <w:bottom w:val="single" w:color="000000" w:sz="8" w:space="0"/>
              <w:right w:val="single" w:color="000000" w:sz="8" w:space="0"/>
            </w:tcBorders>
            <w:vAlign w:val="center"/>
          </w:tcPr>
          <w:p w14:paraId="395E4AC8">
            <w:pPr>
              <w:pStyle w:val="78"/>
              <w:rPr>
                <w:rFonts w:cs="Times New Roman"/>
              </w:rPr>
            </w:pPr>
            <w:r>
              <w:rPr>
                <w:rFonts w:cs="Times New Roman"/>
              </w:rPr>
              <w:t>ND</w:t>
            </w:r>
          </w:p>
        </w:tc>
      </w:tr>
      <w:tr w14:paraId="3FFAD447">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33AC507D">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7498A266">
            <w:pPr>
              <w:pStyle w:val="78"/>
              <w:rPr>
                <w:rFonts w:cs="Times New Roman"/>
              </w:rPr>
            </w:pPr>
            <w:r>
              <w:rPr>
                <w:rFonts w:cs="Times New Roman"/>
              </w:rPr>
              <w:t>钒</w:t>
            </w:r>
          </w:p>
        </w:tc>
        <w:tc>
          <w:tcPr>
            <w:tcW w:w="1118" w:type="pct"/>
            <w:tcBorders>
              <w:top w:val="nil"/>
              <w:left w:val="single" w:color="000000" w:sz="8" w:space="0"/>
              <w:bottom w:val="single" w:color="000000" w:sz="8" w:space="0"/>
              <w:right w:val="single" w:color="000000" w:sz="8" w:space="0"/>
            </w:tcBorders>
            <w:vAlign w:val="center"/>
          </w:tcPr>
          <w:p w14:paraId="1E9B1ED7">
            <w:pPr>
              <w:pStyle w:val="78"/>
              <w:rPr>
                <w:rFonts w:cs="Times New Roman"/>
              </w:rPr>
            </w:pPr>
            <w:r>
              <w:rPr>
                <w:rFonts w:cs="Times New Roman"/>
              </w:rPr>
              <w:t>ND</w:t>
            </w:r>
          </w:p>
        </w:tc>
      </w:tr>
      <w:tr w14:paraId="2A2AA5A1">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14AE8E26">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078FFFEE">
            <w:pPr>
              <w:pStyle w:val="78"/>
              <w:rPr>
                <w:rFonts w:cs="Times New Roman"/>
              </w:rPr>
            </w:pPr>
            <w:r>
              <w:rPr>
                <w:rFonts w:cs="Times New Roman"/>
              </w:rPr>
              <w:t>钼</w:t>
            </w:r>
          </w:p>
        </w:tc>
        <w:tc>
          <w:tcPr>
            <w:tcW w:w="1118" w:type="pct"/>
            <w:tcBorders>
              <w:top w:val="nil"/>
              <w:left w:val="single" w:color="000000" w:sz="8" w:space="0"/>
              <w:bottom w:val="single" w:color="000000" w:sz="8" w:space="0"/>
              <w:right w:val="single" w:color="000000" w:sz="8" w:space="0"/>
            </w:tcBorders>
            <w:vAlign w:val="center"/>
          </w:tcPr>
          <w:p w14:paraId="3A5A02D0">
            <w:pPr>
              <w:pStyle w:val="78"/>
              <w:rPr>
                <w:rFonts w:cs="Times New Roman"/>
              </w:rPr>
            </w:pPr>
            <w:r>
              <w:rPr>
                <w:rFonts w:cs="Times New Roman"/>
              </w:rPr>
              <w:t>ND</w:t>
            </w:r>
          </w:p>
        </w:tc>
      </w:tr>
      <w:tr w14:paraId="207B9BDB">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4120D094">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2EE955C">
            <w:pPr>
              <w:pStyle w:val="78"/>
              <w:rPr>
                <w:rFonts w:cs="Times New Roman"/>
              </w:rPr>
            </w:pPr>
            <w:r>
              <w:rPr>
                <w:rFonts w:cs="Times New Roman"/>
              </w:rPr>
              <w:t>钡</w:t>
            </w:r>
          </w:p>
        </w:tc>
        <w:tc>
          <w:tcPr>
            <w:tcW w:w="1118" w:type="pct"/>
            <w:tcBorders>
              <w:top w:val="nil"/>
              <w:left w:val="single" w:color="000000" w:sz="8" w:space="0"/>
              <w:bottom w:val="single" w:color="000000" w:sz="8" w:space="0"/>
              <w:right w:val="single" w:color="000000" w:sz="8" w:space="0"/>
            </w:tcBorders>
            <w:vAlign w:val="center"/>
          </w:tcPr>
          <w:p w14:paraId="35E4AADC">
            <w:pPr>
              <w:pStyle w:val="78"/>
              <w:rPr>
                <w:rFonts w:cs="Times New Roman"/>
              </w:rPr>
            </w:pPr>
            <w:r>
              <w:rPr>
                <w:rFonts w:cs="Times New Roman"/>
              </w:rPr>
              <w:t>0.02</w:t>
            </w:r>
          </w:p>
        </w:tc>
      </w:tr>
      <w:tr w14:paraId="4B6641C0">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4116E38B">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624342C">
            <w:pPr>
              <w:pStyle w:val="78"/>
              <w:rPr>
                <w:rFonts w:cs="Times New Roman"/>
              </w:rPr>
            </w:pPr>
            <w:r>
              <w:rPr>
                <w:rFonts w:cs="Times New Roman"/>
              </w:rPr>
              <w:t>镉</w:t>
            </w:r>
          </w:p>
        </w:tc>
        <w:tc>
          <w:tcPr>
            <w:tcW w:w="1118" w:type="pct"/>
            <w:tcBorders>
              <w:top w:val="nil"/>
              <w:left w:val="single" w:color="000000" w:sz="8" w:space="0"/>
              <w:bottom w:val="single" w:color="000000" w:sz="8" w:space="0"/>
              <w:right w:val="single" w:color="000000" w:sz="8" w:space="0"/>
            </w:tcBorders>
            <w:vAlign w:val="center"/>
          </w:tcPr>
          <w:p w14:paraId="55F24C4E">
            <w:pPr>
              <w:pStyle w:val="78"/>
              <w:rPr>
                <w:rFonts w:cs="Times New Roman"/>
              </w:rPr>
            </w:pPr>
            <w:r>
              <w:rPr>
                <w:rFonts w:cs="Times New Roman"/>
              </w:rPr>
              <w:t>ND</w:t>
            </w:r>
          </w:p>
        </w:tc>
      </w:tr>
      <w:tr w14:paraId="636B2C3A">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CF52E6E">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5502F6F8">
            <w:pPr>
              <w:pStyle w:val="78"/>
              <w:rPr>
                <w:rFonts w:cs="Times New Roman"/>
              </w:rPr>
            </w:pPr>
            <w:r>
              <w:rPr>
                <w:rFonts w:cs="Times New Roman"/>
              </w:rPr>
              <w:t>铅</w:t>
            </w:r>
          </w:p>
        </w:tc>
        <w:tc>
          <w:tcPr>
            <w:tcW w:w="1118" w:type="pct"/>
            <w:tcBorders>
              <w:top w:val="nil"/>
              <w:left w:val="single" w:color="000000" w:sz="8" w:space="0"/>
              <w:bottom w:val="single" w:color="000000" w:sz="8" w:space="0"/>
              <w:right w:val="single" w:color="000000" w:sz="8" w:space="0"/>
            </w:tcBorders>
            <w:vAlign w:val="center"/>
          </w:tcPr>
          <w:p w14:paraId="6DC96D18">
            <w:pPr>
              <w:pStyle w:val="78"/>
              <w:rPr>
                <w:rFonts w:cs="Times New Roman"/>
              </w:rPr>
            </w:pPr>
            <w:r>
              <w:rPr>
                <w:rFonts w:cs="Times New Roman"/>
              </w:rPr>
              <w:t>ND</w:t>
            </w:r>
          </w:p>
        </w:tc>
      </w:tr>
      <w:tr w14:paraId="4AFA6487">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218C8650">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27096B5A">
            <w:pPr>
              <w:pStyle w:val="78"/>
              <w:rPr>
                <w:rFonts w:cs="Times New Roman"/>
              </w:rPr>
            </w:pPr>
            <w:r>
              <w:rPr>
                <w:rFonts w:cs="Times New Roman"/>
              </w:rPr>
              <w:t>总汞</w:t>
            </w:r>
          </w:p>
        </w:tc>
        <w:tc>
          <w:tcPr>
            <w:tcW w:w="1118" w:type="pct"/>
            <w:tcBorders>
              <w:top w:val="nil"/>
              <w:left w:val="single" w:color="000000" w:sz="8" w:space="0"/>
              <w:bottom w:val="single" w:color="000000" w:sz="8" w:space="0"/>
              <w:right w:val="single" w:color="000000" w:sz="8" w:space="0"/>
            </w:tcBorders>
            <w:vAlign w:val="center"/>
          </w:tcPr>
          <w:p w14:paraId="2F682FB1">
            <w:pPr>
              <w:pStyle w:val="78"/>
              <w:rPr>
                <w:rFonts w:cs="Times New Roman"/>
              </w:rPr>
            </w:pPr>
            <w:r>
              <w:rPr>
                <w:rFonts w:cs="Times New Roman"/>
              </w:rPr>
              <w:t>0.00016</w:t>
            </w:r>
          </w:p>
        </w:tc>
      </w:tr>
      <w:tr w14:paraId="651BD523">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02EF76F9">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37B3DF76">
            <w:pPr>
              <w:pStyle w:val="78"/>
              <w:rPr>
                <w:rFonts w:cs="Times New Roman"/>
              </w:rPr>
            </w:pPr>
            <w:r>
              <w:rPr>
                <w:rFonts w:cs="Times New Roman"/>
              </w:rPr>
              <w:t>砷</w:t>
            </w:r>
          </w:p>
        </w:tc>
        <w:tc>
          <w:tcPr>
            <w:tcW w:w="1118" w:type="pct"/>
            <w:tcBorders>
              <w:top w:val="nil"/>
              <w:left w:val="single" w:color="000000" w:sz="8" w:space="0"/>
              <w:bottom w:val="single" w:color="000000" w:sz="8" w:space="0"/>
              <w:right w:val="single" w:color="000000" w:sz="8" w:space="0"/>
            </w:tcBorders>
            <w:vAlign w:val="center"/>
          </w:tcPr>
          <w:p w14:paraId="0A9083C5">
            <w:pPr>
              <w:pStyle w:val="78"/>
              <w:rPr>
                <w:rFonts w:cs="Times New Roman"/>
              </w:rPr>
            </w:pPr>
            <w:r>
              <w:rPr>
                <w:rFonts w:cs="Times New Roman"/>
              </w:rPr>
              <w:t>0.0004</w:t>
            </w:r>
          </w:p>
        </w:tc>
      </w:tr>
      <w:tr w14:paraId="2E59A9B8">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000000" w:sz="8" w:space="0"/>
              <w:right w:val="single" w:color="000000" w:sz="8" w:space="0"/>
            </w:tcBorders>
            <w:vAlign w:val="center"/>
          </w:tcPr>
          <w:p w14:paraId="77CC7EDF">
            <w:pPr>
              <w:pStyle w:val="78"/>
              <w:rPr>
                <w:rFonts w:cs="Times New Roman"/>
              </w:rPr>
            </w:pPr>
          </w:p>
        </w:tc>
        <w:tc>
          <w:tcPr>
            <w:tcW w:w="2073" w:type="pct"/>
            <w:tcBorders>
              <w:top w:val="nil"/>
              <w:left w:val="single" w:color="000000" w:sz="8" w:space="0"/>
              <w:bottom w:val="single" w:color="000000" w:sz="8" w:space="0"/>
              <w:right w:val="single" w:color="000000" w:sz="8" w:space="0"/>
            </w:tcBorders>
            <w:vAlign w:val="center"/>
          </w:tcPr>
          <w:p w14:paraId="7B2C2513">
            <w:pPr>
              <w:pStyle w:val="78"/>
              <w:rPr>
                <w:rFonts w:cs="Times New Roman"/>
              </w:rPr>
            </w:pPr>
            <w:r>
              <w:rPr>
                <w:rFonts w:cs="Times New Roman"/>
              </w:rPr>
              <w:t>甲苯（μg/L）</w:t>
            </w:r>
          </w:p>
        </w:tc>
        <w:tc>
          <w:tcPr>
            <w:tcW w:w="1118" w:type="pct"/>
            <w:tcBorders>
              <w:top w:val="nil"/>
              <w:left w:val="single" w:color="000000" w:sz="8" w:space="0"/>
              <w:bottom w:val="single" w:color="000000" w:sz="8" w:space="0"/>
              <w:right w:val="single" w:color="000000" w:sz="8" w:space="0"/>
            </w:tcBorders>
            <w:vAlign w:val="center"/>
          </w:tcPr>
          <w:p w14:paraId="679731AD">
            <w:pPr>
              <w:pStyle w:val="78"/>
              <w:rPr>
                <w:rFonts w:cs="Times New Roman"/>
              </w:rPr>
            </w:pPr>
            <w:r>
              <w:rPr>
                <w:rFonts w:cs="Times New Roman"/>
              </w:rPr>
              <w:t>ND</w:t>
            </w:r>
          </w:p>
        </w:tc>
      </w:tr>
      <w:tr w14:paraId="6C9907DE">
        <w:tblPrEx>
          <w:tblCellMar>
            <w:top w:w="0" w:type="dxa"/>
            <w:left w:w="108" w:type="dxa"/>
            <w:bottom w:w="0" w:type="dxa"/>
            <w:right w:w="108" w:type="dxa"/>
          </w:tblCellMar>
        </w:tblPrEx>
        <w:trPr>
          <w:trHeight w:val="312" w:hRule="atLeast"/>
          <w:jc w:val="center"/>
        </w:trPr>
        <w:tc>
          <w:tcPr>
            <w:tcW w:w="1809" w:type="pct"/>
            <w:vMerge w:val="continue"/>
            <w:tcBorders>
              <w:top w:val="nil"/>
              <w:left w:val="single" w:color="auto" w:sz="4" w:space="0"/>
              <w:bottom w:val="single" w:color="auto" w:sz="4" w:space="0"/>
              <w:right w:val="single" w:color="000000" w:sz="8" w:space="0"/>
            </w:tcBorders>
            <w:vAlign w:val="center"/>
          </w:tcPr>
          <w:p w14:paraId="40D0B296">
            <w:pPr>
              <w:pStyle w:val="78"/>
              <w:rPr>
                <w:rFonts w:cs="Times New Roman"/>
              </w:rPr>
            </w:pPr>
          </w:p>
        </w:tc>
        <w:tc>
          <w:tcPr>
            <w:tcW w:w="2073" w:type="pct"/>
            <w:tcBorders>
              <w:top w:val="nil"/>
              <w:left w:val="single" w:color="000000" w:sz="8" w:space="0"/>
              <w:bottom w:val="single" w:color="auto" w:sz="4" w:space="0"/>
              <w:right w:val="single" w:color="000000" w:sz="8" w:space="0"/>
            </w:tcBorders>
            <w:vAlign w:val="center"/>
          </w:tcPr>
          <w:p w14:paraId="21600DEB">
            <w:pPr>
              <w:pStyle w:val="78"/>
              <w:rPr>
                <w:rFonts w:cs="Times New Roman"/>
              </w:rPr>
            </w:pPr>
            <w:r>
              <w:rPr>
                <w:rFonts w:cs="Times New Roman"/>
              </w:rPr>
              <w:t>间，对-二甲苯（μg/L）</w:t>
            </w:r>
          </w:p>
        </w:tc>
        <w:tc>
          <w:tcPr>
            <w:tcW w:w="1118" w:type="pct"/>
            <w:tcBorders>
              <w:top w:val="nil"/>
              <w:left w:val="single" w:color="000000" w:sz="8" w:space="0"/>
              <w:bottom w:val="single" w:color="auto" w:sz="4" w:space="0"/>
              <w:right w:val="single" w:color="000000" w:sz="8" w:space="0"/>
            </w:tcBorders>
            <w:vAlign w:val="center"/>
          </w:tcPr>
          <w:p w14:paraId="7D02B9A6">
            <w:pPr>
              <w:pStyle w:val="78"/>
              <w:rPr>
                <w:rFonts w:cs="Times New Roman"/>
              </w:rPr>
            </w:pPr>
            <w:r>
              <w:rPr>
                <w:rFonts w:cs="Times New Roman"/>
              </w:rPr>
              <w:t>ND</w:t>
            </w:r>
          </w:p>
        </w:tc>
      </w:tr>
      <w:tr w14:paraId="3D6FC8C4">
        <w:tblPrEx>
          <w:tblCellMar>
            <w:top w:w="0" w:type="dxa"/>
            <w:left w:w="108" w:type="dxa"/>
            <w:bottom w:w="0" w:type="dxa"/>
            <w:right w:w="108" w:type="dxa"/>
          </w:tblCellMar>
        </w:tblPrEx>
        <w:trPr>
          <w:trHeight w:val="312" w:hRule="atLeast"/>
          <w:jc w:val="center"/>
        </w:trPr>
        <w:tc>
          <w:tcPr>
            <w:tcW w:w="1809" w:type="pct"/>
            <w:vMerge w:val="continue"/>
            <w:tcBorders>
              <w:top w:val="single" w:color="auto" w:sz="4" w:space="0"/>
              <w:left w:val="single" w:color="auto" w:sz="4" w:space="0"/>
              <w:bottom w:val="single" w:color="auto" w:sz="4" w:space="0"/>
              <w:right w:val="single" w:color="auto" w:sz="4" w:space="0"/>
            </w:tcBorders>
            <w:vAlign w:val="center"/>
          </w:tcPr>
          <w:p w14:paraId="45CFC583">
            <w:pPr>
              <w:pStyle w:val="78"/>
              <w:rPr>
                <w:rFonts w:cs="Times New Roman"/>
              </w:rPr>
            </w:pPr>
          </w:p>
        </w:tc>
        <w:tc>
          <w:tcPr>
            <w:tcW w:w="2073" w:type="pct"/>
            <w:tcBorders>
              <w:top w:val="single" w:color="auto" w:sz="4" w:space="0"/>
              <w:left w:val="single" w:color="auto" w:sz="4" w:space="0"/>
              <w:bottom w:val="single" w:color="auto" w:sz="4" w:space="0"/>
              <w:right w:val="single" w:color="auto" w:sz="4" w:space="0"/>
            </w:tcBorders>
            <w:vAlign w:val="center"/>
          </w:tcPr>
          <w:p w14:paraId="4ED901CA">
            <w:pPr>
              <w:pStyle w:val="78"/>
              <w:rPr>
                <w:rFonts w:cs="Times New Roman"/>
              </w:rPr>
            </w:pPr>
            <w:r>
              <w:rPr>
                <w:rFonts w:cs="Times New Roman"/>
              </w:rPr>
              <w:t>邻-二甲苯（μg/L）</w:t>
            </w:r>
          </w:p>
        </w:tc>
        <w:tc>
          <w:tcPr>
            <w:tcW w:w="1118" w:type="pct"/>
            <w:tcBorders>
              <w:top w:val="single" w:color="auto" w:sz="4" w:space="0"/>
              <w:left w:val="single" w:color="auto" w:sz="4" w:space="0"/>
              <w:bottom w:val="single" w:color="auto" w:sz="4" w:space="0"/>
              <w:right w:val="single" w:color="auto" w:sz="4" w:space="0"/>
            </w:tcBorders>
            <w:vAlign w:val="center"/>
          </w:tcPr>
          <w:p w14:paraId="76267BFE">
            <w:pPr>
              <w:pStyle w:val="78"/>
              <w:rPr>
                <w:rFonts w:cs="Times New Roman"/>
              </w:rPr>
            </w:pPr>
            <w:r>
              <w:rPr>
                <w:rFonts w:cs="Times New Roman"/>
              </w:rPr>
              <w:t>ND</w:t>
            </w:r>
          </w:p>
        </w:tc>
      </w:tr>
      <w:tr w14:paraId="140E5943">
        <w:tblPrEx>
          <w:tblCellMar>
            <w:top w:w="0" w:type="dxa"/>
            <w:left w:w="108" w:type="dxa"/>
            <w:bottom w:w="0" w:type="dxa"/>
            <w:right w:w="108" w:type="dxa"/>
          </w:tblCellMar>
        </w:tblPrEx>
        <w:trPr>
          <w:trHeight w:val="333" w:hRule="atLeast"/>
          <w:jc w:val="center"/>
        </w:trPr>
        <w:tc>
          <w:tcPr>
            <w:tcW w:w="1809" w:type="pct"/>
            <w:vMerge w:val="continue"/>
            <w:tcBorders>
              <w:top w:val="single" w:color="auto" w:sz="4" w:space="0"/>
              <w:left w:val="single" w:color="auto" w:sz="4" w:space="0"/>
              <w:bottom w:val="single" w:color="auto" w:sz="4" w:space="0"/>
              <w:right w:val="single" w:color="auto" w:sz="4" w:space="0"/>
            </w:tcBorders>
            <w:vAlign w:val="center"/>
          </w:tcPr>
          <w:p w14:paraId="0475ED09">
            <w:pPr>
              <w:pStyle w:val="78"/>
              <w:rPr>
                <w:rFonts w:cs="Times New Roman"/>
              </w:rPr>
            </w:pPr>
          </w:p>
        </w:tc>
        <w:tc>
          <w:tcPr>
            <w:tcW w:w="2073" w:type="pct"/>
            <w:tcBorders>
              <w:top w:val="single" w:color="auto" w:sz="4" w:space="0"/>
              <w:left w:val="single" w:color="auto" w:sz="4" w:space="0"/>
              <w:bottom w:val="single" w:color="auto" w:sz="4" w:space="0"/>
              <w:right w:val="single" w:color="auto" w:sz="4" w:space="0"/>
            </w:tcBorders>
            <w:vAlign w:val="center"/>
          </w:tcPr>
          <w:p w14:paraId="3B131FFA">
            <w:pPr>
              <w:pStyle w:val="78"/>
              <w:rPr>
                <w:rFonts w:cs="Times New Roman"/>
              </w:rPr>
            </w:pPr>
            <w:r>
              <w:rPr>
                <w:rFonts w:cs="Times New Roman"/>
              </w:rPr>
              <w:t>苯乙烯（μg/L）</w:t>
            </w:r>
          </w:p>
        </w:tc>
        <w:tc>
          <w:tcPr>
            <w:tcW w:w="1118" w:type="pct"/>
            <w:tcBorders>
              <w:top w:val="single" w:color="auto" w:sz="4" w:space="0"/>
              <w:left w:val="single" w:color="auto" w:sz="4" w:space="0"/>
              <w:bottom w:val="single" w:color="auto" w:sz="4" w:space="0"/>
              <w:right w:val="single" w:color="auto" w:sz="4" w:space="0"/>
            </w:tcBorders>
            <w:vAlign w:val="center"/>
          </w:tcPr>
          <w:p w14:paraId="67BE8C04">
            <w:pPr>
              <w:pStyle w:val="78"/>
              <w:rPr>
                <w:rFonts w:cs="Times New Roman"/>
              </w:rPr>
            </w:pPr>
            <w:r>
              <w:rPr>
                <w:rFonts w:cs="Times New Roman"/>
              </w:rPr>
              <w:t>ND</w:t>
            </w:r>
          </w:p>
        </w:tc>
      </w:tr>
      <w:tr w14:paraId="10253139">
        <w:tblPrEx>
          <w:tblCellMar>
            <w:top w:w="0" w:type="dxa"/>
            <w:left w:w="108" w:type="dxa"/>
            <w:bottom w:w="0" w:type="dxa"/>
            <w:right w:w="108" w:type="dxa"/>
          </w:tblCellMar>
        </w:tblPrEx>
        <w:trPr>
          <w:trHeight w:val="333"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58310B9">
            <w:pPr>
              <w:pStyle w:val="78"/>
              <w:jc w:val="left"/>
              <w:rPr>
                <w:rFonts w:cs="Times New Roman"/>
              </w:rPr>
            </w:pPr>
            <w:r>
              <w:rPr>
                <w:rFonts w:cs="Times New Roman"/>
              </w:rPr>
              <w:t>注：“ND”表示该结果小于检测方法最低检出限。</w:t>
            </w:r>
          </w:p>
        </w:tc>
      </w:tr>
    </w:tbl>
    <w:p w14:paraId="7DDE0B08">
      <w:pPr>
        <w:pStyle w:val="14"/>
        <w:spacing w:before="240"/>
        <w:rPr>
          <w:rFonts w:cs="Times New Roman"/>
          <w:color w:val="auto"/>
        </w:rPr>
      </w:pPr>
      <w:bookmarkStart w:id="48" w:name="_Ref9539"/>
      <w:bookmarkStart w:id="49" w:name="_Ref145696600"/>
      <w:bookmarkStart w:id="50" w:name="_Hlk145696656"/>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6</w:t>
      </w:r>
      <w:r>
        <w:rPr>
          <w:rFonts w:cs="Times New Roman"/>
          <w:color w:val="auto"/>
        </w:rPr>
        <w:fldChar w:fldCharType="end"/>
      </w:r>
      <w:bookmarkEnd w:id="48"/>
      <w:r>
        <w:rPr>
          <w:rFonts w:cs="Times New Roman"/>
          <w:color w:val="auto"/>
        </w:rPr>
        <w:t xml:space="preserve">  地下水环境质量引用监测结果一览表 （U1-U4）单位：mg/L</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1631"/>
        <w:gridCol w:w="1631"/>
        <w:gridCol w:w="1631"/>
        <w:gridCol w:w="1636"/>
      </w:tblGrid>
      <w:tr w14:paraId="2964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7" w:type="pct"/>
            <w:vMerge w:val="restart"/>
            <w:vAlign w:val="center"/>
          </w:tcPr>
          <w:p w14:paraId="4A5A1C01">
            <w:pPr>
              <w:pStyle w:val="78"/>
              <w:rPr>
                <w:rFonts w:cs="Times New Roman"/>
                <w:b/>
                <w:bCs/>
              </w:rPr>
            </w:pPr>
            <w:r>
              <w:rPr>
                <w:rFonts w:cs="Times New Roman"/>
                <w:b/>
                <w:bCs/>
              </w:rPr>
              <w:t>监测项目</w:t>
            </w:r>
          </w:p>
        </w:tc>
        <w:tc>
          <w:tcPr>
            <w:tcW w:w="3743" w:type="pct"/>
            <w:gridSpan w:val="4"/>
            <w:vAlign w:val="center"/>
          </w:tcPr>
          <w:p w14:paraId="7DF133FE">
            <w:pPr>
              <w:pStyle w:val="78"/>
              <w:rPr>
                <w:rFonts w:cs="Times New Roman"/>
                <w:b/>
                <w:bCs/>
              </w:rPr>
            </w:pPr>
            <w:r>
              <w:rPr>
                <w:rFonts w:cs="Times New Roman"/>
                <w:b/>
                <w:bCs/>
              </w:rPr>
              <w:t>检测结果（mg/L）</w:t>
            </w:r>
          </w:p>
        </w:tc>
      </w:tr>
      <w:tr w14:paraId="06CE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7" w:type="pct"/>
            <w:vMerge w:val="continue"/>
            <w:vAlign w:val="center"/>
          </w:tcPr>
          <w:p w14:paraId="1139AA7C">
            <w:pPr>
              <w:pStyle w:val="78"/>
              <w:rPr>
                <w:rFonts w:cs="Times New Roman"/>
                <w:b/>
                <w:bCs/>
              </w:rPr>
            </w:pPr>
          </w:p>
        </w:tc>
        <w:tc>
          <w:tcPr>
            <w:tcW w:w="935" w:type="pct"/>
            <w:vAlign w:val="center"/>
          </w:tcPr>
          <w:p w14:paraId="6C4E0D71">
            <w:pPr>
              <w:pStyle w:val="78"/>
              <w:rPr>
                <w:rFonts w:cs="Times New Roman"/>
                <w:b/>
                <w:bCs/>
              </w:rPr>
            </w:pPr>
            <w:r>
              <w:rPr>
                <w:rFonts w:cs="Times New Roman"/>
                <w:b/>
                <w:bCs/>
              </w:rPr>
              <w:t>U1</w:t>
            </w:r>
          </w:p>
        </w:tc>
        <w:tc>
          <w:tcPr>
            <w:tcW w:w="935" w:type="pct"/>
            <w:vAlign w:val="center"/>
          </w:tcPr>
          <w:p w14:paraId="0966A350">
            <w:pPr>
              <w:pStyle w:val="78"/>
              <w:rPr>
                <w:rFonts w:cs="Times New Roman"/>
                <w:b/>
                <w:bCs/>
              </w:rPr>
            </w:pPr>
            <w:r>
              <w:rPr>
                <w:rFonts w:cs="Times New Roman"/>
                <w:b/>
                <w:bCs/>
              </w:rPr>
              <w:t>U2</w:t>
            </w:r>
          </w:p>
        </w:tc>
        <w:tc>
          <w:tcPr>
            <w:tcW w:w="935" w:type="pct"/>
            <w:vAlign w:val="center"/>
          </w:tcPr>
          <w:p w14:paraId="4193DFE5">
            <w:pPr>
              <w:pStyle w:val="78"/>
              <w:rPr>
                <w:rFonts w:cs="Times New Roman"/>
                <w:b/>
                <w:bCs/>
              </w:rPr>
            </w:pPr>
            <w:r>
              <w:rPr>
                <w:rFonts w:cs="Times New Roman"/>
                <w:b/>
                <w:bCs/>
              </w:rPr>
              <w:t>U3</w:t>
            </w:r>
          </w:p>
        </w:tc>
        <w:tc>
          <w:tcPr>
            <w:tcW w:w="936" w:type="pct"/>
            <w:vAlign w:val="center"/>
          </w:tcPr>
          <w:p w14:paraId="610137FF">
            <w:pPr>
              <w:pStyle w:val="78"/>
              <w:rPr>
                <w:rFonts w:cs="Times New Roman"/>
                <w:b/>
                <w:bCs/>
              </w:rPr>
            </w:pPr>
            <w:r>
              <w:rPr>
                <w:rFonts w:cs="Times New Roman"/>
                <w:b/>
                <w:bCs/>
              </w:rPr>
              <w:t>U4</w:t>
            </w:r>
          </w:p>
        </w:tc>
      </w:tr>
      <w:tr w14:paraId="7762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94A9C9D">
            <w:pPr>
              <w:pStyle w:val="78"/>
              <w:rPr>
                <w:rFonts w:cs="Times New Roman"/>
              </w:rPr>
            </w:pPr>
            <w:r>
              <w:rPr>
                <w:rFonts w:cs="Times New Roman"/>
              </w:rPr>
              <w:t>pH值（无量纲）</w:t>
            </w:r>
          </w:p>
        </w:tc>
        <w:tc>
          <w:tcPr>
            <w:tcW w:w="935" w:type="pct"/>
            <w:vAlign w:val="center"/>
          </w:tcPr>
          <w:p w14:paraId="2E670CBA">
            <w:pPr>
              <w:pStyle w:val="78"/>
              <w:rPr>
                <w:rFonts w:cs="Times New Roman"/>
              </w:rPr>
            </w:pPr>
            <w:r>
              <w:rPr>
                <w:rFonts w:cs="Times New Roman"/>
              </w:rPr>
              <w:t>8.1</w:t>
            </w:r>
          </w:p>
        </w:tc>
        <w:tc>
          <w:tcPr>
            <w:tcW w:w="935" w:type="pct"/>
            <w:vAlign w:val="center"/>
          </w:tcPr>
          <w:p w14:paraId="425FFF4E">
            <w:pPr>
              <w:pStyle w:val="78"/>
              <w:rPr>
                <w:rFonts w:cs="Times New Roman"/>
              </w:rPr>
            </w:pPr>
            <w:r>
              <w:rPr>
                <w:rFonts w:cs="Times New Roman"/>
              </w:rPr>
              <w:t>8.2</w:t>
            </w:r>
          </w:p>
        </w:tc>
        <w:tc>
          <w:tcPr>
            <w:tcW w:w="935" w:type="pct"/>
            <w:vAlign w:val="center"/>
          </w:tcPr>
          <w:p w14:paraId="77D234F7">
            <w:pPr>
              <w:pStyle w:val="78"/>
              <w:rPr>
                <w:rFonts w:cs="Times New Roman"/>
              </w:rPr>
            </w:pPr>
            <w:r>
              <w:rPr>
                <w:rFonts w:cs="Times New Roman"/>
              </w:rPr>
              <w:t>8.4</w:t>
            </w:r>
          </w:p>
        </w:tc>
        <w:tc>
          <w:tcPr>
            <w:tcW w:w="936" w:type="pct"/>
            <w:vAlign w:val="center"/>
          </w:tcPr>
          <w:p w14:paraId="5646DB92">
            <w:pPr>
              <w:pStyle w:val="78"/>
              <w:rPr>
                <w:rFonts w:cs="Times New Roman"/>
              </w:rPr>
            </w:pPr>
            <w:r>
              <w:rPr>
                <w:rFonts w:cs="Times New Roman"/>
              </w:rPr>
              <w:t>8.4</w:t>
            </w:r>
          </w:p>
        </w:tc>
      </w:tr>
      <w:tr w14:paraId="3024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0FB09A50">
            <w:pPr>
              <w:pStyle w:val="78"/>
              <w:rPr>
                <w:rFonts w:cs="Times New Roman"/>
              </w:rPr>
            </w:pPr>
            <w:r>
              <w:rPr>
                <w:rFonts w:cs="Times New Roman"/>
              </w:rPr>
              <w:t>色度（度）</w:t>
            </w:r>
          </w:p>
        </w:tc>
        <w:tc>
          <w:tcPr>
            <w:tcW w:w="935" w:type="pct"/>
            <w:vAlign w:val="center"/>
          </w:tcPr>
          <w:p w14:paraId="051C9DBF">
            <w:pPr>
              <w:pStyle w:val="78"/>
              <w:rPr>
                <w:rFonts w:cs="Times New Roman"/>
              </w:rPr>
            </w:pPr>
            <w:r>
              <w:rPr>
                <w:rFonts w:cs="Times New Roman"/>
              </w:rPr>
              <w:t>10</w:t>
            </w:r>
          </w:p>
        </w:tc>
        <w:tc>
          <w:tcPr>
            <w:tcW w:w="935" w:type="pct"/>
            <w:vAlign w:val="center"/>
          </w:tcPr>
          <w:p w14:paraId="35DC6215">
            <w:pPr>
              <w:pStyle w:val="78"/>
              <w:rPr>
                <w:rFonts w:cs="Times New Roman"/>
              </w:rPr>
            </w:pPr>
            <w:r>
              <w:rPr>
                <w:rFonts w:cs="Times New Roman"/>
              </w:rPr>
              <w:t>15</w:t>
            </w:r>
          </w:p>
        </w:tc>
        <w:tc>
          <w:tcPr>
            <w:tcW w:w="935" w:type="pct"/>
            <w:vAlign w:val="center"/>
          </w:tcPr>
          <w:p w14:paraId="62AB9439">
            <w:pPr>
              <w:pStyle w:val="78"/>
              <w:rPr>
                <w:rFonts w:cs="Times New Roman"/>
              </w:rPr>
            </w:pPr>
            <w:r>
              <w:rPr>
                <w:rFonts w:cs="Times New Roman"/>
              </w:rPr>
              <w:t>15</w:t>
            </w:r>
          </w:p>
        </w:tc>
        <w:tc>
          <w:tcPr>
            <w:tcW w:w="936" w:type="pct"/>
            <w:vAlign w:val="center"/>
          </w:tcPr>
          <w:p w14:paraId="6B622B51">
            <w:pPr>
              <w:pStyle w:val="78"/>
              <w:rPr>
                <w:rFonts w:cs="Times New Roman"/>
              </w:rPr>
            </w:pPr>
            <w:r>
              <w:rPr>
                <w:rFonts w:cs="Times New Roman"/>
              </w:rPr>
              <w:t>5</w:t>
            </w:r>
          </w:p>
        </w:tc>
      </w:tr>
      <w:tr w14:paraId="472A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0A770CD4">
            <w:pPr>
              <w:pStyle w:val="78"/>
              <w:rPr>
                <w:rFonts w:cs="Times New Roman"/>
              </w:rPr>
            </w:pPr>
            <w:r>
              <w:rPr>
                <w:rFonts w:cs="Times New Roman"/>
              </w:rPr>
              <w:t>浊度（NTU）</w:t>
            </w:r>
          </w:p>
        </w:tc>
        <w:tc>
          <w:tcPr>
            <w:tcW w:w="935" w:type="pct"/>
            <w:vAlign w:val="center"/>
          </w:tcPr>
          <w:p w14:paraId="1433DDB6">
            <w:pPr>
              <w:pStyle w:val="78"/>
              <w:rPr>
                <w:rFonts w:cs="Times New Roman"/>
              </w:rPr>
            </w:pPr>
            <w:r>
              <w:rPr>
                <w:rFonts w:cs="Times New Roman"/>
              </w:rPr>
              <w:t>38</w:t>
            </w:r>
          </w:p>
        </w:tc>
        <w:tc>
          <w:tcPr>
            <w:tcW w:w="935" w:type="pct"/>
            <w:vAlign w:val="center"/>
          </w:tcPr>
          <w:p w14:paraId="24CD478A">
            <w:pPr>
              <w:pStyle w:val="78"/>
              <w:rPr>
                <w:rFonts w:cs="Times New Roman"/>
              </w:rPr>
            </w:pPr>
            <w:r>
              <w:rPr>
                <w:rFonts w:cs="Times New Roman"/>
              </w:rPr>
              <w:t>42</w:t>
            </w:r>
          </w:p>
        </w:tc>
        <w:tc>
          <w:tcPr>
            <w:tcW w:w="935" w:type="pct"/>
            <w:vAlign w:val="center"/>
          </w:tcPr>
          <w:p w14:paraId="723E4A5A">
            <w:pPr>
              <w:pStyle w:val="78"/>
              <w:rPr>
                <w:rFonts w:cs="Times New Roman"/>
              </w:rPr>
            </w:pPr>
            <w:r>
              <w:rPr>
                <w:rFonts w:cs="Times New Roman"/>
              </w:rPr>
              <w:t>48</w:t>
            </w:r>
          </w:p>
        </w:tc>
        <w:tc>
          <w:tcPr>
            <w:tcW w:w="936" w:type="pct"/>
            <w:vAlign w:val="center"/>
          </w:tcPr>
          <w:p w14:paraId="5AB75B00">
            <w:pPr>
              <w:pStyle w:val="78"/>
              <w:rPr>
                <w:rFonts w:cs="Times New Roman"/>
              </w:rPr>
            </w:pPr>
            <w:r>
              <w:rPr>
                <w:rFonts w:cs="Times New Roman"/>
              </w:rPr>
              <w:t>30</w:t>
            </w:r>
          </w:p>
        </w:tc>
      </w:tr>
      <w:tr w14:paraId="6629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562D3B04">
            <w:pPr>
              <w:pStyle w:val="78"/>
              <w:rPr>
                <w:rFonts w:cs="Times New Roman"/>
              </w:rPr>
            </w:pPr>
            <w:r>
              <w:rPr>
                <w:rFonts w:cs="Times New Roman"/>
              </w:rPr>
              <w:t>臭和味</w:t>
            </w:r>
          </w:p>
        </w:tc>
        <w:tc>
          <w:tcPr>
            <w:tcW w:w="935" w:type="pct"/>
            <w:vAlign w:val="center"/>
          </w:tcPr>
          <w:p w14:paraId="203DE571">
            <w:pPr>
              <w:pStyle w:val="78"/>
              <w:rPr>
                <w:rFonts w:cs="Times New Roman"/>
              </w:rPr>
            </w:pPr>
            <w:r>
              <w:rPr>
                <w:rFonts w:cs="Times New Roman"/>
              </w:rPr>
              <w:t>无任何气味</w:t>
            </w:r>
          </w:p>
        </w:tc>
        <w:tc>
          <w:tcPr>
            <w:tcW w:w="935" w:type="pct"/>
            <w:vAlign w:val="center"/>
          </w:tcPr>
          <w:p w14:paraId="0197E37E">
            <w:pPr>
              <w:pStyle w:val="78"/>
              <w:rPr>
                <w:rFonts w:cs="Times New Roman"/>
              </w:rPr>
            </w:pPr>
            <w:r>
              <w:rPr>
                <w:rFonts w:cs="Times New Roman"/>
              </w:rPr>
              <w:t>无任何气味</w:t>
            </w:r>
          </w:p>
        </w:tc>
        <w:tc>
          <w:tcPr>
            <w:tcW w:w="935" w:type="pct"/>
            <w:vAlign w:val="center"/>
          </w:tcPr>
          <w:p w14:paraId="3AFEF82B">
            <w:pPr>
              <w:pStyle w:val="78"/>
              <w:rPr>
                <w:rFonts w:cs="Times New Roman"/>
              </w:rPr>
            </w:pPr>
            <w:r>
              <w:rPr>
                <w:rFonts w:cs="Times New Roman"/>
              </w:rPr>
              <w:t>无任何气味</w:t>
            </w:r>
          </w:p>
        </w:tc>
        <w:tc>
          <w:tcPr>
            <w:tcW w:w="936" w:type="pct"/>
            <w:vAlign w:val="center"/>
          </w:tcPr>
          <w:p w14:paraId="62836795">
            <w:pPr>
              <w:pStyle w:val="78"/>
              <w:rPr>
                <w:rFonts w:cs="Times New Roman"/>
              </w:rPr>
            </w:pPr>
            <w:r>
              <w:rPr>
                <w:rFonts w:cs="Times New Roman"/>
              </w:rPr>
              <w:t>无任何气味</w:t>
            </w:r>
          </w:p>
        </w:tc>
      </w:tr>
      <w:tr w14:paraId="4B2D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654E4EB8">
            <w:pPr>
              <w:pStyle w:val="78"/>
              <w:rPr>
                <w:rFonts w:cs="Times New Roman"/>
              </w:rPr>
            </w:pPr>
            <w:r>
              <w:rPr>
                <w:rFonts w:cs="Times New Roman"/>
              </w:rPr>
              <w:t>肉眼可见物</w:t>
            </w:r>
          </w:p>
        </w:tc>
        <w:tc>
          <w:tcPr>
            <w:tcW w:w="935" w:type="pct"/>
            <w:vAlign w:val="center"/>
          </w:tcPr>
          <w:p w14:paraId="082EE155">
            <w:pPr>
              <w:pStyle w:val="78"/>
              <w:rPr>
                <w:rFonts w:cs="Times New Roman"/>
              </w:rPr>
            </w:pPr>
            <w:r>
              <w:rPr>
                <w:rFonts w:cs="Times New Roman"/>
              </w:rPr>
              <w:t>少量悬浮物</w:t>
            </w:r>
          </w:p>
        </w:tc>
        <w:tc>
          <w:tcPr>
            <w:tcW w:w="935" w:type="pct"/>
            <w:vAlign w:val="center"/>
          </w:tcPr>
          <w:p w14:paraId="0987305B">
            <w:pPr>
              <w:pStyle w:val="78"/>
              <w:rPr>
                <w:rFonts w:cs="Times New Roman"/>
              </w:rPr>
            </w:pPr>
            <w:r>
              <w:rPr>
                <w:rFonts w:cs="Times New Roman"/>
              </w:rPr>
              <w:t>少量悬浮物</w:t>
            </w:r>
          </w:p>
        </w:tc>
        <w:tc>
          <w:tcPr>
            <w:tcW w:w="935" w:type="pct"/>
            <w:vAlign w:val="center"/>
          </w:tcPr>
          <w:p w14:paraId="2256C88F">
            <w:pPr>
              <w:pStyle w:val="78"/>
              <w:rPr>
                <w:rFonts w:cs="Times New Roman"/>
              </w:rPr>
            </w:pPr>
            <w:r>
              <w:rPr>
                <w:rFonts w:cs="Times New Roman"/>
              </w:rPr>
              <w:t>少量悬浮物</w:t>
            </w:r>
          </w:p>
        </w:tc>
        <w:tc>
          <w:tcPr>
            <w:tcW w:w="936" w:type="pct"/>
            <w:vAlign w:val="center"/>
          </w:tcPr>
          <w:p w14:paraId="7658E3F2">
            <w:pPr>
              <w:pStyle w:val="78"/>
              <w:rPr>
                <w:rFonts w:cs="Times New Roman"/>
              </w:rPr>
            </w:pPr>
            <w:r>
              <w:rPr>
                <w:rFonts w:cs="Times New Roman"/>
              </w:rPr>
              <w:t>少量悬浮物</w:t>
            </w:r>
          </w:p>
        </w:tc>
      </w:tr>
      <w:tr w14:paraId="6C8E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4F199C0">
            <w:pPr>
              <w:pStyle w:val="78"/>
              <w:rPr>
                <w:rFonts w:cs="Times New Roman"/>
              </w:rPr>
            </w:pPr>
            <w:r>
              <w:rPr>
                <w:rFonts w:cs="Times New Roman"/>
              </w:rPr>
              <w:t>总硬度</w:t>
            </w:r>
          </w:p>
        </w:tc>
        <w:tc>
          <w:tcPr>
            <w:tcW w:w="935" w:type="pct"/>
            <w:vAlign w:val="center"/>
          </w:tcPr>
          <w:p w14:paraId="33A43A82">
            <w:pPr>
              <w:pStyle w:val="78"/>
              <w:rPr>
                <w:rFonts w:cs="Times New Roman"/>
              </w:rPr>
            </w:pPr>
            <w:r>
              <w:rPr>
                <w:rFonts w:cs="Times New Roman"/>
              </w:rPr>
              <w:t>36.2</w:t>
            </w:r>
          </w:p>
        </w:tc>
        <w:tc>
          <w:tcPr>
            <w:tcW w:w="935" w:type="pct"/>
            <w:vAlign w:val="center"/>
          </w:tcPr>
          <w:p w14:paraId="3E656C50">
            <w:pPr>
              <w:pStyle w:val="78"/>
              <w:rPr>
                <w:rFonts w:cs="Times New Roman"/>
              </w:rPr>
            </w:pPr>
            <w:r>
              <w:rPr>
                <w:rFonts w:cs="Times New Roman"/>
              </w:rPr>
              <w:t>86.1</w:t>
            </w:r>
          </w:p>
        </w:tc>
        <w:tc>
          <w:tcPr>
            <w:tcW w:w="935" w:type="pct"/>
            <w:vAlign w:val="center"/>
          </w:tcPr>
          <w:p w14:paraId="53F8FFCB">
            <w:pPr>
              <w:pStyle w:val="78"/>
              <w:rPr>
                <w:rFonts w:cs="Times New Roman"/>
              </w:rPr>
            </w:pPr>
            <w:r>
              <w:rPr>
                <w:rFonts w:cs="Times New Roman"/>
              </w:rPr>
              <w:t>68.7</w:t>
            </w:r>
          </w:p>
        </w:tc>
        <w:tc>
          <w:tcPr>
            <w:tcW w:w="936" w:type="pct"/>
            <w:vAlign w:val="center"/>
          </w:tcPr>
          <w:p w14:paraId="1279FA92">
            <w:pPr>
              <w:pStyle w:val="78"/>
              <w:rPr>
                <w:rFonts w:cs="Times New Roman"/>
              </w:rPr>
            </w:pPr>
            <w:r>
              <w:rPr>
                <w:rFonts w:cs="Times New Roman"/>
              </w:rPr>
              <w:t>125</w:t>
            </w:r>
          </w:p>
        </w:tc>
      </w:tr>
      <w:tr w14:paraId="3309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0302E68">
            <w:pPr>
              <w:pStyle w:val="78"/>
              <w:rPr>
                <w:rFonts w:cs="Times New Roman"/>
              </w:rPr>
            </w:pPr>
            <w:r>
              <w:rPr>
                <w:rFonts w:cs="Times New Roman"/>
              </w:rPr>
              <w:t>溶解性总固体</w:t>
            </w:r>
          </w:p>
        </w:tc>
        <w:tc>
          <w:tcPr>
            <w:tcW w:w="935" w:type="pct"/>
            <w:vAlign w:val="center"/>
          </w:tcPr>
          <w:p w14:paraId="43712745">
            <w:pPr>
              <w:pStyle w:val="78"/>
              <w:rPr>
                <w:rFonts w:cs="Times New Roman"/>
              </w:rPr>
            </w:pPr>
            <w:r>
              <w:rPr>
                <w:rFonts w:cs="Times New Roman"/>
              </w:rPr>
              <w:t>104</w:t>
            </w:r>
          </w:p>
        </w:tc>
        <w:tc>
          <w:tcPr>
            <w:tcW w:w="935" w:type="pct"/>
            <w:vAlign w:val="center"/>
          </w:tcPr>
          <w:p w14:paraId="66FC5396">
            <w:pPr>
              <w:pStyle w:val="78"/>
              <w:rPr>
                <w:rFonts w:cs="Times New Roman"/>
              </w:rPr>
            </w:pPr>
            <w:r>
              <w:rPr>
                <w:rFonts w:cs="Times New Roman"/>
              </w:rPr>
              <w:t>392</w:t>
            </w:r>
          </w:p>
        </w:tc>
        <w:tc>
          <w:tcPr>
            <w:tcW w:w="935" w:type="pct"/>
            <w:vAlign w:val="center"/>
          </w:tcPr>
          <w:p w14:paraId="791F934E">
            <w:pPr>
              <w:pStyle w:val="78"/>
              <w:rPr>
                <w:rFonts w:cs="Times New Roman"/>
              </w:rPr>
            </w:pPr>
            <w:r>
              <w:rPr>
                <w:rFonts w:cs="Times New Roman"/>
              </w:rPr>
              <w:t>310</w:t>
            </w:r>
          </w:p>
        </w:tc>
        <w:tc>
          <w:tcPr>
            <w:tcW w:w="936" w:type="pct"/>
            <w:vAlign w:val="center"/>
          </w:tcPr>
          <w:p w14:paraId="4B63142B">
            <w:pPr>
              <w:pStyle w:val="78"/>
              <w:rPr>
                <w:rFonts w:cs="Times New Roman"/>
              </w:rPr>
            </w:pPr>
            <w:r>
              <w:rPr>
                <w:rFonts w:cs="Times New Roman"/>
              </w:rPr>
              <w:t>684</w:t>
            </w:r>
          </w:p>
        </w:tc>
      </w:tr>
      <w:tr w14:paraId="40BC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0E9E0CE4">
            <w:pPr>
              <w:pStyle w:val="78"/>
              <w:rPr>
                <w:rFonts w:cs="Times New Roman"/>
              </w:rPr>
            </w:pPr>
            <w:r>
              <w:rPr>
                <w:rFonts w:cs="Times New Roman"/>
              </w:rPr>
              <w:t>耗氧量</w:t>
            </w:r>
          </w:p>
        </w:tc>
        <w:tc>
          <w:tcPr>
            <w:tcW w:w="935" w:type="pct"/>
            <w:vAlign w:val="center"/>
          </w:tcPr>
          <w:p w14:paraId="60613BF3">
            <w:pPr>
              <w:pStyle w:val="78"/>
              <w:rPr>
                <w:rFonts w:cs="Times New Roman"/>
              </w:rPr>
            </w:pPr>
            <w:r>
              <w:rPr>
                <w:rFonts w:cs="Times New Roman"/>
              </w:rPr>
              <w:t>3.6</w:t>
            </w:r>
          </w:p>
        </w:tc>
        <w:tc>
          <w:tcPr>
            <w:tcW w:w="935" w:type="pct"/>
            <w:vAlign w:val="center"/>
          </w:tcPr>
          <w:p w14:paraId="0D45D12B">
            <w:pPr>
              <w:pStyle w:val="78"/>
              <w:rPr>
                <w:rFonts w:cs="Times New Roman"/>
              </w:rPr>
            </w:pPr>
            <w:r>
              <w:rPr>
                <w:rFonts w:cs="Times New Roman"/>
              </w:rPr>
              <w:t>3.8</w:t>
            </w:r>
          </w:p>
        </w:tc>
        <w:tc>
          <w:tcPr>
            <w:tcW w:w="935" w:type="pct"/>
            <w:vAlign w:val="center"/>
          </w:tcPr>
          <w:p w14:paraId="4A7603B6">
            <w:pPr>
              <w:pStyle w:val="78"/>
              <w:rPr>
                <w:rFonts w:cs="Times New Roman"/>
              </w:rPr>
            </w:pPr>
            <w:r>
              <w:rPr>
                <w:rFonts w:cs="Times New Roman"/>
              </w:rPr>
              <w:t>2.5</w:t>
            </w:r>
          </w:p>
        </w:tc>
        <w:tc>
          <w:tcPr>
            <w:tcW w:w="936" w:type="pct"/>
            <w:vAlign w:val="center"/>
          </w:tcPr>
          <w:p w14:paraId="2C793396">
            <w:pPr>
              <w:pStyle w:val="78"/>
              <w:rPr>
                <w:rFonts w:cs="Times New Roman"/>
              </w:rPr>
            </w:pPr>
            <w:r>
              <w:rPr>
                <w:rFonts w:cs="Times New Roman"/>
              </w:rPr>
              <w:t>3</w:t>
            </w:r>
          </w:p>
        </w:tc>
      </w:tr>
      <w:tr w14:paraId="6D95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5FDF729">
            <w:pPr>
              <w:pStyle w:val="78"/>
              <w:rPr>
                <w:rFonts w:cs="Times New Roman"/>
              </w:rPr>
            </w:pPr>
            <w:r>
              <w:rPr>
                <w:rFonts w:cs="Times New Roman"/>
              </w:rPr>
              <w:t>氨氮</w:t>
            </w:r>
          </w:p>
        </w:tc>
        <w:tc>
          <w:tcPr>
            <w:tcW w:w="935" w:type="pct"/>
            <w:vAlign w:val="center"/>
          </w:tcPr>
          <w:p w14:paraId="1AFF9D43">
            <w:pPr>
              <w:pStyle w:val="78"/>
              <w:rPr>
                <w:rFonts w:cs="Times New Roman"/>
              </w:rPr>
            </w:pPr>
            <w:r>
              <w:rPr>
                <w:rFonts w:cs="Times New Roman"/>
              </w:rPr>
              <w:t>1.04</w:t>
            </w:r>
          </w:p>
        </w:tc>
        <w:tc>
          <w:tcPr>
            <w:tcW w:w="935" w:type="pct"/>
            <w:vAlign w:val="center"/>
          </w:tcPr>
          <w:p w14:paraId="5B40E41C">
            <w:pPr>
              <w:pStyle w:val="78"/>
              <w:rPr>
                <w:rFonts w:cs="Times New Roman"/>
              </w:rPr>
            </w:pPr>
            <w:r>
              <w:rPr>
                <w:rFonts w:cs="Times New Roman"/>
              </w:rPr>
              <w:t>0.702</w:t>
            </w:r>
          </w:p>
        </w:tc>
        <w:tc>
          <w:tcPr>
            <w:tcW w:w="935" w:type="pct"/>
            <w:vAlign w:val="center"/>
          </w:tcPr>
          <w:p w14:paraId="637BFF08">
            <w:pPr>
              <w:pStyle w:val="78"/>
              <w:rPr>
                <w:rFonts w:cs="Times New Roman"/>
              </w:rPr>
            </w:pPr>
            <w:r>
              <w:rPr>
                <w:rFonts w:cs="Times New Roman"/>
              </w:rPr>
              <w:t>0.64</w:t>
            </w:r>
          </w:p>
        </w:tc>
        <w:tc>
          <w:tcPr>
            <w:tcW w:w="936" w:type="pct"/>
            <w:vAlign w:val="center"/>
          </w:tcPr>
          <w:p w14:paraId="26F3AF39">
            <w:pPr>
              <w:pStyle w:val="78"/>
              <w:rPr>
                <w:rFonts w:cs="Times New Roman"/>
              </w:rPr>
            </w:pPr>
            <w:r>
              <w:rPr>
                <w:rFonts w:cs="Times New Roman"/>
              </w:rPr>
              <w:t>0.35</w:t>
            </w:r>
          </w:p>
        </w:tc>
      </w:tr>
      <w:tr w14:paraId="357D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A7DA79B">
            <w:pPr>
              <w:pStyle w:val="78"/>
              <w:rPr>
                <w:rFonts w:cs="Times New Roman"/>
              </w:rPr>
            </w:pPr>
            <w:r>
              <w:rPr>
                <w:rFonts w:cs="Times New Roman"/>
              </w:rPr>
              <w:t>挥发酚</w:t>
            </w:r>
          </w:p>
        </w:tc>
        <w:tc>
          <w:tcPr>
            <w:tcW w:w="935" w:type="pct"/>
            <w:vAlign w:val="center"/>
          </w:tcPr>
          <w:p w14:paraId="3193B110">
            <w:pPr>
              <w:pStyle w:val="78"/>
              <w:rPr>
                <w:rFonts w:cs="Times New Roman"/>
              </w:rPr>
            </w:pPr>
            <w:r>
              <w:rPr>
                <w:rFonts w:cs="Times New Roman"/>
              </w:rPr>
              <w:t>ND</w:t>
            </w:r>
          </w:p>
        </w:tc>
        <w:tc>
          <w:tcPr>
            <w:tcW w:w="935" w:type="pct"/>
            <w:vAlign w:val="center"/>
          </w:tcPr>
          <w:p w14:paraId="09FC7ECB">
            <w:pPr>
              <w:pStyle w:val="78"/>
              <w:rPr>
                <w:rFonts w:cs="Times New Roman"/>
              </w:rPr>
            </w:pPr>
            <w:r>
              <w:rPr>
                <w:rFonts w:cs="Times New Roman"/>
              </w:rPr>
              <w:t>ND</w:t>
            </w:r>
          </w:p>
        </w:tc>
        <w:tc>
          <w:tcPr>
            <w:tcW w:w="935" w:type="pct"/>
            <w:vAlign w:val="center"/>
          </w:tcPr>
          <w:p w14:paraId="3698EC44">
            <w:pPr>
              <w:pStyle w:val="78"/>
              <w:rPr>
                <w:rFonts w:cs="Times New Roman"/>
              </w:rPr>
            </w:pPr>
            <w:r>
              <w:rPr>
                <w:rFonts w:cs="Times New Roman"/>
              </w:rPr>
              <w:t>ND</w:t>
            </w:r>
          </w:p>
        </w:tc>
        <w:tc>
          <w:tcPr>
            <w:tcW w:w="936" w:type="pct"/>
            <w:vAlign w:val="center"/>
          </w:tcPr>
          <w:p w14:paraId="23ACC139">
            <w:pPr>
              <w:pStyle w:val="78"/>
              <w:rPr>
                <w:rFonts w:cs="Times New Roman"/>
              </w:rPr>
            </w:pPr>
            <w:r>
              <w:rPr>
                <w:rFonts w:cs="Times New Roman"/>
              </w:rPr>
              <w:t>ND</w:t>
            </w:r>
          </w:p>
        </w:tc>
      </w:tr>
      <w:tr w14:paraId="4F88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A3EB0C6">
            <w:pPr>
              <w:pStyle w:val="78"/>
              <w:rPr>
                <w:rFonts w:cs="Times New Roman"/>
              </w:rPr>
            </w:pPr>
            <w:r>
              <w:rPr>
                <w:rFonts w:cs="Times New Roman"/>
              </w:rPr>
              <w:t>氰化物</w:t>
            </w:r>
          </w:p>
        </w:tc>
        <w:tc>
          <w:tcPr>
            <w:tcW w:w="935" w:type="pct"/>
            <w:vAlign w:val="center"/>
          </w:tcPr>
          <w:p w14:paraId="421075EB">
            <w:pPr>
              <w:pStyle w:val="78"/>
              <w:rPr>
                <w:rFonts w:cs="Times New Roman"/>
              </w:rPr>
            </w:pPr>
            <w:r>
              <w:rPr>
                <w:rFonts w:cs="Times New Roman"/>
              </w:rPr>
              <w:t>ND</w:t>
            </w:r>
          </w:p>
        </w:tc>
        <w:tc>
          <w:tcPr>
            <w:tcW w:w="935" w:type="pct"/>
            <w:vAlign w:val="center"/>
          </w:tcPr>
          <w:p w14:paraId="0C8897FC">
            <w:pPr>
              <w:pStyle w:val="78"/>
              <w:rPr>
                <w:rFonts w:cs="Times New Roman"/>
              </w:rPr>
            </w:pPr>
            <w:r>
              <w:rPr>
                <w:rFonts w:cs="Times New Roman"/>
              </w:rPr>
              <w:t>ND</w:t>
            </w:r>
          </w:p>
        </w:tc>
        <w:tc>
          <w:tcPr>
            <w:tcW w:w="935" w:type="pct"/>
            <w:vAlign w:val="center"/>
          </w:tcPr>
          <w:p w14:paraId="6F3B4954">
            <w:pPr>
              <w:pStyle w:val="78"/>
              <w:rPr>
                <w:rFonts w:cs="Times New Roman"/>
              </w:rPr>
            </w:pPr>
            <w:r>
              <w:rPr>
                <w:rFonts w:cs="Times New Roman"/>
              </w:rPr>
              <w:t>ND</w:t>
            </w:r>
          </w:p>
        </w:tc>
        <w:tc>
          <w:tcPr>
            <w:tcW w:w="936" w:type="pct"/>
            <w:vAlign w:val="center"/>
          </w:tcPr>
          <w:p w14:paraId="507910DA">
            <w:pPr>
              <w:pStyle w:val="78"/>
              <w:rPr>
                <w:rFonts w:cs="Times New Roman"/>
              </w:rPr>
            </w:pPr>
            <w:r>
              <w:rPr>
                <w:rFonts w:cs="Times New Roman"/>
              </w:rPr>
              <w:t>ND</w:t>
            </w:r>
          </w:p>
        </w:tc>
      </w:tr>
      <w:tr w14:paraId="19B5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ECDEDF0">
            <w:pPr>
              <w:pStyle w:val="78"/>
              <w:rPr>
                <w:rFonts w:cs="Times New Roman"/>
              </w:rPr>
            </w:pPr>
            <w:r>
              <w:rPr>
                <w:rFonts w:cs="Times New Roman"/>
              </w:rPr>
              <w:t>氟化物</w:t>
            </w:r>
          </w:p>
        </w:tc>
        <w:tc>
          <w:tcPr>
            <w:tcW w:w="935" w:type="pct"/>
            <w:vAlign w:val="center"/>
          </w:tcPr>
          <w:p w14:paraId="7D2DEC92">
            <w:pPr>
              <w:pStyle w:val="78"/>
              <w:rPr>
                <w:rFonts w:cs="Times New Roman"/>
              </w:rPr>
            </w:pPr>
            <w:r>
              <w:rPr>
                <w:rFonts w:cs="Times New Roman"/>
              </w:rPr>
              <w:t>0.1</w:t>
            </w:r>
          </w:p>
        </w:tc>
        <w:tc>
          <w:tcPr>
            <w:tcW w:w="935" w:type="pct"/>
            <w:vAlign w:val="center"/>
          </w:tcPr>
          <w:p w14:paraId="65D99BD1">
            <w:pPr>
              <w:pStyle w:val="78"/>
              <w:rPr>
                <w:rFonts w:cs="Times New Roman"/>
              </w:rPr>
            </w:pPr>
            <w:r>
              <w:rPr>
                <w:rFonts w:cs="Times New Roman"/>
              </w:rPr>
              <w:t>0.11</w:t>
            </w:r>
          </w:p>
        </w:tc>
        <w:tc>
          <w:tcPr>
            <w:tcW w:w="935" w:type="pct"/>
            <w:vAlign w:val="center"/>
          </w:tcPr>
          <w:p w14:paraId="683B87A6">
            <w:pPr>
              <w:pStyle w:val="78"/>
              <w:rPr>
                <w:rFonts w:cs="Times New Roman"/>
              </w:rPr>
            </w:pPr>
            <w:r>
              <w:rPr>
                <w:rFonts w:cs="Times New Roman"/>
              </w:rPr>
              <w:t>0.05</w:t>
            </w:r>
          </w:p>
        </w:tc>
        <w:tc>
          <w:tcPr>
            <w:tcW w:w="936" w:type="pct"/>
            <w:vAlign w:val="center"/>
          </w:tcPr>
          <w:p w14:paraId="4ECFECA1">
            <w:pPr>
              <w:pStyle w:val="78"/>
              <w:rPr>
                <w:rFonts w:cs="Times New Roman"/>
              </w:rPr>
            </w:pPr>
            <w:r>
              <w:rPr>
                <w:rFonts w:cs="Times New Roman"/>
              </w:rPr>
              <w:t>0.09</w:t>
            </w:r>
          </w:p>
        </w:tc>
      </w:tr>
      <w:tr w14:paraId="76E3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6E11A44D">
            <w:pPr>
              <w:pStyle w:val="78"/>
              <w:rPr>
                <w:rFonts w:cs="Times New Roman"/>
              </w:rPr>
            </w:pPr>
            <w:r>
              <w:rPr>
                <w:rFonts w:cs="Times New Roman"/>
              </w:rPr>
              <w:t>阴离子表面活性</w:t>
            </w:r>
          </w:p>
        </w:tc>
        <w:tc>
          <w:tcPr>
            <w:tcW w:w="935" w:type="pct"/>
            <w:vAlign w:val="center"/>
          </w:tcPr>
          <w:p w14:paraId="35D9182F">
            <w:pPr>
              <w:pStyle w:val="78"/>
              <w:rPr>
                <w:rFonts w:cs="Times New Roman"/>
              </w:rPr>
            </w:pPr>
            <w:r>
              <w:rPr>
                <w:rFonts w:cs="Times New Roman"/>
              </w:rPr>
              <w:t>ND</w:t>
            </w:r>
          </w:p>
        </w:tc>
        <w:tc>
          <w:tcPr>
            <w:tcW w:w="935" w:type="pct"/>
            <w:vAlign w:val="center"/>
          </w:tcPr>
          <w:p w14:paraId="64818070">
            <w:pPr>
              <w:pStyle w:val="78"/>
              <w:rPr>
                <w:rFonts w:cs="Times New Roman"/>
              </w:rPr>
            </w:pPr>
            <w:r>
              <w:rPr>
                <w:rFonts w:cs="Times New Roman"/>
              </w:rPr>
              <w:t>ND</w:t>
            </w:r>
          </w:p>
        </w:tc>
        <w:tc>
          <w:tcPr>
            <w:tcW w:w="935" w:type="pct"/>
            <w:vAlign w:val="center"/>
          </w:tcPr>
          <w:p w14:paraId="57293FD3">
            <w:pPr>
              <w:pStyle w:val="78"/>
              <w:rPr>
                <w:rFonts w:cs="Times New Roman"/>
              </w:rPr>
            </w:pPr>
            <w:r>
              <w:rPr>
                <w:rFonts w:cs="Times New Roman"/>
              </w:rPr>
              <w:t>ND</w:t>
            </w:r>
          </w:p>
        </w:tc>
        <w:tc>
          <w:tcPr>
            <w:tcW w:w="936" w:type="pct"/>
            <w:vAlign w:val="center"/>
          </w:tcPr>
          <w:p w14:paraId="64825426">
            <w:pPr>
              <w:pStyle w:val="78"/>
              <w:rPr>
                <w:rFonts w:cs="Times New Roman"/>
              </w:rPr>
            </w:pPr>
            <w:r>
              <w:rPr>
                <w:rFonts w:cs="Times New Roman"/>
              </w:rPr>
              <w:t>ND</w:t>
            </w:r>
          </w:p>
        </w:tc>
      </w:tr>
      <w:tr w14:paraId="0DCA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7FC7DF84">
            <w:pPr>
              <w:pStyle w:val="78"/>
              <w:rPr>
                <w:rFonts w:cs="Times New Roman"/>
              </w:rPr>
            </w:pPr>
            <w:r>
              <w:rPr>
                <w:rFonts w:cs="Times New Roman"/>
              </w:rPr>
              <w:t>硫化物</w:t>
            </w:r>
          </w:p>
        </w:tc>
        <w:tc>
          <w:tcPr>
            <w:tcW w:w="935" w:type="pct"/>
            <w:vAlign w:val="center"/>
          </w:tcPr>
          <w:p w14:paraId="31D6C144">
            <w:pPr>
              <w:pStyle w:val="78"/>
              <w:rPr>
                <w:rFonts w:cs="Times New Roman"/>
              </w:rPr>
            </w:pPr>
            <w:r>
              <w:rPr>
                <w:rFonts w:cs="Times New Roman"/>
              </w:rPr>
              <w:t>ND</w:t>
            </w:r>
          </w:p>
        </w:tc>
        <w:tc>
          <w:tcPr>
            <w:tcW w:w="935" w:type="pct"/>
            <w:vAlign w:val="center"/>
          </w:tcPr>
          <w:p w14:paraId="16C1205A">
            <w:pPr>
              <w:pStyle w:val="78"/>
              <w:rPr>
                <w:rFonts w:cs="Times New Roman"/>
              </w:rPr>
            </w:pPr>
            <w:r>
              <w:rPr>
                <w:rFonts w:cs="Times New Roman"/>
              </w:rPr>
              <w:t>ND</w:t>
            </w:r>
          </w:p>
        </w:tc>
        <w:tc>
          <w:tcPr>
            <w:tcW w:w="935" w:type="pct"/>
            <w:vAlign w:val="center"/>
          </w:tcPr>
          <w:p w14:paraId="0A02DD96">
            <w:pPr>
              <w:pStyle w:val="78"/>
              <w:rPr>
                <w:rFonts w:cs="Times New Roman"/>
              </w:rPr>
            </w:pPr>
            <w:r>
              <w:rPr>
                <w:rFonts w:cs="Times New Roman"/>
              </w:rPr>
              <w:t>ND</w:t>
            </w:r>
          </w:p>
        </w:tc>
        <w:tc>
          <w:tcPr>
            <w:tcW w:w="936" w:type="pct"/>
            <w:vAlign w:val="center"/>
          </w:tcPr>
          <w:p w14:paraId="2AFB8282">
            <w:pPr>
              <w:pStyle w:val="78"/>
              <w:rPr>
                <w:rFonts w:cs="Times New Roman"/>
              </w:rPr>
            </w:pPr>
            <w:r>
              <w:rPr>
                <w:rFonts w:cs="Times New Roman"/>
              </w:rPr>
              <w:t>ND</w:t>
            </w:r>
          </w:p>
        </w:tc>
      </w:tr>
      <w:tr w14:paraId="55B5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D7DC0C2">
            <w:pPr>
              <w:pStyle w:val="78"/>
              <w:rPr>
                <w:rFonts w:cs="Times New Roman"/>
              </w:rPr>
            </w:pPr>
            <w:r>
              <w:rPr>
                <w:rFonts w:cs="Times New Roman"/>
              </w:rPr>
              <w:t>六价铬</w:t>
            </w:r>
          </w:p>
        </w:tc>
        <w:tc>
          <w:tcPr>
            <w:tcW w:w="935" w:type="pct"/>
            <w:vAlign w:val="center"/>
          </w:tcPr>
          <w:p w14:paraId="4C588DAB">
            <w:pPr>
              <w:pStyle w:val="78"/>
              <w:rPr>
                <w:rFonts w:cs="Times New Roman"/>
              </w:rPr>
            </w:pPr>
            <w:r>
              <w:rPr>
                <w:rFonts w:cs="Times New Roman"/>
              </w:rPr>
              <w:t>ND</w:t>
            </w:r>
          </w:p>
        </w:tc>
        <w:tc>
          <w:tcPr>
            <w:tcW w:w="935" w:type="pct"/>
            <w:vAlign w:val="center"/>
          </w:tcPr>
          <w:p w14:paraId="7C3FC5FD">
            <w:pPr>
              <w:pStyle w:val="78"/>
              <w:rPr>
                <w:rFonts w:cs="Times New Roman"/>
              </w:rPr>
            </w:pPr>
            <w:r>
              <w:rPr>
                <w:rFonts w:cs="Times New Roman"/>
              </w:rPr>
              <w:t>ND</w:t>
            </w:r>
          </w:p>
        </w:tc>
        <w:tc>
          <w:tcPr>
            <w:tcW w:w="935" w:type="pct"/>
            <w:vAlign w:val="center"/>
          </w:tcPr>
          <w:p w14:paraId="359B7831">
            <w:pPr>
              <w:pStyle w:val="78"/>
              <w:rPr>
                <w:rFonts w:cs="Times New Roman"/>
              </w:rPr>
            </w:pPr>
            <w:r>
              <w:rPr>
                <w:rFonts w:cs="Times New Roman"/>
              </w:rPr>
              <w:t>ND</w:t>
            </w:r>
          </w:p>
        </w:tc>
        <w:tc>
          <w:tcPr>
            <w:tcW w:w="936" w:type="pct"/>
            <w:vAlign w:val="center"/>
          </w:tcPr>
          <w:p w14:paraId="285EBE41">
            <w:pPr>
              <w:pStyle w:val="78"/>
              <w:rPr>
                <w:rFonts w:cs="Times New Roman"/>
              </w:rPr>
            </w:pPr>
            <w:r>
              <w:rPr>
                <w:rFonts w:cs="Times New Roman"/>
              </w:rPr>
              <w:t>ND</w:t>
            </w:r>
          </w:p>
        </w:tc>
      </w:tr>
      <w:tr w14:paraId="6EA1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EAC1343">
            <w:pPr>
              <w:pStyle w:val="78"/>
              <w:rPr>
                <w:rFonts w:cs="Times New Roman"/>
              </w:rPr>
            </w:pPr>
            <w:r>
              <w:rPr>
                <w:rFonts w:cs="Times New Roman"/>
              </w:rPr>
              <w:t>氯化物</w:t>
            </w:r>
          </w:p>
        </w:tc>
        <w:tc>
          <w:tcPr>
            <w:tcW w:w="935" w:type="pct"/>
            <w:vAlign w:val="center"/>
          </w:tcPr>
          <w:p w14:paraId="1A6BACFC">
            <w:pPr>
              <w:pStyle w:val="78"/>
              <w:rPr>
                <w:rFonts w:cs="Times New Roman"/>
              </w:rPr>
            </w:pPr>
            <w:r>
              <w:rPr>
                <w:rFonts w:cs="Times New Roman"/>
              </w:rPr>
              <w:t>19.5</w:t>
            </w:r>
          </w:p>
        </w:tc>
        <w:tc>
          <w:tcPr>
            <w:tcW w:w="935" w:type="pct"/>
            <w:vAlign w:val="center"/>
          </w:tcPr>
          <w:p w14:paraId="2FD80981">
            <w:pPr>
              <w:pStyle w:val="78"/>
              <w:rPr>
                <w:rFonts w:cs="Times New Roman"/>
              </w:rPr>
            </w:pPr>
            <w:r>
              <w:rPr>
                <w:rFonts w:cs="Times New Roman"/>
              </w:rPr>
              <w:t>127</w:t>
            </w:r>
          </w:p>
        </w:tc>
        <w:tc>
          <w:tcPr>
            <w:tcW w:w="935" w:type="pct"/>
            <w:vAlign w:val="center"/>
          </w:tcPr>
          <w:p w14:paraId="0DF1580F">
            <w:pPr>
              <w:pStyle w:val="78"/>
              <w:rPr>
                <w:rFonts w:cs="Times New Roman"/>
              </w:rPr>
            </w:pPr>
            <w:r>
              <w:rPr>
                <w:rFonts w:cs="Times New Roman"/>
              </w:rPr>
              <w:t>84.4</w:t>
            </w:r>
          </w:p>
        </w:tc>
        <w:tc>
          <w:tcPr>
            <w:tcW w:w="936" w:type="pct"/>
            <w:vAlign w:val="center"/>
          </w:tcPr>
          <w:p w14:paraId="7ECBE1C8">
            <w:pPr>
              <w:pStyle w:val="78"/>
              <w:rPr>
                <w:rFonts w:cs="Times New Roman"/>
              </w:rPr>
            </w:pPr>
            <w:r>
              <w:rPr>
                <w:rFonts w:cs="Times New Roman"/>
              </w:rPr>
              <w:t>210</w:t>
            </w:r>
          </w:p>
        </w:tc>
      </w:tr>
      <w:tr w14:paraId="5AD2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AA5834B">
            <w:pPr>
              <w:pStyle w:val="78"/>
              <w:rPr>
                <w:rFonts w:cs="Times New Roman"/>
              </w:rPr>
            </w:pPr>
            <w:r>
              <w:rPr>
                <w:rFonts w:cs="Times New Roman"/>
              </w:rPr>
              <w:t>硫酸盐</w:t>
            </w:r>
          </w:p>
        </w:tc>
        <w:tc>
          <w:tcPr>
            <w:tcW w:w="935" w:type="pct"/>
            <w:vAlign w:val="center"/>
          </w:tcPr>
          <w:p w14:paraId="4AAAC191">
            <w:pPr>
              <w:pStyle w:val="78"/>
              <w:rPr>
                <w:rFonts w:cs="Times New Roman"/>
              </w:rPr>
            </w:pPr>
            <w:r>
              <w:rPr>
                <w:rFonts w:cs="Times New Roman"/>
              </w:rPr>
              <w:t>2.1</w:t>
            </w:r>
          </w:p>
        </w:tc>
        <w:tc>
          <w:tcPr>
            <w:tcW w:w="935" w:type="pct"/>
            <w:vAlign w:val="center"/>
          </w:tcPr>
          <w:p w14:paraId="13D0B20B">
            <w:pPr>
              <w:pStyle w:val="78"/>
              <w:rPr>
                <w:rFonts w:cs="Times New Roman"/>
              </w:rPr>
            </w:pPr>
            <w:r>
              <w:rPr>
                <w:rFonts w:cs="Times New Roman"/>
              </w:rPr>
              <w:t>7.3</w:t>
            </w:r>
          </w:p>
        </w:tc>
        <w:tc>
          <w:tcPr>
            <w:tcW w:w="935" w:type="pct"/>
            <w:vAlign w:val="center"/>
          </w:tcPr>
          <w:p w14:paraId="484B05B8">
            <w:pPr>
              <w:pStyle w:val="78"/>
              <w:rPr>
                <w:rFonts w:cs="Times New Roman"/>
              </w:rPr>
            </w:pPr>
            <w:r>
              <w:rPr>
                <w:rFonts w:cs="Times New Roman"/>
              </w:rPr>
              <w:t>5</w:t>
            </w:r>
          </w:p>
        </w:tc>
        <w:tc>
          <w:tcPr>
            <w:tcW w:w="936" w:type="pct"/>
            <w:vAlign w:val="center"/>
          </w:tcPr>
          <w:p w14:paraId="012746C1">
            <w:pPr>
              <w:pStyle w:val="78"/>
              <w:rPr>
                <w:rFonts w:cs="Times New Roman"/>
              </w:rPr>
            </w:pPr>
            <w:r>
              <w:rPr>
                <w:rFonts w:cs="Times New Roman"/>
              </w:rPr>
              <w:t>15.6</w:t>
            </w:r>
          </w:p>
        </w:tc>
      </w:tr>
      <w:tr w14:paraId="5D3A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6073B0C">
            <w:pPr>
              <w:pStyle w:val="78"/>
              <w:rPr>
                <w:rFonts w:cs="Times New Roman"/>
              </w:rPr>
            </w:pPr>
            <w:r>
              <w:rPr>
                <w:rFonts w:cs="Times New Roman"/>
              </w:rPr>
              <w:t>硝酸盐氮</w:t>
            </w:r>
          </w:p>
        </w:tc>
        <w:tc>
          <w:tcPr>
            <w:tcW w:w="935" w:type="pct"/>
            <w:vAlign w:val="center"/>
          </w:tcPr>
          <w:p w14:paraId="1E711C05">
            <w:pPr>
              <w:pStyle w:val="78"/>
              <w:rPr>
                <w:rFonts w:cs="Times New Roman"/>
              </w:rPr>
            </w:pPr>
            <w:r>
              <w:rPr>
                <w:rFonts w:cs="Times New Roman"/>
              </w:rPr>
              <w:t>0.1</w:t>
            </w:r>
          </w:p>
        </w:tc>
        <w:tc>
          <w:tcPr>
            <w:tcW w:w="935" w:type="pct"/>
            <w:vAlign w:val="center"/>
          </w:tcPr>
          <w:p w14:paraId="744CAB6D">
            <w:pPr>
              <w:pStyle w:val="78"/>
              <w:rPr>
                <w:rFonts w:cs="Times New Roman"/>
              </w:rPr>
            </w:pPr>
            <w:r>
              <w:rPr>
                <w:rFonts w:cs="Times New Roman"/>
              </w:rPr>
              <w:t>5.8</w:t>
            </w:r>
          </w:p>
        </w:tc>
        <w:tc>
          <w:tcPr>
            <w:tcW w:w="935" w:type="pct"/>
            <w:vAlign w:val="center"/>
          </w:tcPr>
          <w:p w14:paraId="3C597CF8">
            <w:pPr>
              <w:pStyle w:val="78"/>
              <w:rPr>
                <w:rFonts w:cs="Times New Roman"/>
              </w:rPr>
            </w:pPr>
            <w:r>
              <w:rPr>
                <w:rFonts w:cs="Times New Roman"/>
              </w:rPr>
              <w:t>3.8</w:t>
            </w:r>
          </w:p>
        </w:tc>
        <w:tc>
          <w:tcPr>
            <w:tcW w:w="936" w:type="pct"/>
            <w:vAlign w:val="center"/>
          </w:tcPr>
          <w:p w14:paraId="501C000C">
            <w:pPr>
              <w:pStyle w:val="78"/>
              <w:rPr>
                <w:rFonts w:cs="Times New Roman"/>
              </w:rPr>
            </w:pPr>
            <w:r>
              <w:rPr>
                <w:rFonts w:cs="Times New Roman"/>
              </w:rPr>
              <w:t>10.5</w:t>
            </w:r>
          </w:p>
        </w:tc>
      </w:tr>
      <w:tr w14:paraId="18F3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FA1D1B5">
            <w:pPr>
              <w:pStyle w:val="78"/>
              <w:rPr>
                <w:rFonts w:cs="Times New Roman"/>
              </w:rPr>
            </w:pPr>
            <w:r>
              <w:rPr>
                <w:rFonts w:cs="Times New Roman"/>
              </w:rPr>
              <w:t>亚硝酸盐氮</w:t>
            </w:r>
          </w:p>
        </w:tc>
        <w:tc>
          <w:tcPr>
            <w:tcW w:w="935" w:type="pct"/>
            <w:vAlign w:val="center"/>
          </w:tcPr>
          <w:p w14:paraId="6DF6D847">
            <w:pPr>
              <w:pStyle w:val="78"/>
              <w:rPr>
                <w:rFonts w:cs="Times New Roman"/>
              </w:rPr>
            </w:pPr>
            <w:r>
              <w:rPr>
                <w:rFonts w:cs="Times New Roman"/>
              </w:rPr>
              <w:t>ND</w:t>
            </w:r>
          </w:p>
        </w:tc>
        <w:tc>
          <w:tcPr>
            <w:tcW w:w="935" w:type="pct"/>
            <w:vAlign w:val="center"/>
          </w:tcPr>
          <w:p w14:paraId="31D41F98">
            <w:pPr>
              <w:pStyle w:val="78"/>
              <w:rPr>
                <w:rFonts w:cs="Times New Roman"/>
              </w:rPr>
            </w:pPr>
            <w:r>
              <w:rPr>
                <w:rFonts w:cs="Times New Roman"/>
              </w:rPr>
              <w:t>0.096</w:t>
            </w:r>
          </w:p>
        </w:tc>
        <w:tc>
          <w:tcPr>
            <w:tcW w:w="935" w:type="pct"/>
            <w:vAlign w:val="center"/>
          </w:tcPr>
          <w:p w14:paraId="31CCD12D">
            <w:pPr>
              <w:pStyle w:val="78"/>
              <w:rPr>
                <w:rFonts w:cs="Times New Roman"/>
              </w:rPr>
            </w:pPr>
            <w:r>
              <w:rPr>
                <w:rFonts w:cs="Times New Roman"/>
              </w:rPr>
              <w:t>0.066</w:t>
            </w:r>
          </w:p>
        </w:tc>
        <w:tc>
          <w:tcPr>
            <w:tcW w:w="936" w:type="pct"/>
            <w:vAlign w:val="center"/>
          </w:tcPr>
          <w:p w14:paraId="198185B7">
            <w:pPr>
              <w:pStyle w:val="78"/>
              <w:rPr>
                <w:rFonts w:cs="Times New Roman"/>
              </w:rPr>
            </w:pPr>
            <w:r>
              <w:rPr>
                <w:rFonts w:cs="Times New Roman"/>
              </w:rPr>
              <w:t>0.148</w:t>
            </w:r>
          </w:p>
        </w:tc>
      </w:tr>
      <w:tr w14:paraId="3F1A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E9774CC">
            <w:pPr>
              <w:pStyle w:val="78"/>
              <w:rPr>
                <w:rFonts w:cs="Times New Roman"/>
              </w:rPr>
            </w:pPr>
            <w:r>
              <w:rPr>
                <w:rFonts w:cs="Times New Roman"/>
              </w:rPr>
              <w:t>碳酸根</w:t>
            </w:r>
          </w:p>
        </w:tc>
        <w:tc>
          <w:tcPr>
            <w:tcW w:w="935" w:type="pct"/>
            <w:vAlign w:val="center"/>
          </w:tcPr>
          <w:p w14:paraId="236886F6">
            <w:pPr>
              <w:pStyle w:val="78"/>
              <w:rPr>
                <w:rFonts w:cs="Times New Roman"/>
              </w:rPr>
            </w:pPr>
            <w:r>
              <w:rPr>
                <w:rFonts w:cs="Times New Roman"/>
              </w:rPr>
              <w:t>ND</w:t>
            </w:r>
          </w:p>
        </w:tc>
        <w:tc>
          <w:tcPr>
            <w:tcW w:w="935" w:type="pct"/>
            <w:vAlign w:val="center"/>
          </w:tcPr>
          <w:p w14:paraId="7C0E3E77">
            <w:pPr>
              <w:pStyle w:val="78"/>
              <w:rPr>
                <w:rFonts w:cs="Times New Roman"/>
              </w:rPr>
            </w:pPr>
            <w:r>
              <w:rPr>
                <w:rFonts w:cs="Times New Roman"/>
              </w:rPr>
              <w:t>ND</w:t>
            </w:r>
          </w:p>
        </w:tc>
        <w:tc>
          <w:tcPr>
            <w:tcW w:w="935" w:type="pct"/>
            <w:vAlign w:val="center"/>
          </w:tcPr>
          <w:p w14:paraId="497F56C9">
            <w:pPr>
              <w:pStyle w:val="78"/>
              <w:rPr>
                <w:rFonts w:cs="Times New Roman"/>
              </w:rPr>
            </w:pPr>
            <w:r>
              <w:rPr>
                <w:rFonts w:cs="Times New Roman"/>
              </w:rPr>
              <w:t>ND</w:t>
            </w:r>
          </w:p>
        </w:tc>
        <w:tc>
          <w:tcPr>
            <w:tcW w:w="936" w:type="pct"/>
            <w:vAlign w:val="center"/>
          </w:tcPr>
          <w:p w14:paraId="35314B17">
            <w:pPr>
              <w:pStyle w:val="78"/>
              <w:rPr>
                <w:rFonts w:cs="Times New Roman"/>
              </w:rPr>
            </w:pPr>
            <w:r>
              <w:rPr>
                <w:rFonts w:cs="Times New Roman"/>
              </w:rPr>
              <w:t>ND</w:t>
            </w:r>
          </w:p>
        </w:tc>
      </w:tr>
      <w:tr w14:paraId="4208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7760BA16">
            <w:pPr>
              <w:pStyle w:val="78"/>
              <w:rPr>
                <w:rFonts w:cs="Times New Roman"/>
              </w:rPr>
            </w:pPr>
            <w:r>
              <w:rPr>
                <w:rFonts w:cs="Times New Roman"/>
              </w:rPr>
              <w:t>重碳酸根</w:t>
            </w:r>
          </w:p>
        </w:tc>
        <w:tc>
          <w:tcPr>
            <w:tcW w:w="935" w:type="pct"/>
            <w:vAlign w:val="center"/>
          </w:tcPr>
          <w:p w14:paraId="54CFC4A5">
            <w:pPr>
              <w:pStyle w:val="78"/>
              <w:rPr>
                <w:rFonts w:cs="Times New Roman"/>
              </w:rPr>
            </w:pPr>
            <w:r>
              <w:rPr>
                <w:rFonts w:cs="Times New Roman"/>
              </w:rPr>
              <w:t>76.2</w:t>
            </w:r>
          </w:p>
        </w:tc>
        <w:tc>
          <w:tcPr>
            <w:tcW w:w="935" w:type="pct"/>
            <w:vAlign w:val="center"/>
          </w:tcPr>
          <w:p w14:paraId="41B7C216">
            <w:pPr>
              <w:pStyle w:val="78"/>
              <w:rPr>
                <w:rFonts w:cs="Times New Roman"/>
              </w:rPr>
            </w:pPr>
            <w:r>
              <w:rPr>
                <w:rFonts w:cs="Times New Roman"/>
              </w:rPr>
              <w:t>105</w:t>
            </w:r>
          </w:p>
        </w:tc>
        <w:tc>
          <w:tcPr>
            <w:tcW w:w="935" w:type="pct"/>
            <w:vAlign w:val="center"/>
          </w:tcPr>
          <w:p w14:paraId="419D9F28">
            <w:pPr>
              <w:pStyle w:val="78"/>
              <w:rPr>
                <w:rFonts w:cs="Times New Roman"/>
              </w:rPr>
            </w:pPr>
            <w:r>
              <w:rPr>
                <w:rFonts w:cs="Times New Roman"/>
              </w:rPr>
              <w:t>98.7</w:t>
            </w:r>
          </w:p>
        </w:tc>
        <w:tc>
          <w:tcPr>
            <w:tcW w:w="936" w:type="pct"/>
            <w:vAlign w:val="center"/>
          </w:tcPr>
          <w:p w14:paraId="56EFA137">
            <w:pPr>
              <w:pStyle w:val="78"/>
              <w:rPr>
                <w:rFonts w:cs="Times New Roman"/>
              </w:rPr>
            </w:pPr>
            <w:r>
              <w:rPr>
                <w:rFonts w:cs="Times New Roman"/>
              </w:rPr>
              <w:t>142</w:t>
            </w:r>
          </w:p>
        </w:tc>
      </w:tr>
      <w:tr w14:paraId="31D0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5DFFF0EF">
            <w:pPr>
              <w:pStyle w:val="78"/>
              <w:rPr>
                <w:rFonts w:cs="Times New Roman"/>
              </w:rPr>
            </w:pPr>
            <w:r>
              <w:rPr>
                <w:rFonts w:cs="Times New Roman"/>
              </w:rPr>
              <w:t>汞</w:t>
            </w:r>
          </w:p>
        </w:tc>
        <w:tc>
          <w:tcPr>
            <w:tcW w:w="935" w:type="pct"/>
            <w:vAlign w:val="center"/>
          </w:tcPr>
          <w:p w14:paraId="3ECAEC46">
            <w:pPr>
              <w:pStyle w:val="78"/>
              <w:rPr>
                <w:rFonts w:cs="Times New Roman"/>
              </w:rPr>
            </w:pPr>
            <w:r>
              <w:rPr>
                <w:rFonts w:cs="Times New Roman"/>
              </w:rPr>
              <w:t>ND</w:t>
            </w:r>
          </w:p>
        </w:tc>
        <w:tc>
          <w:tcPr>
            <w:tcW w:w="935" w:type="pct"/>
            <w:vAlign w:val="center"/>
          </w:tcPr>
          <w:p w14:paraId="09D6FF0B">
            <w:pPr>
              <w:pStyle w:val="78"/>
              <w:rPr>
                <w:rFonts w:cs="Times New Roman"/>
              </w:rPr>
            </w:pPr>
            <w:r>
              <w:rPr>
                <w:rFonts w:cs="Times New Roman"/>
              </w:rPr>
              <w:t>ND</w:t>
            </w:r>
          </w:p>
        </w:tc>
        <w:tc>
          <w:tcPr>
            <w:tcW w:w="935" w:type="pct"/>
            <w:vAlign w:val="center"/>
          </w:tcPr>
          <w:p w14:paraId="1802F2A9">
            <w:pPr>
              <w:pStyle w:val="78"/>
              <w:rPr>
                <w:rFonts w:cs="Times New Roman"/>
              </w:rPr>
            </w:pPr>
            <w:r>
              <w:rPr>
                <w:rFonts w:cs="Times New Roman"/>
              </w:rPr>
              <w:t>ND</w:t>
            </w:r>
          </w:p>
        </w:tc>
        <w:tc>
          <w:tcPr>
            <w:tcW w:w="936" w:type="pct"/>
            <w:vAlign w:val="center"/>
          </w:tcPr>
          <w:p w14:paraId="4423F092">
            <w:pPr>
              <w:pStyle w:val="78"/>
              <w:rPr>
                <w:rFonts w:cs="Times New Roman"/>
              </w:rPr>
            </w:pPr>
            <w:r>
              <w:rPr>
                <w:rFonts w:cs="Times New Roman"/>
              </w:rPr>
              <w:t>ND</w:t>
            </w:r>
          </w:p>
        </w:tc>
      </w:tr>
      <w:tr w14:paraId="0279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728A767">
            <w:pPr>
              <w:pStyle w:val="78"/>
              <w:rPr>
                <w:rFonts w:cs="Times New Roman"/>
              </w:rPr>
            </w:pPr>
            <w:r>
              <w:rPr>
                <w:rFonts w:cs="Times New Roman"/>
              </w:rPr>
              <w:t>砷</w:t>
            </w:r>
          </w:p>
        </w:tc>
        <w:tc>
          <w:tcPr>
            <w:tcW w:w="935" w:type="pct"/>
            <w:vAlign w:val="center"/>
          </w:tcPr>
          <w:p w14:paraId="2DAAE725">
            <w:pPr>
              <w:pStyle w:val="78"/>
              <w:rPr>
                <w:rFonts w:cs="Times New Roman"/>
              </w:rPr>
            </w:pPr>
            <w:r>
              <w:rPr>
                <w:rFonts w:cs="Times New Roman"/>
              </w:rPr>
              <w:t>ND</w:t>
            </w:r>
          </w:p>
        </w:tc>
        <w:tc>
          <w:tcPr>
            <w:tcW w:w="935" w:type="pct"/>
            <w:vAlign w:val="center"/>
          </w:tcPr>
          <w:p w14:paraId="10725049">
            <w:pPr>
              <w:pStyle w:val="78"/>
              <w:rPr>
                <w:rFonts w:cs="Times New Roman"/>
              </w:rPr>
            </w:pPr>
            <w:r>
              <w:rPr>
                <w:rFonts w:cs="Times New Roman"/>
              </w:rPr>
              <w:t>0.0007</w:t>
            </w:r>
          </w:p>
        </w:tc>
        <w:tc>
          <w:tcPr>
            <w:tcW w:w="935" w:type="pct"/>
            <w:vAlign w:val="center"/>
          </w:tcPr>
          <w:p w14:paraId="0C7EABD5">
            <w:pPr>
              <w:pStyle w:val="78"/>
              <w:rPr>
                <w:rFonts w:cs="Times New Roman"/>
              </w:rPr>
            </w:pPr>
            <w:r>
              <w:rPr>
                <w:rFonts w:cs="Times New Roman"/>
              </w:rPr>
              <w:t>ND</w:t>
            </w:r>
          </w:p>
        </w:tc>
        <w:tc>
          <w:tcPr>
            <w:tcW w:w="936" w:type="pct"/>
            <w:vAlign w:val="center"/>
          </w:tcPr>
          <w:p w14:paraId="7292BD67">
            <w:pPr>
              <w:pStyle w:val="78"/>
              <w:rPr>
                <w:rFonts w:cs="Times New Roman"/>
              </w:rPr>
            </w:pPr>
            <w:r>
              <w:rPr>
                <w:rFonts w:cs="Times New Roman"/>
              </w:rPr>
              <w:t>ND</w:t>
            </w:r>
          </w:p>
        </w:tc>
      </w:tr>
      <w:tr w14:paraId="3E82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78F4D17A">
            <w:pPr>
              <w:pStyle w:val="78"/>
              <w:rPr>
                <w:rFonts w:cs="Times New Roman"/>
              </w:rPr>
            </w:pPr>
            <w:r>
              <w:rPr>
                <w:rFonts w:cs="Times New Roman"/>
              </w:rPr>
              <w:t>铁</w:t>
            </w:r>
          </w:p>
        </w:tc>
        <w:tc>
          <w:tcPr>
            <w:tcW w:w="935" w:type="pct"/>
            <w:vAlign w:val="center"/>
          </w:tcPr>
          <w:p w14:paraId="631527A9">
            <w:pPr>
              <w:pStyle w:val="78"/>
              <w:rPr>
                <w:rFonts w:cs="Times New Roman"/>
              </w:rPr>
            </w:pPr>
            <w:r>
              <w:rPr>
                <w:rFonts w:cs="Times New Roman"/>
              </w:rPr>
              <w:t>0.48</w:t>
            </w:r>
          </w:p>
        </w:tc>
        <w:tc>
          <w:tcPr>
            <w:tcW w:w="935" w:type="pct"/>
            <w:vAlign w:val="center"/>
          </w:tcPr>
          <w:p w14:paraId="3D9F765B">
            <w:pPr>
              <w:pStyle w:val="78"/>
              <w:rPr>
                <w:rFonts w:cs="Times New Roman"/>
              </w:rPr>
            </w:pPr>
            <w:r>
              <w:rPr>
                <w:rFonts w:cs="Times New Roman"/>
              </w:rPr>
              <w:t>0.64</w:t>
            </w:r>
          </w:p>
        </w:tc>
        <w:tc>
          <w:tcPr>
            <w:tcW w:w="935" w:type="pct"/>
            <w:vAlign w:val="center"/>
          </w:tcPr>
          <w:p w14:paraId="298C537B">
            <w:pPr>
              <w:pStyle w:val="78"/>
              <w:rPr>
                <w:rFonts w:cs="Times New Roman"/>
              </w:rPr>
            </w:pPr>
            <w:r>
              <w:rPr>
                <w:rFonts w:cs="Times New Roman"/>
              </w:rPr>
              <w:t>0.25</w:t>
            </w:r>
          </w:p>
        </w:tc>
        <w:tc>
          <w:tcPr>
            <w:tcW w:w="936" w:type="pct"/>
            <w:vAlign w:val="center"/>
          </w:tcPr>
          <w:p w14:paraId="076B6809">
            <w:pPr>
              <w:pStyle w:val="78"/>
              <w:rPr>
                <w:rFonts w:cs="Times New Roman"/>
              </w:rPr>
            </w:pPr>
            <w:r>
              <w:rPr>
                <w:rFonts w:cs="Times New Roman"/>
              </w:rPr>
              <w:t>0.7</w:t>
            </w:r>
          </w:p>
        </w:tc>
      </w:tr>
      <w:tr w14:paraId="040B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9FDAE05">
            <w:pPr>
              <w:pStyle w:val="78"/>
              <w:rPr>
                <w:rFonts w:cs="Times New Roman"/>
              </w:rPr>
            </w:pPr>
            <w:r>
              <w:rPr>
                <w:rFonts w:cs="Times New Roman"/>
              </w:rPr>
              <w:t>锰</w:t>
            </w:r>
          </w:p>
        </w:tc>
        <w:tc>
          <w:tcPr>
            <w:tcW w:w="935" w:type="pct"/>
            <w:vAlign w:val="center"/>
          </w:tcPr>
          <w:p w14:paraId="5409C4F1">
            <w:pPr>
              <w:pStyle w:val="78"/>
              <w:rPr>
                <w:rFonts w:cs="Times New Roman"/>
              </w:rPr>
            </w:pPr>
            <w:r>
              <w:rPr>
                <w:rFonts w:cs="Times New Roman"/>
              </w:rPr>
              <w:t>3.93</w:t>
            </w:r>
          </w:p>
        </w:tc>
        <w:tc>
          <w:tcPr>
            <w:tcW w:w="935" w:type="pct"/>
            <w:vAlign w:val="center"/>
          </w:tcPr>
          <w:p w14:paraId="15D52433">
            <w:pPr>
              <w:pStyle w:val="78"/>
              <w:rPr>
                <w:rFonts w:cs="Times New Roman"/>
              </w:rPr>
            </w:pPr>
            <w:r>
              <w:rPr>
                <w:rFonts w:cs="Times New Roman"/>
              </w:rPr>
              <w:t>1.48</w:t>
            </w:r>
          </w:p>
        </w:tc>
        <w:tc>
          <w:tcPr>
            <w:tcW w:w="935" w:type="pct"/>
            <w:vAlign w:val="center"/>
          </w:tcPr>
          <w:p w14:paraId="2CDA796B">
            <w:pPr>
              <w:pStyle w:val="78"/>
              <w:rPr>
                <w:rFonts w:cs="Times New Roman"/>
              </w:rPr>
            </w:pPr>
            <w:r>
              <w:rPr>
                <w:rFonts w:cs="Times New Roman"/>
              </w:rPr>
              <w:t>2.58</w:t>
            </w:r>
          </w:p>
        </w:tc>
        <w:tc>
          <w:tcPr>
            <w:tcW w:w="936" w:type="pct"/>
            <w:vAlign w:val="center"/>
          </w:tcPr>
          <w:p w14:paraId="5470BCE3">
            <w:pPr>
              <w:pStyle w:val="78"/>
              <w:rPr>
                <w:rFonts w:cs="Times New Roman"/>
              </w:rPr>
            </w:pPr>
            <w:r>
              <w:rPr>
                <w:rFonts w:cs="Times New Roman"/>
              </w:rPr>
              <w:t>0.42</w:t>
            </w:r>
          </w:p>
        </w:tc>
      </w:tr>
      <w:tr w14:paraId="22D7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A0133EA">
            <w:pPr>
              <w:pStyle w:val="78"/>
              <w:rPr>
                <w:rFonts w:cs="Times New Roman"/>
              </w:rPr>
            </w:pPr>
            <w:r>
              <w:rPr>
                <w:rFonts w:cs="Times New Roman"/>
              </w:rPr>
              <w:t>铜</w:t>
            </w:r>
          </w:p>
        </w:tc>
        <w:tc>
          <w:tcPr>
            <w:tcW w:w="935" w:type="pct"/>
            <w:vAlign w:val="center"/>
          </w:tcPr>
          <w:p w14:paraId="5B317990">
            <w:pPr>
              <w:pStyle w:val="78"/>
              <w:rPr>
                <w:rFonts w:cs="Times New Roman"/>
              </w:rPr>
            </w:pPr>
            <w:r>
              <w:rPr>
                <w:rFonts w:cs="Times New Roman"/>
              </w:rPr>
              <w:t>0.00031</w:t>
            </w:r>
          </w:p>
        </w:tc>
        <w:tc>
          <w:tcPr>
            <w:tcW w:w="935" w:type="pct"/>
            <w:vAlign w:val="center"/>
          </w:tcPr>
          <w:p w14:paraId="14117630">
            <w:pPr>
              <w:pStyle w:val="78"/>
              <w:rPr>
                <w:rFonts w:cs="Times New Roman"/>
              </w:rPr>
            </w:pPr>
            <w:r>
              <w:rPr>
                <w:rFonts w:cs="Times New Roman"/>
              </w:rPr>
              <w:t>0.00034</w:t>
            </w:r>
          </w:p>
        </w:tc>
        <w:tc>
          <w:tcPr>
            <w:tcW w:w="935" w:type="pct"/>
            <w:vAlign w:val="center"/>
          </w:tcPr>
          <w:p w14:paraId="7CEFBFFD">
            <w:pPr>
              <w:pStyle w:val="78"/>
              <w:rPr>
                <w:rFonts w:cs="Times New Roman"/>
              </w:rPr>
            </w:pPr>
            <w:r>
              <w:rPr>
                <w:rFonts w:cs="Times New Roman"/>
              </w:rPr>
              <w:t>0.00026</w:t>
            </w:r>
          </w:p>
        </w:tc>
        <w:tc>
          <w:tcPr>
            <w:tcW w:w="936" w:type="pct"/>
            <w:vAlign w:val="center"/>
          </w:tcPr>
          <w:p w14:paraId="14A541BA">
            <w:pPr>
              <w:pStyle w:val="78"/>
              <w:rPr>
                <w:rFonts w:cs="Times New Roman"/>
              </w:rPr>
            </w:pPr>
            <w:r>
              <w:rPr>
                <w:rFonts w:cs="Times New Roman"/>
              </w:rPr>
              <w:t>0.00044</w:t>
            </w:r>
          </w:p>
        </w:tc>
      </w:tr>
      <w:tr w14:paraId="2B94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5638222">
            <w:pPr>
              <w:pStyle w:val="78"/>
              <w:rPr>
                <w:rFonts w:cs="Times New Roman"/>
              </w:rPr>
            </w:pPr>
            <w:r>
              <w:rPr>
                <w:rFonts w:cs="Times New Roman"/>
              </w:rPr>
              <w:t>锌</w:t>
            </w:r>
          </w:p>
        </w:tc>
        <w:tc>
          <w:tcPr>
            <w:tcW w:w="935" w:type="pct"/>
            <w:vAlign w:val="center"/>
          </w:tcPr>
          <w:p w14:paraId="4584303D">
            <w:pPr>
              <w:pStyle w:val="78"/>
              <w:rPr>
                <w:rFonts w:cs="Times New Roman"/>
              </w:rPr>
            </w:pPr>
            <w:r>
              <w:rPr>
                <w:rFonts w:cs="Times New Roman"/>
              </w:rPr>
              <w:t>0.0148</w:t>
            </w:r>
          </w:p>
        </w:tc>
        <w:tc>
          <w:tcPr>
            <w:tcW w:w="935" w:type="pct"/>
            <w:vAlign w:val="center"/>
          </w:tcPr>
          <w:p w14:paraId="7B3B5E7C">
            <w:pPr>
              <w:pStyle w:val="78"/>
              <w:rPr>
                <w:rFonts w:cs="Times New Roman"/>
              </w:rPr>
            </w:pPr>
            <w:r>
              <w:rPr>
                <w:rFonts w:cs="Times New Roman"/>
              </w:rPr>
              <w:t>0.00184</w:t>
            </w:r>
          </w:p>
        </w:tc>
        <w:tc>
          <w:tcPr>
            <w:tcW w:w="935" w:type="pct"/>
            <w:vAlign w:val="center"/>
          </w:tcPr>
          <w:p w14:paraId="2FA4C272">
            <w:pPr>
              <w:pStyle w:val="78"/>
              <w:rPr>
                <w:rFonts w:cs="Times New Roman"/>
              </w:rPr>
            </w:pPr>
            <w:r>
              <w:rPr>
                <w:rFonts w:cs="Times New Roman"/>
              </w:rPr>
              <w:t>0.00555</w:t>
            </w:r>
          </w:p>
        </w:tc>
        <w:tc>
          <w:tcPr>
            <w:tcW w:w="936" w:type="pct"/>
            <w:vAlign w:val="center"/>
          </w:tcPr>
          <w:p w14:paraId="5EC44B94">
            <w:pPr>
              <w:pStyle w:val="78"/>
              <w:rPr>
                <w:rFonts w:cs="Times New Roman"/>
              </w:rPr>
            </w:pPr>
            <w:r>
              <w:rPr>
                <w:rFonts w:cs="Times New Roman"/>
              </w:rPr>
              <w:t>0.00118</w:t>
            </w:r>
          </w:p>
        </w:tc>
      </w:tr>
      <w:tr w14:paraId="29C8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77536134">
            <w:pPr>
              <w:pStyle w:val="78"/>
              <w:rPr>
                <w:rFonts w:cs="Times New Roman"/>
              </w:rPr>
            </w:pPr>
            <w:r>
              <w:rPr>
                <w:rFonts w:cs="Times New Roman"/>
              </w:rPr>
              <w:t>铅</w:t>
            </w:r>
          </w:p>
        </w:tc>
        <w:tc>
          <w:tcPr>
            <w:tcW w:w="935" w:type="pct"/>
            <w:vAlign w:val="center"/>
          </w:tcPr>
          <w:p w14:paraId="54C50193">
            <w:pPr>
              <w:pStyle w:val="78"/>
              <w:rPr>
                <w:rFonts w:cs="Times New Roman"/>
              </w:rPr>
            </w:pPr>
            <w:r>
              <w:rPr>
                <w:rFonts w:cs="Times New Roman"/>
              </w:rPr>
              <w:t>ND</w:t>
            </w:r>
          </w:p>
        </w:tc>
        <w:tc>
          <w:tcPr>
            <w:tcW w:w="935" w:type="pct"/>
            <w:vAlign w:val="center"/>
          </w:tcPr>
          <w:p w14:paraId="24DA3DA5">
            <w:pPr>
              <w:pStyle w:val="78"/>
              <w:rPr>
                <w:rFonts w:cs="Times New Roman"/>
              </w:rPr>
            </w:pPr>
            <w:r>
              <w:rPr>
                <w:rFonts w:cs="Times New Roman"/>
              </w:rPr>
              <w:t>ND</w:t>
            </w:r>
          </w:p>
        </w:tc>
        <w:tc>
          <w:tcPr>
            <w:tcW w:w="935" w:type="pct"/>
            <w:vAlign w:val="center"/>
          </w:tcPr>
          <w:p w14:paraId="637BA33A">
            <w:pPr>
              <w:pStyle w:val="78"/>
              <w:rPr>
                <w:rFonts w:cs="Times New Roman"/>
              </w:rPr>
            </w:pPr>
            <w:r>
              <w:rPr>
                <w:rFonts w:cs="Times New Roman"/>
              </w:rPr>
              <w:t>ND</w:t>
            </w:r>
          </w:p>
        </w:tc>
        <w:tc>
          <w:tcPr>
            <w:tcW w:w="936" w:type="pct"/>
            <w:vAlign w:val="center"/>
          </w:tcPr>
          <w:p w14:paraId="1931E26E">
            <w:pPr>
              <w:pStyle w:val="78"/>
              <w:rPr>
                <w:rFonts w:cs="Times New Roman"/>
              </w:rPr>
            </w:pPr>
            <w:r>
              <w:rPr>
                <w:rFonts w:cs="Times New Roman"/>
              </w:rPr>
              <w:t>ND</w:t>
            </w:r>
          </w:p>
        </w:tc>
      </w:tr>
      <w:tr w14:paraId="4BEF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0745565E">
            <w:pPr>
              <w:pStyle w:val="78"/>
              <w:rPr>
                <w:rFonts w:cs="Times New Roman"/>
              </w:rPr>
            </w:pPr>
            <w:r>
              <w:rPr>
                <w:rFonts w:cs="Times New Roman"/>
              </w:rPr>
              <w:t>镉</w:t>
            </w:r>
          </w:p>
        </w:tc>
        <w:tc>
          <w:tcPr>
            <w:tcW w:w="935" w:type="pct"/>
            <w:vAlign w:val="center"/>
          </w:tcPr>
          <w:p w14:paraId="0A0F0528">
            <w:pPr>
              <w:pStyle w:val="78"/>
              <w:rPr>
                <w:rFonts w:cs="Times New Roman"/>
              </w:rPr>
            </w:pPr>
            <w:r>
              <w:rPr>
                <w:rFonts w:cs="Times New Roman"/>
              </w:rPr>
              <w:t>ND</w:t>
            </w:r>
          </w:p>
        </w:tc>
        <w:tc>
          <w:tcPr>
            <w:tcW w:w="935" w:type="pct"/>
            <w:vAlign w:val="center"/>
          </w:tcPr>
          <w:p w14:paraId="7D457B10">
            <w:pPr>
              <w:pStyle w:val="78"/>
              <w:rPr>
                <w:rFonts w:cs="Times New Roman"/>
              </w:rPr>
            </w:pPr>
            <w:r>
              <w:rPr>
                <w:rFonts w:cs="Times New Roman"/>
              </w:rPr>
              <w:t>ND</w:t>
            </w:r>
          </w:p>
        </w:tc>
        <w:tc>
          <w:tcPr>
            <w:tcW w:w="935" w:type="pct"/>
            <w:vAlign w:val="center"/>
          </w:tcPr>
          <w:p w14:paraId="6D8F031B">
            <w:pPr>
              <w:pStyle w:val="78"/>
              <w:rPr>
                <w:rFonts w:cs="Times New Roman"/>
              </w:rPr>
            </w:pPr>
            <w:r>
              <w:rPr>
                <w:rFonts w:cs="Times New Roman"/>
              </w:rPr>
              <w:t>ND</w:t>
            </w:r>
          </w:p>
        </w:tc>
        <w:tc>
          <w:tcPr>
            <w:tcW w:w="936" w:type="pct"/>
            <w:vAlign w:val="center"/>
          </w:tcPr>
          <w:p w14:paraId="22770B09">
            <w:pPr>
              <w:pStyle w:val="78"/>
              <w:rPr>
                <w:rFonts w:cs="Times New Roman"/>
              </w:rPr>
            </w:pPr>
            <w:r>
              <w:rPr>
                <w:rFonts w:cs="Times New Roman"/>
              </w:rPr>
              <w:t>0.00006</w:t>
            </w:r>
          </w:p>
        </w:tc>
      </w:tr>
      <w:tr w14:paraId="1580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073C417">
            <w:pPr>
              <w:pStyle w:val="78"/>
              <w:rPr>
                <w:rFonts w:cs="Times New Roman"/>
              </w:rPr>
            </w:pPr>
            <w:r>
              <w:rPr>
                <w:rFonts w:cs="Times New Roman"/>
              </w:rPr>
              <w:t>镍</w:t>
            </w:r>
          </w:p>
        </w:tc>
        <w:tc>
          <w:tcPr>
            <w:tcW w:w="935" w:type="pct"/>
            <w:vAlign w:val="center"/>
          </w:tcPr>
          <w:p w14:paraId="64366BAA">
            <w:pPr>
              <w:pStyle w:val="78"/>
              <w:rPr>
                <w:rFonts w:cs="Times New Roman"/>
              </w:rPr>
            </w:pPr>
            <w:r>
              <w:rPr>
                <w:rFonts w:cs="Times New Roman"/>
              </w:rPr>
              <w:t>0.0011</w:t>
            </w:r>
          </w:p>
        </w:tc>
        <w:tc>
          <w:tcPr>
            <w:tcW w:w="935" w:type="pct"/>
            <w:vAlign w:val="center"/>
          </w:tcPr>
          <w:p w14:paraId="16CD3346">
            <w:pPr>
              <w:pStyle w:val="78"/>
              <w:rPr>
                <w:rFonts w:cs="Times New Roman"/>
              </w:rPr>
            </w:pPr>
            <w:r>
              <w:rPr>
                <w:rFonts w:cs="Times New Roman"/>
              </w:rPr>
              <w:t>0.00033</w:t>
            </w:r>
          </w:p>
        </w:tc>
        <w:tc>
          <w:tcPr>
            <w:tcW w:w="935" w:type="pct"/>
            <w:vAlign w:val="center"/>
          </w:tcPr>
          <w:p w14:paraId="5934C817">
            <w:pPr>
              <w:pStyle w:val="78"/>
              <w:rPr>
                <w:rFonts w:cs="Times New Roman"/>
              </w:rPr>
            </w:pPr>
            <w:r>
              <w:rPr>
                <w:rFonts w:cs="Times New Roman"/>
              </w:rPr>
              <w:t>0.00062</w:t>
            </w:r>
          </w:p>
        </w:tc>
        <w:tc>
          <w:tcPr>
            <w:tcW w:w="936" w:type="pct"/>
            <w:vAlign w:val="center"/>
          </w:tcPr>
          <w:p w14:paraId="58ECF504">
            <w:pPr>
              <w:pStyle w:val="78"/>
              <w:rPr>
                <w:rFonts w:cs="Times New Roman"/>
              </w:rPr>
            </w:pPr>
            <w:r>
              <w:rPr>
                <w:rFonts w:cs="Times New Roman"/>
              </w:rPr>
              <w:t>0.00045</w:t>
            </w:r>
          </w:p>
        </w:tc>
      </w:tr>
      <w:tr w14:paraId="6FC3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007DBEEF">
            <w:pPr>
              <w:pStyle w:val="78"/>
              <w:rPr>
                <w:rFonts w:cs="Times New Roman"/>
              </w:rPr>
            </w:pPr>
            <w:r>
              <w:rPr>
                <w:rFonts w:cs="Times New Roman"/>
              </w:rPr>
              <w:t>钒</w:t>
            </w:r>
          </w:p>
        </w:tc>
        <w:tc>
          <w:tcPr>
            <w:tcW w:w="935" w:type="pct"/>
            <w:vAlign w:val="center"/>
          </w:tcPr>
          <w:p w14:paraId="731282CE">
            <w:pPr>
              <w:pStyle w:val="78"/>
              <w:rPr>
                <w:rFonts w:cs="Times New Roman"/>
              </w:rPr>
            </w:pPr>
            <w:r>
              <w:rPr>
                <w:rFonts w:cs="Times New Roman"/>
              </w:rPr>
              <w:t>ND</w:t>
            </w:r>
          </w:p>
        </w:tc>
        <w:tc>
          <w:tcPr>
            <w:tcW w:w="935" w:type="pct"/>
            <w:vAlign w:val="center"/>
          </w:tcPr>
          <w:p w14:paraId="28310A94">
            <w:pPr>
              <w:pStyle w:val="78"/>
              <w:rPr>
                <w:rFonts w:cs="Times New Roman"/>
              </w:rPr>
            </w:pPr>
            <w:r>
              <w:rPr>
                <w:rFonts w:cs="Times New Roman"/>
              </w:rPr>
              <w:t>ND</w:t>
            </w:r>
          </w:p>
        </w:tc>
        <w:tc>
          <w:tcPr>
            <w:tcW w:w="935" w:type="pct"/>
            <w:vAlign w:val="center"/>
          </w:tcPr>
          <w:p w14:paraId="7C6FAACD">
            <w:pPr>
              <w:pStyle w:val="78"/>
              <w:rPr>
                <w:rFonts w:cs="Times New Roman"/>
              </w:rPr>
            </w:pPr>
            <w:r>
              <w:rPr>
                <w:rFonts w:cs="Times New Roman"/>
              </w:rPr>
              <w:t>ND</w:t>
            </w:r>
          </w:p>
        </w:tc>
        <w:tc>
          <w:tcPr>
            <w:tcW w:w="936" w:type="pct"/>
            <w:vAlign w:val="center"/>
          </w:tcPr>
          <w:p w14:paraId="62F86EE9">
            <w:pPr>
              <w:pStyle w:val="78"/>
              <w:rPr>
                <w:rFonts w:cs="Times New Roman"/>
              </w:rPr>
            </w:pPr>
            <w:r>
              <w:rPr>
                <w:rFonts w:cs="Times New Roman"/>
              </w:rPr>
              <w:t>0.00011</w:t>
            </w:r>
          </w:p>
        </w:tc>
      </w:tr>
      <w:tr w14:paraId="0908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468669D">
            <w:pPr>
              <w:pStyle w:val="78"/>
              <w:rPr>
                <w:rFonts w:cs="Times New Roman"/>
              </w:rPr>
            </w:pPr>
            <w:r>
              <w:rPr>
                <w:rFonts w:cs="Times New Roman"/>
              </w:rPr>
              <w:t>铝</w:t>
            </w:r>
          </w:p>
        </w:tc>
        <w:tc>
          <w:tcPr>
            <w:tcW w:w="935" w:type="pct"/>
            <w:vAlign w:val="center"/>
          </w:tcPr>
          <w:p w14:paraId="74356D13">
            <w:pPr>
              <w:pStyle w:val="78"/>
              <w:rPr>
                <w:rFonts w:cs="Times New Roman"/>
              </w:rPr>
            </w:pPr>
            <w:r>
              <w:rPr>
                <w:rFonts w:cs="Times New Roman"/>
              </w:rPr>
              <w:t>ND</w:t>
            </w:r>
          </w:p>
        </w:tc>
        <w:tc>
          <w:tcPr>
            <w:tcW w:w="935" w:type="pct"/>
            <w:vAlign w:val="center"/>
          </w:tcPr>
          <w:p w14:paraId="40A65C27">
            <w:pPr>
              <w:pStyle w:val="78"/>
              <w:rPr>
                <w:rFonts w:cs="Times New Roman"/>
              </w:rPr>
            </w:pPr>
            <w:r>
              <w:rPr>
                <w:rFonts w:cs="Times New Roman"/>
              </w:rPr>
              <w:t>0.00428</w:t>
            </w:r>
          </w:p>
        </w:tc>
        <w:tc>
          <w:tcPr>
            <w:tcW w:w="935" w:type="pct"/>
            <w:vAlign w:val="center"/>
          </w:tcPr>
          <w:p w14:paraId="492A0D86">
            <w:pPr>
              <w:pStyle w:val="78"/>
              <w:rPr>
                <w:rFonts w:cs="Times New Roman"/>
              </w:rPr>
            </w:pPr>
            <w:r>
              <w:rPr>
                <w:rFonts w:cs="Times New Roman"/>
              </w:rPr>
              <w:t>ND</w:t>
            </w:r>
          </w:p>
        </w:tc>
        <w:tc>
          <w:tcPr>
            <w:tcW w:w="936" w:type="pct"/>
            <w:vAlign w:val="center"/>
          </w:tcPr>
          <w:p w14:paraId="6D55A0D9">
            <w:pPr>
              <w:pStyle w:val="78"/>
              <w:rPr>
                <w:rFonts w:cs="Times New Roman"/>
              </w:rPr>
            </w:pPr>
            <w:r>
              <w:rPr>
                <w:rFonts w:cs="Times New Roman"/>
              </w:rPr>
              <w:t>0.013</w:t>
            </w:r>
          </w:p>
        </w:tc>
      </w:tr>
      <w:tr w14:paraId="001C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2982751B">
            <w:pPr>
              <w:pStyle w:val="78"/>
              <w:rPr>
                <w:rFonts w:cs="Times New Roman"/>
              </w:rPr>
            </w:pPr>
            <w:r>
              <w:rPr>
                <w:rFonts w:cs="Times New Roman"/>
              </w:rPr>
              <w:t>钼</w:t>
            </w:r>
          </w:p>
        </w:tc>
        <w:tc>
          <w:tcPr>
            <w:tcW w:w="935" w:type="pct"/>
            <w:vAlign w:val="center"/>
          </w:tcPr>
          <w:p w14:paraId="0CD36707">
            <w:pPr>
              <w:pStyle w:val="78"/>
              <w:rPr>
                <w:rFonts w:cs="Times New Roman"/>
              </w:rPr>
            </w:pPr>
            <w:r>
              <w:rPr>
                <w:rFonts w:cs="Times New Roman"/>
              </w:rPr>
              <w:t>0.00012</w:t>
            </w:r>
          </w:p>
        </w:tc>
        <w:tc>
          <w:tcPr>
            <w:tcW w:w="935" w:type="pct"/>
            <w:vAlign w:val="center"/>
          </w:tcPr>
          <w:p w14:paraId="25241F55">
            <w:pPr>
              <w:pStyle w:val="78"/>
              <w:rPr>
                <w:rFonts w:cs="Times New Roman"/>
              </w:rPr>
            </w:pPr>
            <w:r>
              <w:rPr>
                <w:rFonts w:cs="Times New Roman"/>
              </w:rPr>
              <w:t>0.00043</w:t>
            </w:r>
          </w:p>
        </w:tc>
        <w:tc>
          <w:tcPr>
            <w:tcW w:w="935" w:type="pct"/>
            <w:vAlign w:val="center"/>
          </w:tcPr>
          <w:p w14:paraId="75D2C4A9">
            <w:pPr>
              <w:pStyle w:val="78"/>
              <w:rPr>
                <w:rFonts w:cs="Times New Roman"/>
              </w:rPr>
            </w:pPr>
            <w:r>
              <w:rPr>
                <w:rFonts w:cs="Times New Roman"/>
              </w:rPr>
              <w:t>0.00037</w:t>
            </w:r>
          </w:p>
        </w:tc>
        <w:tc>
          <w:tcPr>
            <w:tcW w:w="936" w:type="pct"/>
            <w:vAlign w:val="center"/>
          </w:tcPr>
          <w:p w14:paraId="31CF7DDB">
            <w:pPr>
              <w:pStyle w:val="78"/>
              <w:rPr>
                <w:rFonts w:cs="Times New Roman"/>
              </w:rPr>
            </w:pPr>
            <w:r>
              <w:rPr>
                <w:rFonts w:cs="Times New Roman"/>
              </w:rPr>
              <w:t>0.00076</w:t>
            </w:r>
          </w:p>
        </w:tc>
      </w:tr>
      <w:tr w14:paraId="1EA9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514A1316">
            <w:pPr>
              <w:pStyle w:val="78"/>
              <w:rPr>
                <w:rFonts w:cs="Times New Roman"/>
              </w:rPr>
            </w:pPr>
            <w:r>
              <w:rPr>
                <w:rFonts w:cs="Times New Roman"/>
              </w:rPr>
              <w:t>钡</w:t>
            </w:r>
          </w:p>
        </w:tc>
        <w:tc>
          <w:tcPr>
            <w:tcW w:w="935" w:type="pct"/>
            <w:vAlign w:val="center"/>
          </w:tcPr>
          <w:p w14:paraId="21CB1920">
            <w:pPr>
              <w:pStyle w:val="78"/>
              <w:rPr>
                <w:rFonts w:cs="Times New Roman"/>
              </w:rPr>
            </w:pPr>
            <w:r>
              <w:rPr>
                <w:rFonts w:cs="Times New Roman"/>
              </w:rPr>
              <w:t>0.017</w:t>
            </w:r>
          </w:p>
        </w:tc>
        <w:tc>
          <w:tcPr>
            <w:tcW w:w="935" w:type="pct"/>
            <w:vAlign w:val="center"/>
          </w:tcPr>
          <w:p w14:paraId="078F923B">
            <w:pPr>
              <w:pStyle w:val="78"/>
              <w:rPr>
                <w:rFonts w:cs="Times New Roman"/>
              </w:rPr>
            </w:pPr>
            <w:r>
              <w:rPr>
                <w:rFonts w:cs="Times New Roman"/>
              </w:rPr>
              <w:t>0.298</w:t>
            </w:r>
          </w:p>
        </w:tc>
        <w:tc>
          <w:tcPr>
            <w:tcW w:w="935" w:type="pct"/>
            <w:vAlign w:val="center"/>
          </w:tcPr>
          <w:p w14:paraId="29E99E5A">
            <w:pPr>
              <w:pStyle w:val="78"/>
              <w:rPr>
                <w:rFonts w:cs="Times New Roman"/>
              </w:rPr>
            </w:pPr>
            <w:r>
              <w:rPr>
                <w:rFonts w:cs="Times New Roman"/>
              </w:rPr>
              <w:t>0.203</w:t>
            </w:r>
          </w:p>
        </w:tc>
        <w:tc>
          <w:tcPr>
            <w:tcW w:w="936" w:type="pct"/>
            <w:vAlign w:val="center"/>
          </w:tcPr>
          <w:p w14:paraId="026CB007">
            <w:pPr>
              <w:pStyle w:val="78"/>
              <w:rPr>
                <w:rFonts w:cs="Times New Roman"/>
              </w:rPr>
            </w:pPr>
            <w:r>
              <w:rPr>
                <w:rFonts w:cs="Times New Roman"/>
              </w:rPr>
              <w:t>0.494</w:t>
            </w:r>
          </w:p>
        </w:tc>
      </w:tr>
      <w:tr w14:paraId="3A78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6BADA5B3">
            <w:pPr>
              <w:pStyle w:val="78"/>
              <w:rPr>
                <w:rFonts w:cs="Times New Roman"/>
              </w:rPr>
            </w:pPr>
            <w:r>
              <w:rPr>
                <w:rFonts w:cs="Times New Roman"/>
              </w:rPr>
              <w:t>钾</w:t>
            </w:r>
          </w:p>
        </w:tc>
        <w:tc>
          <w:tcPr>
            <w:tcW w:w="935" w:type="pct"/>
            <w:vAlign w:val="center"/>
          </w:tcPr>
          <w:p w14:paraId="7FBAB76A">
            <w:pPr>
              <w:pStyle w:val="78"/>
              <w:rPr>
                <w:rFonts w:cs="Times New Roman"/>
              </w:rPr>
            </w:pPr>
            <w:r>
              <w:rPr>
                <w:rFonts w:cs="Times New Roman"/>
              </w:rPr>
              <w:t>2.16</w:t>
            </w:r>
          </w:p>
        </w:tc>
        <w:tc>
          <w:tcPr>
            <w:tcW w:w="935" w:type="pct"/>
            <w:vAlign w:val="center"/>
          </w:tcPr>
          <w:p w14:paraId="391B5339">
            <w:pPr>
              <w:pStyle w:val="78"/>
              <w:rPr>
                <w:rFonts w:cs="Times New Roman"/>
              </w:rPr>
            </w:pPr>
            <w:r>
              <w:rPr>
                <w:rFonts w:cs="Times New Roman"/>
              </w:rPr>
              <w:t>11.7</w:t>
            </w:r>
          </w:p>
        </w:tc>
        <w:tc>
          <w:tcPr>
            <w:tcW w:w="935" w:type="pct"/>
            <w:vAlign w:val="center"/>
          </w:tcPr>
          <w:p w14:paraId="685472F8">
            <w:pPr>
              <w:pStyle w:val="78"/>
              <w:rPr>
                <w:rFonts w:cs="Times New Roman"/>
              </w:rPr>
            </w:pPr>
            <w:r>
              <w:rPr>
                <w:rFonts w:cs="Times New Roman"/>
              </w:rPr>
              <w:t>8.17</w:t>
            </w:r>
          </w:p>
        </w:tc>
        <w:tc>
          <w:tcPr>
            <w:tcW w:w="936" w:type="pct"/>
            <w:vAlign w:val="center"/>
          </w:tcPr>
          <w:p w14:paraId="0ACB75F4">
            <w:pPr>
              <w:pStyle w:val="78"/>
              <w:rPr>
                <w:rFonts w:cs="Times New Roman"/>
              </w:rPr>
            </w:pPr>
            <w:r>
              <w:rPr>
                <w:rFonts w:cs="Times New Roman"/>
              </w:rPr>
              <w:t>17.2</w:t>
            </w:r>
          </w:p>
        </w:tc>
      </w:tr>
      <w:tr w14:paraId="219A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477692D4">
            <w:pPr>
              <w:pStyle w:val="78"/>
              <w:rPr>
                <w:rFonts w:cs="Times New Roman"/>
              </w:rPr>
            </w:pPr>
            <w:r>
              <w:rPr>
                <w:rFonts w:cs="Times New Roman"/>
              </w:rPr>
              <w:t>钠</w:t>
            </w:r>
          </w:p>
        </w:tc>
        <w:tc>
          <w:tcPr>
            <w:tcW w:w="935" w:type="pct"/>
            <w:vAlign w:val="center"/>
          </w:tcPr>
          <w:p w14:paraId="2AEB9EF7">
            <w:pPr>
              <w:pStyle w:val="78"/>
              <w:rPr>
                <w:rFonts w:cs="Times New Roman"/>
              </w:rPr>
            </w:pPr>
            <w:r>
              <w:rPr>
                <w:rFonts w:cs="Times New Roman"/>
              </w:rPr>
              <w:t>8.84</w:t>
            </w:r>
          </w:p>
        </w:tc>
        <w:tc>
          <w:tcPr>
            <w:tcW w:w="935" w:type="pct"/>
            <w:vAlign w:val="center"/>
          </w:tcPr>
          <w:p w14:paraId="2C3E3C4E">
            <w:pPr>
              <w:pStyle w:val="78"/>
              <w:rPr>
                <w:rFonts w:cs="Times New Roman"/>
              </w:rPr>
            </w:pPr>
            <w:r>
              <w:rPr>
                <w:rFonts w:cs="Times New Roman"/>
              </w:rPr>
              <w:t>39.3</w:t>
            </w:r>
          </w:p>
        </w:tc>
        <w:tc>
          <w:tcPr>
            <w:tcW w:w="935" w:type="pct"/>
            <w:vAlign w:val="center"/>
          </w:tcPr>
          <w:p w14:paraId="6A9C3641">
            <w:pPr>
              <w:pStyle w:val="78"/>
              <w:rPr>
                <w:rFonts w:cs="Times New Roman"/>
              </w:rPr>
            </w:pPr>
            <w:r>
              <w:rPr>
                <w:rFonts w:cs="Times New Roman"/>
              </w:rPr>
              <w:t>28.3</w:t>
            </w:r>
          </w:p>
        </w:tc>
        <w:tc>
          <w:tcPr>
            <w:tcW w:w="936" w:type="pct"/>
            <w:vAlign w:val="center"/>
          </w:tcPr>
          <w:p w14:paraId="05DA451E">
            <w:pPr>
              <w:pStyle w:val="78"/>
              <w:rPr>
                <w:rFonts w:cs="Times New Roman"/>
              </w:rPr>
            </w:pPr>
            <w:r>
              <w:rPr>
                <w:rFonts w:cs="Times New Roman"/>
              </w:rPr>
              <w:t>63.4</w:t>
            </w:r>
          </w:p>
        </w:tc>
      </w:tr>
      <w:tr w14:paraId="4121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4A79C1A">
            <w:pPr>
              <w:pStyle w:val="78"/>
              <w:rPr>
                <w:rFonts w:cs="Times New Roman"/>
              </w:rPr>
            </w:pPr>
            <w:r>
              <w:rPr>
                <w:rFonts w:cs="Times New Roman"/>
              </w:rPr>
              <w:t>钙</w:t>
            </w:r>
          </w:p>
        </w:tc>
        <w:tc>
          <w:tcPr>
            <w:tcW w:w="935" w:type="pct"/>
            <w:vAlign w:val="center"/>
          </w:tcPr>
          <w:p w14:paraId="1D1C613F">
            <w:pPr>
              <w:pStyle w:val="78"/>
              <w:rPr>
                <w:rFonts w:cs="Times New Roman"/>
              </w:rPr>
            </w:pPr>
            <w:r>
              <w:rPr>
                <w:rFonts w:cs="Times New Roman"/>
              </w:rPr>
              <w:t>13.8</w:t>
            </w:r>
          </w:p>
        </w:tc>
        <w:tc>
          <w:tcPr>
            <w:tcW w:w="935" w:type="pct"/>
            <w:vAlign w:val="center"/>
          </w:tcPr>
          <w:p w14:paraId="64CB7285">
            <w:pPr>
              <w:pStyle w:val="78"/>
              <w:rPr>
                <w:rFonts w:cs="Times New Roman"/>
              </w:rPr>
            </w:pPr>
            <w:r>
              <w:rPr>
                <w:rFonts w:cs="Times New Roman"/>
              </w:rPr>
              <w:t>42.1</w:t>
            </w:r>
          </w:p>
        </w:tc>
        <w:tc>
          <w:tcPr>
            <w:tcW w:w="935" w:type="pct"/>
            <w:vAlign w:val="center"/>
          </w:tcPr>
          <w:p w14:paraId="6BF540D7">
            <w:pPr>
              <w:pStyle w:val="78"/>
              <w:rPr>
                <w:rFonts w:cs="Times New Roman"/>
              </w:rPr>
            </w:pPr>
            <w:r>
              <w:rPr>
                <w:rFonts w:cs="Times New Roman"/>
              </w:rPr>
              <w:t>28.4</w:t>
            </w:r>
          </w:p>
        </w:tc>
        <w:tc>
          <w:tcPr>
            <w:tcW w:w="936" w:type="pct"/>
            <w:vAlign w:val="center"/>
          </w:tcPr>
          <w:p w14:paraId="3AC560DB">
            <w:pPr>
              <w:pStyle w:val="78"/>
              <w:rPr>
                <w:rFonts w:cs="Times New Roman"/>
              </w:rPr>
            </w:pPr>
            <w:r>
              <w:rPr>
                <w:rFonts w:cs="Times New Roman"/>
              </w:rPr>
              <w:t>56.9</w:t>
            </w:r>
          </w:p>
        </w:tc>
      </w:tr>
      <w:tr w14:paraId="1AC2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E919DDE">
            <w:pPr>
              <w:pStyle w:val="78"/>
              <w:rPr>
                <w:rFonts w:cs="Times New Roman"/>
              </w:rPr>
            </w:pPr>
            <w:r>
              <w:rPr>
                <w:rFonts w:cs="Times New Roman"/>
              </w:rPr>
              <w:t>镁</w:t>
            </w:r>
          </w:p>
        </w:tc>
        <w:tc>
          <w:tcPr>
            <w:tcW w:w="935" w:type="pct"/>
            <w:vAlign w:val="center"/>
          </w:tcPr>
          <w:p w14:paraId="73621175">
            <w:pPr>
              <w:pStyle w:val="78"/>
              <w:rPr>
                <w:rFonts w:cs="Times New Roman"/>
              </w:rPr>
            </w:pPr>
            <w:r>
              <w:rPr>
                <w:rFonts w:cs="Times New Roman"/>
              </w:rPr>
              <w:t>3.46</w:t>
            </w:r>
          </w:p>
        </w:tc>
        <w:tc>
          <w:tcPr>
            <w:tcW w:w="935" w:type="pct"/>
            <w:vAlign w:val="center"/>
          </w:tcPr>
          <w:p w14:paraId="14449E1B">
            <w:pPr>
              <w:pStyle w:val="78"/>
              <w:rPr>
                <w:rFonts w:cs="Times New Roman"/>
              </w:rPr>
            </w:pPr>
            <w:r>
              <w:rPr>
                <w:rFonts w:cs="Times New Roman"/>
              </w:rPr>
              <w:t>13.1</w:t>
            </w:r>
          </w:p>
        </w:tc>
        <w:tc>
          <w:tcPr>
            <w:tcW w:w="935" w:type="pct"/>
            <w:vAlign w:val="center"/>
          </w:tcPr>
          <w:p w14:paraId="27723B2A">
            <w:pPr>
              <w:pStyle w:val="78"/>
              <w:rPr>
                <w:rFonts w:cs="Times New Roman"/>
              </w:rPr>
            </w:pPr>
            <w:r>
              <w:rPr>
                <w:rFonts w:cs="Times New Roman"/>
              </w:rPr>
              <w:t>9.57</w:t>
            </w:r>
          </w:p>
        </w:tc>
        <w:tc>
          <w:tcPr>
            <w:tcW w:w="936" w:type="pct"/>
            <w:vAlign w:val="center"/>
          </w:tcPr>
          <w:p w14:paraId="64548D6D">
            <w:pPr>
              <w:pStyle w:val="78"/>
              <w:rPr>
                <w:rFonts w:cs="Times New Roman"/>
              </w:rPr>
            </w:pPr>
            <w:r>
              <w:rPr>
                <w:rFonts w:cs="Times New Roman"/>
              </w:rPr>
              <w:t>21.4</w:t>
            </w:r>
          </w:p>
        </w:tc>
      </w:tr>
      <w:tr w14:paraId="002D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32BF793C">
            <w:pPr>
              <w:pStyle w:val="78"/>
              <w:rPr>
                <w:rFonts w:cs="Times New Roman"/>
              </w:rPr>
            </w:pPr>
            <w:r>
              <w:rPr>
                <w:rFonts w:cs="Times New Roman"/>
              </w:rPr>
              <w:t>甲苯（μg/L）</w:t>
            </w:r>
          </w:p>
        </w:tc>
        <w:tc>
          <w:tcPr>
            <w:tcW w:w="935" w:type="pct"/>
            <w:vAlign w:val="center"/>
          </w:tcPr>
          <w:p w14:paraId="769AC60A">
            <w:pPr>
              <w:pStyle w:val="78"/>
              <w:rPr>
                <w:rFonts w:cs="Times New Roman"/>
              </w:rPr>
            </w:pPr>
            <w:r>
              <w:rPr>
                <w:rFonts w:cs="Times New Roman"/>
              </w:rPr>
              <w:t>ND</w:t>
            </w:r>
          </w:p>
        </w:tc>
        <w:tc>
          <w:tcPr>
            <w:tcW w:w="935" w:type="pct"/>
            <w:vAlign w:val="center"/>
          </w:tcPr>
          <w:p w14:paraId="2AAC6645">
            <w:pPr>
              <w:pStyle w:val="78"/>
              <w:rPr>
                <w:rFonts w:cs="Times New Roman"/>
              </w:rPr>
            </w:pPr>
            <w:r>
              <w:rPr>
                <w:rFonts w:cs="Times New Roman"/>
              </w:rPr>
              <w:t>ND</w:t>
            </w:r>
          </w:p>
        </w:tc>
        <w:tc>
          <w:tcPr>
            <w:tcW w:w="935" w:type="pct"/>
            <w:vAlign w:val="center"/>
          </w:tcPr>
          <w:p w14:paraId="32DC29A0">
            <w:pPr>
              <w:pStyle w:val="78"/>
              <w:rPr>
                <w:rFonts w:cs="Times New Roman"/>
              </w:rPr>
            </w:pPr>
            <w:r>
              <w:rPr>
                <w:rFonts w:cs="Times New Roman"/>
              </w:rPr>
              <w:t>ND</w:t>
            </w:r>
          </w:p>
        </w:tc>
        <w:tc>
          <w:tcPr>
            <w:tcW w:w="936" w:type="pct"/>
            <w:vAlign w:val="center"/>
          </w:tcPr>
          <w:p w14:paraId="4335C0AF">
            <w:pPr>
              <w:pStyle w:val="78"/>
              <w:rPr>
                <w:rFonts w:cs="Times New Roman"/>
              </w:rPr>
            </w:pPr>
            <w:r>
              <w:rPr>
                <w:rFonts w:cs="Times New Roman"/>
              </w:rPr>
              <w:t>ND</w:t>
            </w:r>
          </w:p>
        </w:tc>
      </w:tr>
      <w:tr w14:paraId="1A0A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762EBC8B">
            <w:pPr>
              <w:pStyle w:val="78"/>
              <w:rPr>
                <w:rFonts w:cs="Times New Roman"/>
              </w:rPr>
            </w:pPr>
            <w:r>
              <w:rPr>
                <w:rFonts w:cs="Times New Roman"/>
              </w:rPr>
              <w:t>间,对-二甲（μg/L）</w:t>
            </w:r>
          </w:p>
        </w:tc>
        <w:tc>
          <w:tcPr>
            <w:tcW w:w="935" w:type="pct"/>
            <w:vAlign w:val="center"/>
          </w:tcPr>
          <w:p w14:paraId="7A04154F">
            <w:pPr>
              <w:pStyle w:val="78"/>
              <w:rPr>
                <w:rFonts w:cs="Times New Roman"/>
              </w:rPr>
            </w:pPr>
            <w:r>
              <w:rPr>
                <w:rFonts w:cs="Times New Roman"/>
              </w:rPr>
              <w:t>ND</w:t>
            </w:r>
          </w:p>
        </w:tc>
        <w:tc>
          <w:tcPr>
            <w:tcW w:w="935" w:type="pct"/>
            <w:vAlign w:val="center"/>
          </w:tcPr>
          <w:p w14:paraId="09B266D2">
            <w:pPr>
              <w:pStyle w:val="78"/>
              <w:rPr>
                <w:rFonts w:cs="Times New Roman"/>
              </w:rPr>
            </w:pPr>
            <w:r>
              <w:rPr>
                <w:rFonts w:cs="Times New Roman"/>
              </w:rPr>
              <w:t>ND</w:t>
            </w:r>
          </w:p>
        </w:tc>
        <w:tc>
          <w:tcPr>
            <w:tcW w:w="935" w:type="pct"/>
            <w:vAlign w:val="center"/>
          </w:tcPr>
          <w:p w14:paraId="1C1F4827">
            <w:pPr>
              <w:pStyle w:val="78"/>
              <w:rPr>
                <w:rFonts w:cs="Times New Roman"/>
              </w:rPr>
            </w:pPr>
            <w:r>
              <w:rPr>
                <w:rFonts w:cs="Times New Roman"/>
              </w:rPr>
              <w:t>ND</w:t>
            </w:r>
          </w:p>
        </w:tc>
        <w:tc>
          <w:tcPr>
            <w:tcW w:w="936" w:type="pct"/>
            <w:vAlign w:val="center"/>
          </w:tcPr>
          <w:p w14:paraId="771FCD0B">
            <w:pPr>
              <w:pStyle w:val="78"/>
              <w:rPr>
                <w:rFonts w:cs="Times New Roman"/>
              </w:rPr>
            </w:pPr>
            <w:r>
              <w:rPr>
                <w:rFonts w:cs="Times New Roman"/>
              </w:rPr>
              <w:t>ND</w:t>
            </w:r>
          </w:p>
        </w:tc>
      </w:tr>
      <w:tr w14:paraId="55A2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7" w:type="pct"/>
            <w:vAlign w:val="center"/>
          </w:tcPr>
          <w:p w14:paraId="0DB2A370">
            <w:pPr>
              <w:pStyle w:val="78"/>
              <w:rPr>
                <w:rFonts w:cs="Times New Roman"/>
              </w:rPr>
            </w:pPr>
            <w:r>
              <w:rPr>
                <w:rFonts w:cs="Times New Roman"/>
              </w:rPr>
              <w:t>邻-二甲苯（μg/L）</w:t>
            </w:r>
          </w:p>
        </w:tc>
        <w:tc>
          <w:tcPr>
            <w:tcW w:w="935" w:type="pct"/>
            <w:vAlign w:val="center"/>
          </w:tcPr>
          <w:p w14:paraId="1934BA6F">
            <w:pPr>
              <w:pStyle w:val="78"/>
              <w:rPr>
                <w:rFonts w:cs="Times New Roman"/>
              </w:rPr>
            </w:pPr>
            <w:r>
              <w:rPr>
                <w:rFonts w:cs="Times New Roman"/>
              </w:rPr>
              <w:t>ND</w:t>
            </w:r>
          </w:p>
        </w:tc>
        <w:tc>
          <w:tcPr>
            <w:tcW w:w="935" w:type="pct"/>
            <w:vAlign w:val="center"/>
          </w:tcPr>
          <w:p w14:paraId="16E0F763">
            <w:pPr>
              <w:pStyle w:val="78"/>
              <w:rPr>
                <w:rFonts w:cs="Times New Roman"/>
              </w:rPr>
            </w:pPr>
            <w:r>
              <w:rPr>
                <w:rFonts w:cs="Times New Roman"/>
              </w:rPr>
              <w:t>ND</w:t>
            </w:r>
          </w:p>
        </w:tc>
        <w:tc>
          <w:tcPr>
            <w:tcW w:w="935" w:type="pct"/>
            <w:vAlign w:val="center"/>
          </w:tcPr>
          <w:p w14:paraId="4F7F5A3E">
            <w:pPr>
              <w:pStyle w:val="78"/>
              <w:rPr>
                <w:rFonts w:cs="Times New Roman"/>
              </w:rPr>
            </w:pPr>
            <w:r>
              <w:rPr>
                <w:rFonts w:cs="Times New Roman"/>
              </w:rPr>
              <w:t>ND</w:t>
            </w:r>
          </w:p>
        </w:tc>
        <w:tc>
          <w:tcPr>
            <w:tcW w:w="936" w:type="pct"/>
            <w:vAlign w:val="center"/>
          </w:tcPr>
          <w:p w14:paraId="63B5EF16">
            <w:pPr>
              <w:pStyle w:val="78"/>
              <w:rPr>
                <w:rFonts w:cs="Times New Roman"/>
              </w:rPr>
            </w:pPr>
            <w:r>
              <w:rPr>
                <w:rFonts w:cs="Times New Roman"/>
              </w:rPr>
              <w:t>ND</w:t>
            </w:r>
          </w:p>
        </w:tc>
      </w:tr>
      <w:tr w14:paraId="7AB6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57" w:type="pct"/>
            <w:vAlign w:val="center"/>
          </w:tcPr>
          <w:p w14:paraId="460404D0">
            <w:pPr>
              <w:pStyle w:val="78"/>
              <w:rPr>
                <w:rFonts w:cs="Times New Roman"/>
              </w:rPr>
            </w:pPr>
            <w:r>
              <w:rPr>
                <w:rFonts w:cs="Times New Roman"/>
              </w:rPr>
              <w:t>苯乙烯（μg/L）</w:t>
            </w:r>
          </w:p>
        </w:tc>
        <w:tc>
          <w:tcPr>
            <w:tcW w:w="935" w:type="pct"/>
            <w:vAlign w:val="center"/>
          </w:tcPr>
          <w:p w14:paraId="23397655">
            <w:pPr>
              <w:pStyle w:val="78"/>
              <w:rPr>
                <w:rFonts w:cs="Times New Roman"/>
              </w:rPr>
            </w:pPr>
            <w:r>
              <w:rPr>
                <w:rFonts w:cs="Times New Roman"/>
              </w:rPr>
              <w:t>ND</w:t>
            </w:r>
          </w:p>
        </w:tc>
        <w:tc>
          <w:tcPr>
            <w:tcW w:w="935" w:type="pct"/>
            <w:vAlign w:val="center"/>
          </w:tcPr>
          <w:p w14:paraId="6E7D5B64">
            <w:pPr>
              <w:pStyle w:val="78"/>
              <w:rPr>
                <w:rFonts w:cs="Times New Roman"/>
              </w:rPr>
            </w:pPr>
            <w:r>
              <w:rPr>
                <w:rFonts w:cs="Times New Roman"/>
              </w:rPr>
              <w:t>ND</w:t>
            </w:r>
          </w:p>
        </w:tc>
        <w:tc>
          <w:tcPr>
            <w:tcW w:w="935" w:type="pct"/>
            <w:vAlign w:val="center"/>
          </w:tcPr>
          <w:p w14:paraId="5A27F43A">
            <w:pPr>
              <w:pStyle w:val="78"/>
              <w:rPr>
                <w:rFonts w:cs="Times New Roman"/>
              </w:rPr>
            </w:pPr>
            <w:r>
              <w:rPr>
                <w:rFonts w:cs="Times New Roman"/>
              </w:rPr>
              <w:t>ND</w:t>
            </w:r>
          </w:p>
        </w:tc>
        <w:tc>
          <w:tcPr>
            <w:tcW w:w="936" w:type="pct"/>
            <w:vAlign w:val="center"/>
          </w:tcPr>
          <w:p w14:paraId="49D13A4C">
            <w:pPr>
              <w:pStyle w:val="78"/>
              <w:rPr>
                <w:rFonts w:cs="Times New Roman"/>
              </w:rPr>
            </w:pPr>
            <w:r>
              <w:rPr>
                <w:rFonts w:cs="Times New Roman"/>
              </w:rPr>
              <w:t>ND</w:t>
            </w:r>
          </w:p>
        </w:tc>
      </w:tr>
      <w:tr w14:paraId="3F43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415A4632">
            <w:pPr>
              <w:pStyle w:val="78"/>
              <w:jc w:val="left"/>
              <w:rPr>
                <w:rFonts w:cs="Times New Roman"/>
              </w:rPr>
            </w:pPr>
            <w:r>
              <w:rPr>
                <w:rFonts w:cs="Times New Roman"/>
              </w:rPr>
              <w:t>注：“ND”表示该结果小于检测方法最低检出限。</w:t>
            </w:r>
          </w:p>
        </w:tc>
      </w:tr>
    </w:tbl>
    <w:p w14:paraId="271E19E1">
      <w:pPr>
        <w:rPr>
          <w:rFonts w:ascii="Times New Roman" w:hAnsi="Times New Roman" w:cs="Times New Roman"/>
          <w:b/>
          <w:szCs w:val="21"/>
        </w:rPr>
      </w:pPr>
    </w:p>
    <w:p w14:paraId="48D3A262">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7</w:t>
      </w:r>
      <w:r>
        <w:rPr>
          <w:rFonts w:cs="Times New Roman"/>
          <w:color w:val="auto"/>
        </w:rPr>
        <w:fldChar w:fldCharType="end"/>
      </w:r>
      <w:r>
        <w:rPr>
          <w:rFonts w:cs="Times New Roman"/>
          <w:color w:val="auto"/>
        </w:rPr>
        <w:t xml:space="preserve">  地下水环境质量引用监测结果一览表 （GW6-GW8）单位：mg/L</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1913"/>
        <w:gridCol w:w="1559"/>
        <w:gridCol w:w="1559"/>
        <w:gridCol w:w="1560"/>
      </w:tblGrid>
      <w:tr w14:paraId="4678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1" w:type="pct"/>
            <w:vMerge w:val="restart"/>
            <w:vAlign w:val="center"/>
          </w:tcPr>
          <w:p w14:paraId="7A0954AD">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监测项目</w:t>
            </w:r>
          </w:p>
        </w:tc>
        <w:tc>
          <w:tcPr>
            <w:tcW w:w="1097" w:type="pct"/>
            <w:vMerge w:val="restart"/>
            <w:vAlign w:val="center"/>
          </w:tcPr>
          <w:p w14:paraId="53027133">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单位</w:t>
            </w:r>
          </w:p>
        </w:tc>
        <w:tc>
          <w:tcPr>
            <w:tcW w:w="2682" w:type="pct"/>
            <w:gridSpan w:val="3"/>
            <w:noWrap/>
            <w:vAlign w:val="center"/>
          </w:tcPr>
          <w:p w14:paraId="1FBD9137">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监测结果</w:t>
            </w:r>
          </w:p>
        </w:tc>
      </w:tr>
      <w:tr w14:paraId="0E45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1" w:type="pct"/>
            <w:vMerge w:val="continue"/>
            <w:vAlign w:val="center"/>
          </w:tcPr>
          <w:p w14:paraId="1C21A327">
            <w:pPr>
              <w:jc w:val="center"/>
              <w:rPr>
                <w:rFonts w:ascii="Times New Roman" w:hAnsi="Times New Roman" w:cs="Times New Roman"/>
                <w:b/>
                <w:bCs/>
                <w:sz w:val="21"/>
                <w:szCs w:val="21"/>
              </w:rPr>
            </w:pPr>
          </w:p>
        </w:tc>
        <w:tc>
          <w:tcPr>
            <w:tcW w:w="1097" w:type="pct"/>
            <w:vMerge w:val="continue"/>
            <w:vAlign w:val="center"/>
          </w:tcPr>
          <w:p w14:paraId="517CD440">
            <w:pPr>
              <w:jc w:val="center"/>
              <w:rPr>
                <w:rFonts w:ascii="Times New Roman" w:hAnsi="Times New Roman" w:cs="Times New Roman"/>
                <w:b/>
                <w:bCs/>
                <w:sz w:val="21"/>
                <w:szCs w:val="21"/>
              </w:rPr>
            </w:pPr>
          </w:p>
        </w:tc>
        <w:tc>
          <w:tcPr>
            <w:tcW w:w="894" w:type="pct"/>
            <w:vAlign w:val="center"/>
          </w:tcPr>
          <w:p w14:paraId="3CE78739">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GW6</w:t>
            </w:r>
          </w:p>
        </w:tc>
        <w:tc>
          <w:tcPr>
            <w:tcW w:w="894" w:type="pct"/>
            <w:vAlign w:val="center"/>
          </w:tcPr>
          <w:p w14:paraId="193B65BC">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GW7</w:t>
            </w:r>
          </w:p>
        </w:tc>
        <w:tc>
          <w:tcPr>
            <w:tcW w:w="894" w:type="pct"/>
            <w:vAlign w:val="center"/>
          </w:tcPr>
          <w:p w14:paraId="16BA907A">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GW8</w:t>
            </w:r>
          </w:p>
        </w:tc>
      </w:tr>
      <w:tr w14:paraId="36AC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13D2BEC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pH值</w:t>
            </w:r>
          </w:p>
        </w:tc>
        <w:tc>
          <w:tcPr>
            <w:tcW w:w="1097" w:type="pct"/>
            <w:noWrap/>
            <w:vAlign w:val="center"/>
          </w:tcPr>
          <w:p w14:paraId="16ED7EA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无量纲</w:t>
            </w:r>
          </w:p>
        </w:tc>
        <w:tc>
          <w:tcPr>
            <w:tcW w:w="894" w:type="pct"/>
            <w:noWrap/>
            <w:vAlign w:val="center"/>
          </w:tcPr>
          <w:p w14:paraId="3020CCD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7.5</w:t>
            </w:r>
          </w:p>
        </w:tc>
        <w:tc>
          <w:tcPr>
            <w:tcW w:w="894" w:type="pct"/>
            <w:noWrap/>
            <w:vAlign w:val="center"/>
          </w:tcPr>
          <w:p w14:paraId="756058A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7.4</w:t>
            </w:r>
          </w:p>
        </w:tc>
        <w:tc>
          <w:tcPr>
            <w:tcW w:w="894" w:type="pct"/>
            <w:noWrap/>
            <w:vAlign w:val="center"/>
          </w:tcPr>
          <w:p w14:paraId="0C370AF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6.7</w:t>
            </w:r>
          </w:p>
        </w:tc>
      </w:tr>
      <w:tr w14:paraId="3EB0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10EC29A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总硬度</w:t>
            </w:r>
          </w:p>
        </w:tc>
        <w:tc>
          <w:tcPr>
            <w:tcW w:w="1097" w:type="pct"/>
            <w:noWrap/>
            <w:vAlign w:val="center"/>
          </w:tcPr>
          <w:p w14:paraId="4F05CD5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2CA38A3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101</w:t>
            </w:r>
          </w:p>
        </w:tc>
        <w:tc>
          <w:tcPr>
            <w:tcW w:w="894" w:type="pct"/>
            <w:noWrap/>
            <w:vAlign w:val="center"/>
          </w:tcPr>
          <w:p w14:paraId="18FAA41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59.2</w:t>
            </w:r>
          </w:p>
        </w:tc>
        <w:tc>
          <w:tcPr>
            <w:tcW w:w="894" w:type="pct"/>
            <w:noWrap/>
            <w:vAlign w:val="center"/>
          </w:tcPr>
          <w:p w14:paraId="6275079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52.4</w:t>
            </w:r>
          </w:p>
        </w:tc>
      </w:tr>
      <w:tr w14:paraId="3EC5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1506AC3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溶解性总固体</w:t>
            </w:r>
          </w:p>
        </w:tc>
        <w:tc>
          <w:tcPr>
            <w:tcW w:w="1097" w:type="pct"/>
            <w:noWrap/>
            <w:vAlign w:val="center"/>
          </w:tcPr>
          <w:p w14:paraId="3C09F26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4A44DC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172</w:t>
            </w:r>
          </w:p>
        </w:tc>
        <w:tc>
          <w:tcPr>
            <w:tcW w:w="894" w:type="pct"/>
            <w:noWrap/>
            <w:vAlign w:val="center"/>
          </w:tcPr>
          <w:p w14:paraId="0E47A8C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113</w:t>
            </w:r>
          </w:p>
        </w:tc>
        <w:tc>
          <w:tcPr>
            <w:tcW w:w="894" w:type="pct"/>
            <w:noWrap/>
            <w:vAlign w:val="center"/>
          </w:tcPr>
          <w:p w14:paraId="6E228E9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88</w:t>
            </w:r>
          </w:p>
        </w:tc>
      </w:tr>
      <w:tr w14:paraId="7E18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2DA1DA6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耗氧量</w:t>
            </w:r>
          </w:p>
        </w:tc>
        <w:tc>
          <w:tcPr>
            <w:tcW w:w="1097" w:type="pct"/>
            <w:noWrap/>
            <w:vAlign w:val="center"/>
          </w:tcPr>
          <w:p w14:paraId="35453A8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3BE3FA7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1.2</w:t>
            </w:r>
          </w:p>
        </w:tc>
        <w:tc>
          <w:tcPr>
            <w:tcW w:w="894" w:type="pct"/>
            <w:noWrap/>
            <w:vAlign w:val="center"/>
          </w:tcPr>
          <w:p w14:paraId="340D108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1.6</w:t>
            </w:r>
          </w:p>
        </w:tc>
        <w:tc>
          <w:tcPr>
            <w:tcW w:w="894" w:type="pct"/>
            <w:noWrap/>
            <w:vAlign w:val="center"/>
          </w:tcPr>
          <w:p w14:paraId="7441098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0.6</w:t>
            </w:r>
          </w:p>
        </w:tc>
      </w:tr>
      <w:tr w14:paraId="099C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04F3C54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氨氮</w:t>
            </w:r>
          </w:p>
        </w:tc>
        <w:tc>
          <w:tcPr>
            <w:tcW w:w="1097" w:type="pct"/>
            <w:noWrap/>
            <w:vAlign w:val="center"/>
          </w:tcPr>
          <w:p w14:paraId="16E2FC1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1CEE086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0.614</w:t>
            </w:r>
          </w:p>
        </w:tc>
        <w:tc>
          <w:tcPr>
            <w:tcW w:w="894" w:type="pct"/>
            <w:noWrap/>
            <w:vAlign w:val="center"/>
          </w:tcPr>
          <w:p w14:paraId="72C414A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75A2DD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w:t>
            </w:r>
          </w:p>
        </w:tc>
      </w:tr>
      <w:tr w14:paraId="2957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65BADFC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挥发酚</w:t>
            </w:r>
          </w:p>
        </w:tc>
        <w:tc>
          <w:tcPr>
            <w:tcW w:w="1097" w:type="pct"/>
            <w:noWrap/>
            <w:vAlign w:val="center"/>
          </w:tcPr>
          <w:p w14:paraId="4D27E02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0DCE687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4289AD1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36C11BE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911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1010FC4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石油类</w:t>
            </w:r>
          </w:p>
        </w:tc>
        <w:tc>
          <w:tcPr>
            <w:tcW w:w="1097" w:type="pct"/>
            <w:noWrap/>
            <w:vAlign w:val="center"/>
          </w:tcPr>
          <w:p w14:paraId="76ABA79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3248CCE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2DE9A8B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7FB26E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3B0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338A673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氯化物</w:t>
            </w:r>
          </w:p>
        </w:tc>
        <w:tc>
          <w:tcPr>
            <w:tcW w:w="1097" w:type="pct"/>
            <w:noWrap/>
            <w:vAlign w:val="center"/>
          </w:tcPr>
          <w:p w14:paraId="5FA76D5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351AAF2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9.6</w:t>
            </w:r>
          </w:p>
        </w:tc>
        <w:tc>
          <w:tcPr>
            <w:tcW w:w="894" w:type="pct"/>
            <w:noWrap/>
            <w:vAlign w:val="center"/>
          </w:tcPr>
          <w:p w14:paraId="5BBEFB8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5.8</w:t>
            </w:r>
          </w:p>
        </w:tc>
        <w:tc>
          <w:tcPr>
            <w:tcW w:w="894" w:type="pct"/>
            <w:noWrap/>
            <w:vAlign w:val="center"/>
          </w:tcPr>
          <w:p w14:paraId="48C4745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4.3</w:t>
            </w:r>
          </w:p>
        </w:tc>
      </w:tr>
      <w:tr w14:paraId="1727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219F529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氰化物</w:t>
            </w:r>
          </w:p>
        </w:tc>
        <w:tc>
          <w:tcPr>
            <w:tcW w:w="1097" w:type="pct"/>
            <w:noWrap/>
            <w:vAlign w:val="center"/>
          </w:tcPr>
          <w:p w14:paraId="782FD23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5D9FF7F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5CF7DDD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2C06ACF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793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5BB38D2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氟化物</w:t>
            </w:r>
          </w:p>
        </w:tc>
        <w:tc>
          <w:tcPr>
            <w:tcW w:w="1097" w:type="pct"/>
            <w:noWrap/>
            <w:vAlign w:val="center"/>
          </w:tcPr>
          <w:p w14:paraId="123B205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0155215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0.14</w:t>
            </w:r>
          </w:p>
        </w:tc>
        <w:tc>
          <w:tcPr>
            <w:tcW w:w="894" w:type="pct"/>
            <w:noWrap/>
            <w:vAlign w:val="center"/>
          </w:tcPr>
          <w:p w14:paraId="39EC0D9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0.06</w:t>
            </w:r>
          </w:p>
        </w:tc>
        <w:tc>
          <w:tcPr>
            <w:tcW w:w="894" w:type="pct"/>
            <w:noWrap/>
            <w:vAlign w:val="center"/>
          </w:tcPr>
          <w:p w14:paraId="2FD2730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0.06</w:t>
            </w:r>
          </w:p>
        </w:tc>
      </w:tr>
      <w:tr w14:paraId="5146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1DFADF7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硫酸盐</w:t>
            </w:r>
          </w:p>
        </w:tc>
        <w:tc>
          <w:tcPr>
            <w:tcW w:w="1097" w:type="pct"/>
            <w:noWrap/>
            <w:vAlign w:val="center"/>
          </w:tcPr>
          <w:p w14:paraId="3C5B52B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167FF2D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1.6</w:t>
            </w:r>
          </w:p>
        </w:tc>
        <w:tc>
          <w:tcPr>
            <w:tcW w:w="894" w:type="pct"/>
            <w:noWrap/>
            <w:vAlign w:val="center"/>
          </w:tcPr>
          <w:p w14:paraId="4594183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13.1</w:t>
            </w:r>
          </w:p>
        </w:tc>
        <w:tc>
          <w:tcPr>
            <w:tcW w:w="894" w:type="pct"/>
            <w:noWrap/>
            <w:vAlign w:val="center"/>
          </w:tcPr>
          <w:p w14:paraId="5D70F3D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2.8</w:t>
            </w:r>
          </w:p>
        </w:tc>
      </w:tr>
      <w:tr w14:paraId="52A0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2ABE53C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硝酸盐氮</w:t>
            </w:r>
          </w:p>
        </w:tc>
        <w:tc>
          <w:tcPr>
            <w:tcW w:w="1097" w:type="pct"/>
            <w:noWrap/>
            <w:vAlign w:val="center"/>
          </w:tcPr>
          <w:p w14:paraId="62A0876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437673C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32443D1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EE92E4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5A03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7E8E291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亚硝酸盐氮</w:t>
            </w:r>
          </w:p>
        </w:tc>
        <w:tc>
          <w:tcPr>
            <w:tcW w:w="1097" w:type="pct"/>
            <w:noWrap/>
            <w:vAlign w:val="center"/>
          </w:tcPr>
          <w:p w14:paraId="2ECA6A6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2661141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0.009</w:t>
            </w:r>
          </w:p>
        </w:tc>
        <w:tc>
          <w:tcPr>
            <w:tcW w:w="894" w:type="pct"/>
            <w:noWrap/>
            <w:vAlign w:val="center"/>
          </w:tcPr>
          <w:p w14:paraId="754C76F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117BEB6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6507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B16681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碳酸根</w:t>
            </w:r>
          </w:p>
        </w:tc>
        <w:tc>
          <w:tcPr>
            <w:tcW w:w="1097" w:type="pct"/>
            <w:noWrap/>
            <w:vAlign w:val="center"/>
          </w:tcPr>
          <w:p w14:paraId="35A50C0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17CC680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17BFA07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2D7B0F5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54E2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7A7BEDC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重碳酸根</w:t>
            </w:r>
          </w:p>
        </w:tc>
        <w:tc>
          <w:tcPr>
            <w:tcW w:w="1097" w:type="pct"/>
            <w:noWrap/>
            <w:vAlign w:val="center"/>
          </w:tcPr>
          <w:p w14:paraId="7F5EA01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6C2FC13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160</w:t>
            </w:r>
          </w:p>
        </w:tc>
        <w:tc>
          <w:tcPr>
            <w:tcW w:w="894" w:type="pct"/>
            <w:noWrap/>
            <w:vAlign w:val="center"/>
          </w:tcPr>
          <w:p w14:paraId="7F13F30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73.1</w:t>
            </w:r>
          </w:p>
        </w:tc>
        <w:tc>
          <w:tcPr>
            <w:tcW w:w="894" w:type="pct"/>
            <w:noWrap/>
            <w:vAlign w:val="center"/>
          </w:tcPr>
          <w:p w14:paraId="3B5F5F9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67.2</w:t>
            </w:r>
          </w:p>
        </w:tc>
      </w:tr>
      <w:tr w14:paraId="68DB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1A7A8B7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总大肠菌群</w:t>
            </w:r>
          </w:p>
        </w:tc>
        <w:tc>
          <w:tcPr>
            <w:tcW w:w="1097" w:type="pct"/>
            <w:noWrap/>
            <w:vAlign w:val="center"/>
          </w:tcPr>
          <w:p w14:paraId="6A44004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（MPN/L）</w:t>
            </w:r>
          </w:p>
        </w:tc>
        <w:tc>
          <w:tcPr>
            <w:tcW w:w="894" w:type="pct"/>
            <w:noWrap/>
            <w:vAlign w:val="center"/>
          </w:tcPr>
          <w:p w14:paraId="4DCAC32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6ACE36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490</w:t>
            </w:r>
          </w:p>
        </w:tc>
        <w:tc>
          <w:tcPr>
            <w:tcW w:w="894" w:type="pct"/>
            <w:noWrap/>
            <w:vAlign w:val="center"/>
          </w:tcPr>
          <w:p w14:paraId="619D413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40</w:t>
            </w:r>
          </w:p>
        </w:tc>
      </w:tr>
      <w:tr w14:paraId="0A81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674188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细菌总数</w:t>
            </w:r>
          </w:p>
        </w:tc>
        <w:tc>
          <w:tcPr>
            <w:tcW w:w="1097" w:type="pct"/>
            <w:noWrap/>
            <w:vAlign w:val="center"/>
          </w:tcPr>
          <w:p w14:paraId="6EDDB9D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（CFU/ml）</w:t>
            </w:r>
          </w:p>
        </w:tc>
        <w:tc>
          <w:tcPr>
            <w:tcW w:w="894" w:type="pct"/>
            <w:noWrap/>
            <w:vAlign w:val="center"/>
          </w:tcPr>
          <w:p w14:paraId="4B2FAC9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110</w:t>
            </w:r>
          </w:p>
        </w:tc>
        <w:tc>
          <w:tcPr>
            <w:tcW w:w="894" w:type="pct"/>
            <w:noWrap/>
            <w:vAlign w:val="center"/>
          </w:tcPr>
          <w:p w14:paraId="7EFE341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1300</w:t>
            </w:r>
          </w:p>
        </w:tc>
        <w:tc>
          <w:tcPr>
            <w:tcW w:w="894" w:type="pct"/>
            <w:noWrap/>
            <w:vAlign w:val="center"/>
          </w:tcPr>
          <w:p w14:paraId="7921388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200</w:t>
            </w:r>
          </w:p>
        </w:tc>
      </w:tr>
      <w:tr w14:paraId="5B2A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3153F7D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六价铬</w:t>
            </w:r>
          </w:p>
        </w:tc>
        <w:tc>
          <w:tcPr>
            <w:tcW w:w="1097" w:type="pct"/>
            <w:noWrap/>
            <w:vAlign w:val="center"/>
          </w:tcPr>
          <w:p w14:paraId="7D56B6B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02AD31C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495B4CE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4EA2EB5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6D61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1430C9E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汞</w:t>
            </w:r>
          </w:p>
        </w:tc>
        <w:tc>
          <w:tcPr>
            <w:tcW w:w="1097" w:type="pct"/>
            <w:noWrap/>
            <w:vAlign w:val="center"/>
          </w:tcPr>
          <w:p w14:paraId="2EBF822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03F20CE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7E6E7B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0544ED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274C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EE8A91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砷</w:t>
            </w:r>
          </w:p>
        </w:tc>
        <w:tc>
          <w:tcPr>
            <w:tcW w:w="1097" w:type="pct"/>
            <w:noWrap/>
            <w:vAlign w:val="center"/>
          </w:tcPr>
          <w:p w14:paraId="4EACFBE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5D49A1F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CD8608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0.0022</w:t>
            </w:r>
          </w:p>
        </w:tc>
        <w:tc>
          <w:tcPr>
            <w:tcW w:w="894" w:type="pct"/>
            <w:noWrap/>
            <w:vAlign w:val="center"/>
          </w:tcPr>
          <w:p w14:paraId="43FBA09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6B73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3DA7151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铁</w:t>
            </w:r>
          </w:p>
        </w:tc>
        <w:tc>
          <w:tcPr>
            <w:tcW w:w="1097" w:type="pct"/>
            <w:noWrap/>
            <w:vAlign w:val="center"/>
          </w:tcPr>
          <w:p w14:paraId="4DDFF3A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2394577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0CED4B3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1.31</w:t>
            </w:r>
          </w:p>
        </w:tc>
        <w:tc>
          <w:tcPr>
            <w:tcW w:w="894" w:type="pct"/>
            <w:noWrap/>
            <w:vAlign w:val="center"/>
          </w:tcPr>
          <w:p w14:paraId="066BAA5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8CF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C91F5D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锰</w:t>
            </w:r>
          </w:p>
        </w:tc>
        <w:tc>
          <w:tcPr>
            <w:tcW w:w="1097" w:type="pct"/>
            <w:noWrap/>
            <w:vAlign w:val="center"/>
          </w:tcPr>
          <w:p w14:paraId="16914FC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5FAEB69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1.28</w:t>
            </w:r>
          </w:p>
        </w:tc>
        <w:tc>
          <w:tcPr>
            <w:tcW w:w="894" w:type="pct"/>
            <w:noWrap/>
            <w:vAlign w:val="center"/>
          </w:tcPr>
          <w:p w14:paraId="4C9EF61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0.03</w:t>
            </w:r>
          </w:p>
        </w:tc>
        <w:tc>
          <w:tcPr>
            <w:tcW w:w="894" w:type="pct"/>
            <w:noWrap/>
            <w:vAlign w:val="center"/>
          </w:tcPr>
          <w:p w14:paraId="09540EF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w:t>
            </w:r>
          </w:p>
        </w:tc>
      </w:tr>
      <w:tr w14:paraId="74EF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26C6F1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铅</w:t>
            </w:r>
          </w:p>
        </w:tc>
        <w:tc>
          <w:tcPr>
            <w:tcW w:w="1097" w:type="pct"/>
            <w:noWrap/>
            <w:vAlign w:val="center"/>
          </w:tcPr>
          <w:p w14:paraId="54EDFF7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496DA68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0E9B963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0.00022</w:t>
            </w:r>
          </w:p>
        </w:tc>
        <w:tc>
          <w:tcPr>
            <w:tcW w:w="894" w:type="pct"/>
            <w:noWrap/>
            <w:vAlign w:val="center"/>
          </w:tcPr>
          <w:p w14:paraId="01DF774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933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2D84D9C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镉</w:t>
            </w:r>
          </w:p>
        </w:tc>
        <w:tc>
          <w:tcPr>
            <w:tcW w:w="1097" w:type="pct"/>
            <w:noWrap/>
            <w:vAlign w:val="center"/>
          </w:tcPr>
          <w:p w14:paraId="5CA301E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748CE29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0.00006</w:t>
            </w:r>
          </w:p>
        </w:tc>
        <w:tc>
          <w:tcPr>
            <w:tcW w:w="894" w:type="pct"/>
            <w:noWrap/>
            <w:vAlign w:val="center"/>
          </w:tcPr>
          <w:p w14:paraId="5BDEB03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091B590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5892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52AA1C3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镍</w:t>
            </w:r>
          </w:p>
        </w:tc>
        <w:tc>
          <w:tcPr>
            <w:tcW w:w="1097" w:type="pct"/>
            <w:noWrap/>
            <w:vAlign w:val="center"/>
          </w:tcPr>
          <w:p w14:paraId="630A0E9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13DE030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0.00913</w:t>
            </w:r>
          </w:p>
        </w:tc>
        <w:tc>
          <w:tcPr>
            <w:tcW w:w="894" w:type="pct"/>
            <w:noWrap/>
            <w:vAlign w:val="center"/>
          </w:tcPr>
          <w:p w14:paraId="472622E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0.0003</w:t>
            </w:r>
          </w:p>
        </w:tc>
        <w:tc>
          <w:tcPr>
            <w:tcW w:w="894" w:type="pct"/>
            <w:noWrap/>
            <w:vAlign w:val="center"/>
          </w:tcPr>
          <w:p w14:paraId="1D15636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0.0004</w:t>
            </w:r>
          </w:p>
        </w:tc>
      </w:tr>
      <w:tr w14:paraId="62D0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0E692F4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钼</w:t>
            </w:r>
          </w:p>
        </w:tc>
        <w:tc>
          <w:tcPr>
            <w:tcW w:w="1097" w:type="pct"/>
            <w:noWrap/>
            <w:vAlign w:val="center"/>
          </w:tcPr>
          <w:p w14:paraId="744669B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4C52658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0.00062</w:t>
            </w:r>
          </w:p>
        </w:tc>
        <w:tc>
          <w:tcPr>
            <w:tcW w:w="894" w:type="pct"/>
            <w:noWrap/>
            <w:vAlign w:val="center"/>
          </w:tcPr>
          <w:p w14:paraId="100EA49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0.00021</w:t>
            </w:r>
          </w:p>
        </w:tc>
        <w:tc>
          <w:tcPr>
            <w:tcW w:w="894" w:type="pct"/>
            <w:noWrap/>
            <w:vAlign w:val="center"/>
          </w:tcPr>
          <w:p w14:paraId="1CCC406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0.0004</w:t>
            </w:r>
          </w:p>
        </w:tc>
      </w:tr>
      <w:tr w14:paraId="25B8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6443C3A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钾</w:t>
            </w:r>
          </w:p>
        </w:tc>
        <w:tc>
          <w:tcPr>
            <w:tcW w:w="1097" w:type="pct"/>
            <w:noWrap/>
            <w:vAlign w:val="center"/>
          </w:tcPr>
          <w:p w14:paraId="16B516D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3C3ADD2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1.91</w:t>
            </w:r>
          </w:p>
        </w:tc>
        <w:tc>
          <w:tcPr>
            <w:tcW w:w="894" w:type="pct"/>
            <w:noWrap/>
            <w:vAlign w:val="center"/>
          </w:tcPr>
          <w:p w14:paraId="3943C65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1.85</w:t>
            </w:r>
          </w:p>
        </w:tc>
        <w:tc>
          <w:tcPr>
            <w:tcW w:w="894" w:type="pct"/>
            <w:noWrap/>
            <w:vAlign w:val="center"/>
          </w:tcPr>
          <w:p w14:paraId="781DAE6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0.76</w:t>
            </w:r>
          </w:p>
        </w:tc>
      </w:tr>
      <w:tr w14:paraId="07E8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3A45F90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钠</w:t>
            </w:r>
          </w:p>
        </w:tc>
        <w:tc>
          <w:tcPr>
            <w:tcW w:w="1097" w:type="pct"/>
            <w:noWrap/>
            <w:vAlign w:val="center"/>
          </w:tcPr>
          <w:p w14:paraId="296F28A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287787D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4.88</w:t>
            </w:r>
          </w:p>
        </w:tc>
        <w:tc>
          <w:tcPr>
            <w:tcW w:w="894" w:type="pct"/>
            <w:noWrap/>
            <w:vAlign w:val="center"/>
          </w:tcPr>
          <w:p w14:paraId="0CA29ED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6.21</w:t>
            </w:r>
          </w:p>
        </w:tc>
        <w:tc>
          <w:tcPr>
            <w:tcW w:w="894" w:type="pct"/>
            <w:noWrap/>
            <w:vAlign w:val="center"/>
          </w:tcPr>
          <w:p w14:paraId="55B47B3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3.97</w:t>
            </w:r>
          </w:p>
        </w:tc>
      </w:tr>
      <w:tr w14:paraId="3479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08BC971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钙</w:t>
            </w:r>
          </w:p>
        </w:tc>
        <w:tc>
          <w:tcPr>
            <w:tcW w:w="1097" w:type="pct"/>
            <w:noWrap/>
            <w:vAlign w:val="center"/>
          </w:tcPr>
          <w:p w14:paraId="45FC6C4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7FD19D8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36.6</w:t>
            </w:r>
          </w:p>
        </w:tc>
        <w:tc>
          <w:tcPr>
            <w:tcW w:w="894" w:type="pct"/>
            <w:noWrap/>
            <w:vAlign w:val="center"/>
          </w:tcPr>
          <w:p w14:paraId="279437E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12.8</w:t>
            </w:r>
          </w:p>
        </w:tc>
        <w:tc>
          <w:tcPr>
            <w:tcW w:w="894" w:type="pct"/>
            <w:noWrap/>
            <w:vAlign w:val="center"/>
          </w:tcPr>
          <w:p w14:paraId="7C3265D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14.5</w:t>
            </w:r>
          </w:p>
        </w:tc>
      </w:tr>
      <w:tr w14:paraId="7AD8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2764B6A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镁</w:t>
            </w:r>
          </w:p>
        </w:tc>
        <w:tc>
          <w:tcPr>
            <w:tcW w:w="1097" w:type="pct"/>
            <w:noWrap/>
            <w:vAlign w:val="center"/>
          </w:tcPr>
          <w:p w14:paraId="5DC01AE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894" w:type="pct"/>
            <w:noWrap/>
            <w:vAlign w:val="center"/>
          </w:tcPr>
          <w:p w14:paraId="2DD501E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7.36</w:t>
            </w:r>
          </w:p>
        </w:tc>
        <w:tc>
          <w:tcPr>
            <w:tcW w:w="894" w:type="pct"/>
            <w:noWrap/>
            <w:vAlign w:val="center"/>
          </w:tcPr>
          <w:p w14:paraId="5FB61F8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7.08</w:t>
            </w:r>
          </w:p>
        </w:tc>
        <w:tc>
          <w:tcPr>
            <w:tcW w:w="894" w:type="pct"/>
            <w:noWrap/>
            <w:vAlign w:val="center"/>
          </w:tcPr>
          <w:p w14:paraId="68E380F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4.65</w:t>
            </w:r>
          </w:p>
        </w:tc>
      </w:tr>
      <w:tr w14:paraId="29D0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54C318E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w:t>
            </w:r>
          </w:p>
        </w:tc>
        <w:tc>
          <w:tcPr>
            <w:tcW w:w="1097" w:type="pct"/>
            <w:noWrap/>
            <w:vAlign w:val="center"/>
          </w:tcPr>
          <w:p w14:paraId="5B9EFD8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7D720DC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1B88237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50C4D29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471F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noWrap/>
            <w:vAlign w:val="center"/>
          </w:tcPr>
          <w:p w14:paraId="414CF22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甲苯</w:t>
            </w:r>
          </w:p>
        </w:tc>
        <w:tc>
          <w:tcPr>
            <w:tcW w:w="1097" w:type="pct"/>
            <w:noWrap/>
            <w:vAlign w:val="center"/>
          </w:tcPr>
          <w:p w14:paraId="3FF3BAE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04563B3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7B2A53C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21DD700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E85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286D737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间,对-二甲苯</w:t>
            </w:r>
          </w:p>
        </w:tc>
        <w:tc>
          <w:tcPr>
            <w:tcW w:w="1097" w:type="pct"/>
            <w:noWrap/>
            <w:vAlign w:val="center"/>
          </w:tcPr>
          <w:p w14:paraId="09F45DC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7EBD525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400C80F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3ABB4CF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4680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1218004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邻-二甲苯</w:t>
            </w:r>
          </w:p>
        </w:tc>
        <w:tc>
          <w:tcPr>
            <w:tcW w:w="1097" w:type="pct"/>
            <w:noWrap/>
            <w:vAlign w:val="center"/>
          </w:tcPr>
          <w:p w14:paraId="3DCF5DC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574DD87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6076FF8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5036199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CEF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4B0D28B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苯乙烯</w:t>
            </w:r>
          </w:p>
        </w:tc>
        <w:tc>
          <w:tcPr>
            <w:tcW w:w="1097" w:type="pct"/>
            <w:noWrap/>
            <w:vAlign w:val="center"/>
          </w:tcPr>
          <w:p w14:paraId="52E0EB6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（ug/L）</w:t>
            </w:r>
          </w:p>
        </w:tc>
        <w:tc>
          <w:tcPr>
            <w:tcW w:w="894" w:type="pct"/>
            <w:noWrap/>
            <w:vAlign w:val="center"/>
          </w:tcPr>
          <w:p w14:paraId="19B4656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38A1F73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c>
          <w:tcPr>
            <w:tcW w:w="894" w:type="pct"/>
            <w:noWrap/>
            <w:vAlign w:val="center"/>
          </w:tcPr>
          <w:p w14:paraId="389666B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0756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17BEA1EE">
            <w:pPr>
              <w:pStyle w:val="78"/>
              <w:jc w:val="left"/>
              <w:rPr>
                <w:rFonts w:cs="Times New Roman"/>
                <w:szCs w:val="21"/>
                <w:lang w:bidi="ar"/>
              </w:rPr>
            </w:pPr>
            <w:r>
              <w:rPr>
                <w:rFonts w:cs="Times New Roman"/>
              </w:rPr>
              <w:t>注：“ND”表示该结果小于检测方法最低检出限。</w:t>
            </w:r>
          </w:p>
        </w:tc>
      </w:tr>
    </w:tbl>
    <w:p w14:paraId="29F77C6A">
      <w:pPr>
        <w:rPr>
          <w:rFonts w:ascii="Times New Roman" w:hAnsi="Times New Roman" w:cs="Times New Roman"/>
          <w:b/>
          <w:szCs w:val="21"/>
        </w:rPr>
      </w:pPr>
    </w:p>
    <w:p w14:paraId="166CACA0">
      <w:pPr>
        <w:pStyle w:val="14"/>
        <w:rPr>
          <w:rFonts w:cs="Times New Roman"/>
          <w:color w:val="auto"/>
        </w:rPr>
      </w:pPr>
      <w:bookmarkStart w:id="51" w:name="_Ref9579"/>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8</w:t>
      </w:r>
      <w:r>
        <w:rPr>
          <w:rFonts w:cs="Times New Roman"/>
          <w:color w:val="auto"/>
        </w:rPr>
        <w:fldChar w:fldCharType="end"/>
      </w:r>
      <w:bookmarkEnd w:id="51"/>
      <w:r>
        <w:rPr>
          <w:rFonts w:cs="Times New Roman"/>
          <w:color w:val="auto"/>
        </w:rPr>
        <w:t xml:space="preserve">  </w:t>
      </w:r>
      <w:r>
        <w:rPr>
          <w:rFonts w:cs="Times New Roman"/>
          <w:color w:val="auto"/>
          <w:szCs w:val="21"/>
        </w:rPr>
        <w:t>地下水环境质量引用监测结果一览表 （GW9）单位：mg/L</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2735"/>
        <w:gridCol w:w="2792"/>
      </w:tblGrid>
      <w:tr w14:paraId="2EE8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31" w:type="pct"/>
            <w:vMerge w:val="restart"/>
            <w:vAlign w:val="center"/>
          </w:tcPr>
          <w:p w14:paraId="62273FDA">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监测项目</w:t>
            </w:r>
          </w:p>
        </w:tc>
        <w:tc>
          <w:tcPr>
            <w:tcW w:w="1568" w:type="pct"/>
            <w:vMerge w:val="restart"/>
            <w:vAlign w:val="center"/>
          </w:tcPr>
          <w:p w14:paraId="16C98436">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单位</w:t>
            </w:r>
          </w:p>
        </w:tc>
        <w:tc>
          <w:tcPr>
            <w:tcW w:w="1601" w:type="pct"/>
            <w:noWrap/>
            <w:vAlign w:val="center"/>
          </w:tcPr>
          <w:p w14:paraId="4BE1C250">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监测结果</w:t>
            </w:r>
          </w:p>
        </w:tc>
      </w:tr>
      <w:tr w14:paraId="092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31" w:type="pct"/>
            <w:vMerge w:val="continue"/>
            <w:vAlign w:val="center"/>
          </w:tcPr>
          <w:p w14:paraId="24E41805">
            <w:pPr>
              <w:jc w:val="center"/>
              <w:rPr>
                <w:rFonts w:ascii="Times New Roman" w:hAnsi="Times New Roman" w:cs="Times New Roman"/>
                <w:b/>
                <w:bCs/>
                <w:sz w:val="21"/>
                <w:szCs w:val="21"/>
              </w:rPr>
            </w:pPr>
          </w:p>
        </w:tc>
        <w:tc>
          <w:tcPr>
            <w:tcW w:w="1568" w:type="pct"/>
            <w:vMerge w:val="continue"/>
            <w:vAlign w:val="center"/>
          </w:tcPr>
          <w:p w14:paraId="5D7A2FC9">
            <w:pPr>
              <w:jc w:val="center"/>
              <w:rPr>
                <w:rFonts w:ascii="Times New Roman" w:hAnsi="Times New Roman" w:cs="Times New Roman"/>
                <w:b/>
                <w:bCs/>
                <w:sz w:val="21"/>
                <w:szCs w:val="21"/>
              </w:rPr>
            </w:pPr>
          </w:p>
        </w:tc>
        <w:tc>
          <w:tcPr>
            <w:tcW w:w="1601" w:type="pct"/>
            <w:vAlign w:val="center"/>
          </w:tcPr>
          <w:p w14:paraId="33882629">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GW9</w:t>
            </w:r>
          </w:p>
        </w:tc>
      </w:tr>
      <w:tr w14:paraId="2AC2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416783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pH值</w:t>
            </w:r>
          </w:p>
        </w:tc>
        <w:tc>
          <w:tcPr>
            <w:tcW w:w="1568" w:type="pct"/>
            <w:vAlign w:val="center"/>
          </w:tcPr>
          <w:p w14:paraId="3D0F4E1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无量纲</w:t>
            </w:r>
          </w:p>
        </w:tc>
        <w:tc>
          <w:tcPr>
            <w:tcW w:w="1601" w:type="pct"/>
            <w:vAlign w:val="center"/>
          </w:tcPr>
          <w:p w14:paraId="0F32CBD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7.1</w:t>
            </w:r>
          </w:p>
        </w:tc>
      </w:tr>
      <w:tr w14:paraId="2C6A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787E66F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浊度</w:t>
            </w:r>
          </w:p>
        </w:tc>
        <w:tc>
          <w:tcPr>
            <w:tcW w:w="1568" w:type="pct"/>
            <w:vAlign w:val="center"/>
          </w:tcPr>
          <w:p w14:paraId="2440227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NTU</w:t>
            </w:r>
          </w:p>
        </w:tc>
        <w:tc>
          <w:tcPr>
            <w:tcW w:w="1601" w:type="pct"/>
            <w:vAlign w:val="center"/>
          </w:tcPr>
          <w:p w14:paraId="4B76ECE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2.4</w:t>
            </w:r>
          </w:p>
        </w:tc>
      </w:tr>
      <w:tr w14:paraId="0B42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EFF6F1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色度</w:t>
            </w:r>
          </w:p>
        </w:tc>
        <w:tc>
          <w:tcPr>
            <w:tcW w:w="1568" w:type="pct"/>
            <w:vAlign w:val="center"/>
          </w:tcPr>
          <w:p w14:paraId="4856ACB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度</w:t>
            </w:r>
          </w:p>
        </w:tc>
        <w:tc>
          <w:tcPr>
            <w:tcW w:w="1601" w:type="pct"/>
            <w:vAlign w:val="center"/>
          </w:tcPr>
          <w:p w14:paraId="402CA1A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10</w:t>
            </w:r>
          </w:p>
        </w:tc>
      </w:tr>
      <w:tr w14:paraId="3D12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09B150E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臭和味</w:t>
            </w:r>
          </w:p>
        </w:tc>
        <w:tc>
          <w:tcPr>
            <w:tcW w:w="1568" w:type="pct"/>
            <w:vAlign w:val="center"/>
          </w:tcPr>
          <w:p w14:paraId="727A7EC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w:t>
            </w:r>
          </w:p>
        </w:tc>
        <w:tc>
          <w:tcPr>
            <w:tcW w:w="1601" w:type="pct"/>
            <w:vAlign w:val="center"/>
          </w:tcPr>
          <w:p w14:paraId="605F24C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无</w:t>
            </w:r>
          </w:p>
        </w:tc>
      </w:tr>
      <w:tr w14:paraId="64AB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7B5A3EC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肉眼可见物</w:t>
            </w:r>
          </w:p>
        </w:tc>
        <w:tc>
          <w:tcPr>
            <w:tcW w:w="1568" w:type="pct"/>
            <w:vAlign w:val="center"/>
          </w:tcPr>
          <w:p w14:paraId="5027538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w:t>
            </w:r>
          </w:p>
        </w:tc>
        <w:tc>
          <w:tcPr>
            <w:tcW w:w="1601" w:type="pct"/>
            <w:vAlign w:val="center"/>
          </w:tcPr>
          <w:p w14:paraId="0FBD1A6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无</w:t>
            </w:r>
          </w:p>
        </w:tc>
      </w:tr>
      <w:tr w14:paraId="3299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D5BEA9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总硬度</w:t>
            </w:r>
          </w:p>
        </w:tc>
        <w:tc>
          <w:tcPr>
            <w:tcW w:w="1568" w:type="pct"/>
            <w:vAlign w:val="center"/>
          </w:tcPr>
          <w:p w14:paraId="6A43713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385BBE2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150</w:t>
            </w:r>
          </w:p>
        </w:tc>
      </w:tr>
      <w:tr w14:paraId="72CD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4903CC0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溶解性固体</w:t>
            </w:r>
          </w:p>
        </w:tc>
        <w:tc>
          <w:tcPr>
            <w:tcW w:w="1568" w:type="pct"/>
            <w:vAlign w:val="center"/>
          </w:tcPr>
          <w:p w14:paraId="31B8029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7B47211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215</w:t>
            </w:r>
          </w:p>
        </w:tc>
      </w:tr>
      <w:tr w14:paraId="49F4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6395FCC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耗氧量</w:t>
            </w:r>
          </w:p>
        </w:tc>
        <w:tc>
          <w:tcPr>
            <w:tcW w:w="1568" w:type="pct"/>
            <w:vAlign w:val="center"/>
          </w:tcPr>
          <w:p w14:paraId="0C0F096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37E792B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1.6</w:t>
            </w:r>
          </w:p>
        </w:tc>
      </w:tr>
      <w:tr w14:paraId="7600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485665B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氨氮</w:t>
            </w:r>
          </w:p>
        </w:tc>
        <w:tc>
          <w:tcPr>
            <w:tcW w:w="1568" w:type="pct"/>
            <w:vAlign w:val="center"/>
          </w:tcPr>
          <w:p w14:paraId="3589DA3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0484CED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0.358</w:t>
            </w:r>
          </w:p>
        </w:tc>
      </w:tr>
      <w:tr w14:paraId="5630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64CC62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挥发酚</w:t>
            </w:r>
          </w:p>
        </w:tc>
        <w:tc>
          <w:tcPr>
            <w:tcW w:w="1568" w:type="pct"/>
            <w:vAlign w:val="center"/>
          </w:tcPr>
          <w:p w14:paraId="1A5B9FF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4814849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769C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2E8204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阴离子表面活性剂</w:t>
            </w:r>
          </w:p>
        </w:tc>
        <w:tc>
          <w:tcPr>
            <w:tcW w:w="1568" w:type="pct"/>
            <w:vAlign w:val="center"/>
          </w:tcPr>
          <w:p w14:paraId="3E2B92D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28AC574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60C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66EB5CE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氰化物</w:t>
            </w:r>
          </w:p>
        </w:tc>
        <w:tc>
          <w:tcPr>
            <w:tcW w:w="1568" w:type="pct"/>
            <w:vAlign w:val="center"/>
          </w:tcPr>
          <w:p w14:paraId="6E57731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2BE61DA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A98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868CD2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氟化物</w:t>
            </w:r>
          </w:p>
        </w:tc>
        <w:tc>
          <w:tcPr>
            <w:tcW w:w="1568" w:type="pct"/>
            <w:vAlign w:val="center"/>
          </w:tcPr>
          <w:p w14:paraId="0793D6E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4DA7D4B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0.17</w:t>
            </w:r>
          </w:p>
        </w:tc>
      </w:tr>
      <w:tr w14:paraId="581F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0E2353C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氯化物</w:t>
            </w:r>
          </w:p>
        </w:tc>
        <w:tc>
          <w:tcPr>
            <w:tcW w:w="1568" w:type="pct"/>
            <w:vAlign w:val="center"/>
          </w:tcPr>
          <w:p w14:paraId="7C5221C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75E7C93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19.2</w:t>
            </w:r>
          </w:p>
        </w:tc>
      </w:tr>
      <w:tr w14:paraId="6A6E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4BFE03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硫酸盐</w:t>
            </w:r>
          </w:p>
        </w:tc>
        <w:tc>
          <w:tcPr>
            <w:tcW w:w="1568" w:type="pct"/>
            <w:vAlign w:val="center"/>
          </w:tcPr>
          <w:p w14:paraId="600A94C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10FA392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24.6</w:t>
            </w:r>
          </w:p>
        </w:tc>
      </w:tr>
      <w:tr w14:paraId="4376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4BA15D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硝酸盐氮</w:t>
            </w:r>
          </w:p>
        </w:tc>
        <w:tc>
          <w:tcPr>
            <w:tcW w:w="1568" w:type="pct"/>
            <w:vAlign w:val="center"/>
          </w:tcPr>
          <w:p w14:paraId="61E4076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03FE079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0.5</w:t>
            </w:r>
          </w:p>
        </w:tc>
      </w:tr>
      <w:tr w14:paraId="57BD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438EAA3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亚硝酸盐氮</w:t>
            </w:r>
          </w:p>
        </w:tc>
        <w:tc>
          <w:tcPr>
            <w:tcW w:w="1568" w:type="pct"/>
            <w:vAlign w:val="center"/>
          </w:tcPr>
          <w:p w14:paraId="532410A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299F1A3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0.006</w:t>
            </w:r>
          </w:p>
        </w:tc>
      </w:tr>
      <w:tr w14:paraId="54DD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08C25C4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碳酸根</w:t>
            </w:r>
          </w:p>
        </w:tc>
        <w:tc>
          <w:tcPr>
            <w:tcW w:w="1568" w:type="pct"/>
            <w:vAlign w:val="center"/>
          </w:tcPr>
          <w:p w14:paraId="235AC76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6CA0189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EA6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2C52F1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重碳酸根</w:t>
            </w:r>
          </w:p>
        </w:tc>
        <w:tc>
          <w:tcPr>
            <w:tcW w:w="1568" w:type="pct"/>
            <w:vAlign w:val="center"/>
          </w:tcPr>
          <w:p w14:paraId="71ACC25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0BA7C7B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174</w:t>
            </w:r>
          </w:p>
        </w:tc>
      </w:tr>
      <w:tr w14:paraId="3AD8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28583B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硫化物</w:t>
            </w:r>
          </w:p>
        </w:tc>
        <w:tc>
          <w:tcPr>
            <w:tcW w:w="1568" w:type="pct"/>
            <w:vAlign w:val="center"/>
          </w:tcPr>
          <w:p w14:paraId="271A939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419CE3B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0D1C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BDD56A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六价铬</w:t>
            </w:r>
          </w:p>
        </w:tc>
        <w:tc>
          <w:tcPr>
            <w:tcW w:w="1568" w:type="pct"/>
            <w:vAlign w:val="center"/>
          </w:tcPr>
          <w:p w14:paraId="6553298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426DE5F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400E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202FF6C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汞</w:t>
            </w:r>
          </w:p>
        </w:tc>
        <w:tc>
          <w:tcPr>
            <w:tcW w:w="1568" w:type="pct"/>
            <w:vAlign w:val="center"/>
          </w:tcPr>
          <w:p w14:paraId="6B1BDBE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26D121E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594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257F5C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砷</w:t>
            </w:r>
          </w:p>
        </w:tc>
        <w:tc>
          <w:tcPr>
            <w:tcW w:w="1568" w:type="pct"/>
            <w:vAlign w:val="center"/>
          </w:tcPr>
          <w:p w14:paraId="537BAF6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4B05B8E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9E0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0A885EB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铁</w:t>
            </w:r>
          </w:p>
        </w:tc>
        <w:tc>
          <w:tcPr>
            <w:tcW w:w="1568" w:type="pct"/>
            <w:vAlign w:val="center"/>
          </w:tcPr>
          <w:p w14:paraId="2CA5BE0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6D78444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0.13</w:t>
            </w:r>
          </w:p>
        </w:tc>
      </w:tr>
      <w:tr w14:paraId="1372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6242B1A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锰</w:t>
            </w:r>
          </w:p>
        </w:tc>
        <w:tc>
          <w:tcPr>
            <w:tcW w:w="1568" w:type="pct"/>
            <w:vAlign w:val="center"/>
          </w:tcPr>
          <w:p w14:paraId="33A5C73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79D8F66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0.05</w:t>
            </w:r>
          </w:p>
        </w:tc>
      </w:tr>
      <w:tr w14:paraId="32EC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0380A5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铅</w:t>
            </w:r>
          </w:p>
        </w:tc>
        <w:tc>
          <w:tcPr>
            <w:tcW w:w="1568" w:type="pct"/>
            <w:vAlign w:val="center"/>
          </w:tcPr>
          <w:p w14:paraId="70F2692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1EB8CF1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3E05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70ADEE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镉</w:t>
            </w:r>
          </w:p>
        </w:tc>
        <w:tc>
          <w:tcPr>
            <w:tcW w:w="1568" w:type="pct"/>
            <w:vAlign w:val="center"/>
          </w:tcPr>
          <w:p w14:paraId="3716330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69B0C86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1DFB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786A59F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钾</w:t>
            </w:r>
          </w:p>
        </w:tc>
        <w:tc>
          <w:tcPr>
            <w:tcW w:w="1568" w:type="pct"/>
            <w:vAlign w:val="center"/>
          </w:tcPr>
          <w:p w14:paraId="230A94E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67FE331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5.66</w:t>
            </w:r>
          </w:p>
        </w:tc>
      </w:tr>
      <w:tr w14:paraId="1181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899BC5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钠</w:t>
            </w:r>
          </w:p>
        </w:tc>
        <w:tc>
          <w:tcPr>
            <w:tcW w:w="1568" w:type="pct"/>
            <w:vAlign w:val="center"/>
          </w:tcPr>
          <w:p w14:paraId="1CDC6A3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4EE3BAC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7.1</w:t>
            </w:r>
          </w:p>
        </w:tc>
      </w:tr>
      <w:tr w14:paraId="5986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35CC5CA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钙</w:t>
            </w:r>
          </w:p>
        </w:tc>
        <w:tc>
          <w:tcPr>
            <w:tcW w:w="1568" w:type="pct"/>
            <w:vAlign w:val="center"/>
          </w:tcPr>
          <w:p w14:paraId="7C0B25E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52BA8B8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64.6</w:t>
            </w:r>
          </w:p>
        </w:tc>
      </w:tr>
      <w:tr w14:paraId="3A83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1ACED19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镁</w:t>
            </w:r>
          </w:p>
        </w:tc>
        <w:tc>
          <w:tcPr>
            <w:tcW w:w="1568" w:type="pct"/>
            <w:vAlign w:val="center"/>
          </w:tcPr>
          <w:p w14:paraId="0B4B39B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5FF0F8B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4.4</w:t>
            </w:r>
          </w:p>
        </w:tc>
      </w:tr>
      <w:tr w14:paraId="0E25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E56F59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铜</w:t>
            </w:r>
          </w:p>
        </w:tc>
        <w:tc>
          <w:tcPr>
            <w:tcW w:w="1568" w:type="pct"/>
            <w:vAlign w:val="center"/>
          </w:tcPr>
          <w:p w14:paraId="4918087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3A09343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0.00083</w:t>
            </w:r>
          </w:p>
        </w:tc>
      </w:tr>
      <w:tr w14:paraId="5C87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F86DE3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镍</w:t>
            </w:r>
          </w:p>
        </w:tc>
        <w:tc>
          <w:tcPr>
            <w:tcW w:w="1568" w:type="pct"/>
            <w:vAlign w:val="center"/>
          </w:tcPr>
          <w:p w14:paraId="5408038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527B3AB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0.00082</w:t>
            </w:r>
          </w:p>
        </w:tc>
      </w:tr>
      <w:tr w14:paraId="424B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4DF15D4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w:t>
            </w:r>
          </w:p>
        </w:tc>
        <w:tc>
          <w:tcPr>
            <w:tcW w:w="1568" w:type="pct"/>
            <w:vAlign w:val="center"/>
          </w:tcPr>
          <w:p w14:paraId="3F942A4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3227F76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6837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5C18C01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甲苯</w:t>
            </w:r>
          </w:p>
        </w:tc>
        <w:tc>
          <w:tcPr>
            <w:tcW w:w="1568" w:type="pct"/>
            <w:vAlign w:val="center"/>
          </w:tcPr>
          <w:p w14:paraId="3C8F257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5A9D865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0BDE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40C0A1C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二甲苯</w:t>
            </w:r>
          </w:p>
        </w:tc>
        <w:tc>
          <w:tcPr>
            <w:tcW w:w="1568" w:type="pct"/>
            <w:vAlign w:val="center"/>
          </w:tcPr>
          <w:p w14:paraId="390A90B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mg/L</w:t>
            </w:r>
          </w:p>
        </w:tc>
        <w:tc>
          <w:tcPr>
            <w:tcW w:w="1601" w:type="pct"/>
            <w:vAlign w:val="center"/>
          </w:tcPr>
          <w:p w14:paraId="655F161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ND</w:t>
            </w:r>
          </w:p>
        </w:tc>
      </w:tr>
      <w:tr w14:paraId="5B23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76385CD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总大肠菌群</w:t>
            </w:r>
          </w:p>
        </w:tc>
        <w:tc>
          <w:tcPr>
            <w:tcW w:w="1568" w:type="pct"/>
            <w:vAlign w:val="center"/>
          </w:tcPr>
          <w:p w14:paraId="6B4E64E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MPN/L</w:t>
            </w:r>
          </w:p>
        </w:tc>
        <w:tc>
          <w:tcPr>
            <w:tcW w:w="1601" w:type="pct"/>
            <w:vAlign w:val="center"/>
          </w:tcPr>
          <w:p w14:paraId="398269D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790</w:t>
            </w:r>
          </w:p>
        </w:tc>
      </w:tr>
      <w:tr w14:paraId="6D80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pct"/>
            <w:vAlign w:val="center"/>
          </w:tcPr>
          <w:p w14:paraId="0849675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细菌总数</w:t>
            </w:r>
          </w:p>
        </w:tc>
        <w:tc>
          <w:tcPr>
            <w:tcW w:w="1568" w:type="pct"/>
            <w:vAlign w:val="center"/>
          </w:tcPr>
          <w:p w14:paraId="030F3C1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CFU/mL</w:t>
            </w:r>
          </w:p>
        </w:tc>
        <w:tc>
          <w:tcPr>
            <w:tcW w:w="1601" w:type="pct"/>
            <w:vAlign w:val="center"/>
          </w:tcPr>
          <w:p w14:paraId="7A8222D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800</w:t>
            </w:r>
          </w:p>
        </w:tc>
      </w:tr>
      <w:tr w14:paraId="3C31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7045AE01">
            <w:pPr>
              <w:pStyle w:val="78"/>
              <w:ind w:right="-370" w:rightChars="-154"/>
              <w:jc w:val="left"/>
              <w:rPr>
                <w:rFonts w:cs="Times New Roman"/>
                <w:szCs w:val="21"/>
                <w:lang w:bidi="ar"/>
              </w:rPr>
            </w:pPr>
            <w:r>
              <w:rPr>
                <w:rFonts w:cs="Times New Roman"/>
              </w:rPr>
              <w:t>注：“ND”表示该结果小于检测方法最低检出限。</w:t>
            </w:r>
          </w:p>
        </w:tc>
      </w:tr>
    </w:tbl>
    <w:p w14:paraId="483B2C27">
      <w:pPr>
        <w:pStyle w:val="14"/>
        <w:rPr>
          <w:rFonts w:cs="Times New Roman"/>
          <w:color w:val="auto"/>
        </w:rPr>
      </w:pPr>
    </w:p>
    <w:p w14:paraId="2119B354">
      <w:pPr>
        <w:pStyle w:val="14"/>
        <w:rPr>
          <w:rFonts w:cs="Times New Roman"/>
          <w:color w:val="auto"/>
        </w:rPr>
      </w:pPr>
      <w:bookmarkStart w:id="52" w:name="_Ref9605"/>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9</w:t>
      </w:r>
      <w:r>
        <w:rPr>
          <w:rFonts w:cs="Times New Roman"/>
          <w:color w:val="auto"/>
        </w:rPr>
        <w:fldChar w:fldCharType="end"/>
      </w:r>
      <w:bookmarkEnd w:id="49"/>
      <w:bookmarkEnd w:id="52"/>
      <w:r>
        <w:rPr>
          <w:rFonts w:cs="Times New Roman"/>
          <w:color w:val="auto"/>
        </w:rPr>
        <w:t xml:space="preserve">  地下水环境质量</w:t>
      </w:r>
      <w:r>
        <w:rPr>
          <w:rFonts w:cs="Times New Roman"/>
          <w:color w:val="auto"/>
          <w:szCs w:val="21"/>
        </w:rPr>
        <w:t>引用监测数据</w:t>
      </w:r>
      <w:r>
        <w:rPr>
          <w:rFonts w:cs="Times New Roman"/>
          <w:bCs/>
          <w:iCs w:val="0"/>
          <w:color w:val="auto"/>
          <w:szCs w:val="21"/>
          <w:lang w:bidi="ar"/>
        </w:rPr>
        <w:t>标准指数计算结果</w:t>
      </w:r>
      <w:r>
        <w:rPr>
          <w:rFonts w:cs="Times New Roman"/>
          <w:color w:val="auto"/>
          <w:szCs w:val="21"/>
        </w:rPr>
        <w:t>一览表</w:t>
      </w:r>
      <w:r>
        <w:rPr>
          <w:rFonts w:cs="Times New Roman"/>
          <w:color w:val="auto"/>
        </w:rPr>
        <w:t>（U1-U4）</w:t>
      </w:r>
    </w:p>
    <w:tbl>
      <w:tblPr>
        <w:tblStyle w:val="41"/>
        <w:tblW w:w="5000" w:type="pct"/>
        <w:jc w:val="center"/>
        <w:tblLayout w:type="autofit"/>
        <w:tblCellMar>
          <w:top w:w="0" w:type="dxa"/>
          <w:left w:w="108" w:type="dxa"/>
          <w:bottom w:w="0" w:type="dxa"/>
          <w:right w:w="108" w:type="dxa"/>
        </w:tblCellMar>
      </w:tblPr>
      <w:tblGrid>
        <w:gridCol w:w="2106"/>
        <w:gridCol w:w="1699"/>
        <w:gridCol w:w="1617"/>
        <w:gridCol w:w="1678"/>
        <w:gridCol w:w="1620"/>
      </w:tblGrid>
      <w:tr w14:paraId="796F7008">
        <w:tblPrEx>
          <w:tblCellMar>
            <w:top w:w="0" w:type="dxa"/>
            <w:left w:w="108" w:type="dxa"/>
            <w:bottom w:w="0" w:type="dxa"/>
            <w:right w:w="108" w:type="dxa"/>
          </w:tblCellMar>
        </w:tblPrEx>
        <w:trPr>
          <w:trHeight w:val="340" w:hRule="atLeast"/>
          <w:tblHeader/>
          <w:jc w:val="center"/>
        </w:trPr>
        <w:tc>
          <w:tcPr>
            <w:tcW w:w="1208" w:type="pct"/>
            <w:vMerge w:val="restart"/>
            <w:tcBorders>
              <w:top w:val="single" w:color="auto" w:sz="4" w:space="0"/>
              <w:left w:val="single" w:color="auto" w:sz="4" w:space="0"/>
              <w:right w:val="single" w:color="auto" w:sz="4" w:space="0"/>
            </w:tcBorders>
            <w:vAlign w:val="center"/>
          </w:tcPr>
          <w:p w14:paraId="72016B37">
            <w:pPr>
              <w:pStyle w:val="78"/>
              <w:rPr>
                <w:rFonts w:cs="Times New Roman"/>
                <w:b/>
              </w:rPr>
            </w:pPr>
            <w:r>
              <w:rPr>
                <w:rFonts w:cs="Times New Roman"/>
                <w:b/>
                <w:bCs/>
                <w:szCs w:val="21"/>
                <w:lang w:bidi="ar"/>
              </w:rPr>
              <w:t>监测项目</w:t>
            </w:r>
          </w:p>
        </w:tc>
        <w:tc>
          <w:tcPr>
            <w:tcW w:w="3792" w:type="pct"/>
            <w:gridSpan w:val="4"/>
            <w:tcBorders>
              <w:top w:val="single" w:color="auto" w:sz="4" w:space="0"/>
              <w:left w:val="single" w:color="auto" w:sz="4" w:space="0"/>
              <w:bottom w:val="single" w:color="auto" w:sz="4" w:space="0"/>
              <w:right w:val="single" w:color="auto" w:sz="4" w:space="0"/>
            </w:tcBorders>
            <w:vAlign w:val="center"/>
          </w:tcPr>
          <w:p w14:paraId="3B7B04AF">
            <w:pPr>
              <w:pStyle w:val="78"/>
              <w:rPr>
                <w:rFonts w:cs="Times New Roman"/>
                <w:b/>
              </w:rPr>
            </w:pPr>
            <w:r>
              <w:rPr>
                <w:rFonts w:cs="Times New Roman"/>
                <w:b/>
                <w:bCs/>
                <w:szCs w:val="21"/>
                <w:lang w:bidi="ar"/>
              </w:rPr>
              <w:t>标准指数计算结果</w:t>
            </w:r>
          </w:p>
        </w:tc>
      </w:tr>
      <w:tr w14:paraId="03C6E026">
        <w:tblPrEx>
          <w:tblCellMar>
            <w:top w:w="0" w:type="dxa"/>
            <w:left w:w="108" w:type="dxa"/>
            <w:bottom w:w="0" w:type="dxa"/>
            <w:right w:w="108" w:type="dxa"/>
          </w:tblCellMar>
        </w:tblPrEx>
        <w:trPr>
          <w:trHeight w:val="340" w:hRule="atLeast"/>
          <w:tblHeader/>
          <w:jc w:val="center"/>
        </w:trPr>
        <w:tc>
          <w:tcPr>
            <w:tcW w:w="1208" w:type="pct"/>
            <w:vMerge w:val="continue"/>
            <w:tcBorders>
              <w:left w:val="single" w:color="auto" w:sz="4" w:space="0"/>
              <w:bottom w:val="single" w:color="auto" w:sz="4" w:space="0"/>
              <w:right w:val="single" w:color="auto" w:sz="4" w:space="0"/>
            </w:tcBorders>
            <w:vAlign w:val="center"/>
          </w:tcPr>
          <w:p w14:paraId="4329E788">
            <w:pPr>
              <w:pStyle w:val="78"/>
              <w:rPr>
                <w:rFonts w:cs="Times New Roman"/>
                <w:b/>
              </w:rPr>
            </w:pPr>
          </w:p>
        </w:tc>
        <w:tc>
          <w:tcPr>
            <w:tcW w:w="974" w:type="pct"/>
            <w:tcBorders>
              <w:top w:val="single" w:color="auto" w:sz="4" w:space="0"/>
              <w:left w:val="single" w:color="auto" w:sz="4" w:space="0"/>
              <w:bottom w:val="single" w:color="auto" w:sz="4" w:space="0"/>
              <w:right w:val="single" w:color="auto" w:sz="4" w:space="0"/>
            </w:tcBorders>
            <w:vAlign w:val="center"/>
          </w:tcPr>
          <w:p w14:paraId="39A4135D">
            <w:pPr>
              <w:pStyle w:val="78"/>
              <w:rPr>
                <w:rFonts w:cs="Times New Roman"/>
                <w:b/>
              </w:rPr>
            </w:pPr>
            <w:r>
              <w:rPr>
                <w:rFonts w:cs="Times New Roman"/>
                <w:b/>
              </w:rPr>
              <w:t>U1</w:t>
            </w:r>
          </w:p>
        </w:tc>
        <w:tc>
          <w:tcPr>
            <w:tcW w:w="927" w:type="pct"/>
            <w:tcBorders>
              <w:top w:val="single" w:color="auto" w:sz="4" w:space="0"/>
              <w:left w:val="single" w:color="auto" w:sz="4" w:space="0"/>
              <w:bottom w:val="single" w:color="auto" w:sz="4" w:space="0"/>
              <w:right w:val="single" w:color="auto" w:sz="4" w:space="0"/>
            </w:tcBorders>
            <w:vAlign w:val="center"/>
          </w:tcPr>
          <w:p w14:paraId="6687B126">
            <w:pPr>
              <w:pStyle w:val="78"/>
              <w:rPr>
                <w:rFonts w:cs="Times New Roman"/>
                <w:b/>
              </w:rPr>
            </w:pPr>
            <w:r>
              <w:rPr>
                <w:rFonts w:cs="Times New Roman"/>
                <w:b/>
              </w:rPr>
              <w:t>U2</w:t>
            </w:r>
          </w:p>
        </w:tc>
        <w:tc>
          <w:tcPr>
            <w:tcW w:w="962" w:type="pct"/>
            <w:tcBorders>
              <w:top w:val="single" w:color="auto" w:sz="4" w:space="0"/>
              <w:left w:val="single" w:color="auto" w:sz="4" w:space="0"/>
              <w:bottom w:val="single" w:color="auto" w:sz="4" w:space="0"/>
              <w:right w:val="single" w:color="auto" w:sz="4" w:space="0"/>
            </w:tcBorders>
            <w:vAlign w:val="center"/>
          </w:tcPr>
          <w:p w14:paraId="7EA3DAE3">
            <w:pPr>
              <w:pStyle w:val="78"/>
              <w:rPr>
                <w:rFonts w:cs="Times New Roman"/>
                <w:b/>
              </w:rPr>
            </w:pPr>
            <w:r>
              <w:rPr>
                <w:rFonts w:cs="Times New Roman"/>
                <w:b/>
              </w:rPr>
              <w:t>U3</w:t>
            </w:r>
          </w:p>
        </w:tc>
        <w:tc>
          <w:tcPr>
            <w:tcW w:w="929" w:type="pct"/>
            <w:tcBorders>
              <w:top w:val="single" w:color="auto" w:sz="4" w:space="0"/>
              <w:left w:val="single" w:color="auto" w:sz="4" w:space="0"/>
              <w:bottom w:val="single" w:color="auto" w:sz="4" w:space="0"/>
              <w:right w:val="single" w:color="auto" w:sz="4" w:space="0"/>
            </w:tcBorders>
            <w:vAlign w:val="center"/>
          </w:tcPr>
          <w:p w14:paraId="6F113FBB">
            <w:pPr>
              <w:pStyle w:val="78"/>
              <w:rPr>
                <w:rFonts w:cs="Times New Roman"/>
                <w:b/>
              </w:rPr>
            </w:pPr>
            <w:r>
              <w:rPr>
                <w:rFonts w:cs="Times New Roman"/>
                <w:b/>
              </w:rPr>
              <w:t>U4</w:t>
            </w:r>
          </w:p>
        </w:tc>
      </w:tr>
      <w:tr w14:paraId="4825CD2F">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F91C4FA">
            <w:pPr>
              <w:pStyle w:val="78"/>
              <w:rPr>
                <w:rFonts w:cs="Times New Roman"/>
              </w:rPr>
            </w:pPr>
            <w:r>
              <w:rPr>
                <w:rFonts w:cs="Times New Roman"/>
              </w:rPr>
              <w:t>pH值（无量纲）</w:t>
            </w:r>
          </w:p>
        </w:tc>
        <w:tc>
          <w:tcPr>
            <w:tcW w:w="974" w:type="pct"/>
            <w:tcBorders>
              <w:top w:val="single" w:color="auto" w:sz="4" w:space="0"/>
              <w:left w:val="single" w:color="auto" w:sz="4" w:space="0"/>
              <w:bottom w:val="single" w:color="auto" w:sz="4" w:space="0"/>
              <w:right w:val="single" w:color="auto" w:sz="4" w:space="0"/>
            </w:tcBorders>
            <w:vAlign w:val="center"/>
          </w:tcPr>
          <w:p w14:paraId="163EAD59">
            <w:pPr>
              <w:pStyle w:val="78"/>
              <w:rPr>
                <w:rFonts w:cs="Times New Roman"/>
              </w:rPr>
            </w:pPr>
            <w:r>
              <w:rPr>
                <w:rFonts w:cs="Times New Roman"/>
              </w:rPr>
              <w:t>0.733</w:t>
            </w:r>
          </w:p>
        </w:tc>
        <w:tc>
          <w:tcPr>
            <w:tcW w:w="927" w:type="pct"/>
            <w:tcBorders>
              <w:top w:val="single" w:color="auto" w:sz="4" w:space="0"/>
              <w:left w:val="single" w:color="auto" w:sz="4" w:space="0"/>
              <w:bottom w:val="single" w:color="auto" w:sz="4" w:space="0"/>
              <w:right w:val="single" w:color="auto" w:sz="4" w:space="0"/>
            </w:tcBorders>
            <w:vAlign w:val="center"/>
          </w:tcPr>
          <w:p w14:paraId="7D8CF2FD">
            <w:pPr>
              <w:pStyle w:val="78"/>
              <w:rPr>
                <w:rFonts w:cs="Times New Roman"/>
              </w:rPr>
            </w:pPr>
            <w:r>
              <w:rPr>
                <w:rFonts w:cs="Times New Roman"/>
              </w:rPr>
              <w:t>0.8</w:t>
            </w:r>
          </w:p>
        </w:tc>
        <w:tc>
          <w:tcPr>
            <w:tcW w:w="962" w:type="pct"/>
            <w:tcBorders>
              <w:top w:val="single" w:color="auto" w:sz="4" w:space="0"/>
              <w:left w:val="single" w:color="auto" w:sz="4" w:space="0"/>
              <w:bottom w:val="single" w:color="auto" w:sz="4" w:space="0"/>
              <w:right w:val="single" w:color="auto" w:sz="4" w:space="0"/>
            </w:tcBorders>
            <w:vAlign w:val="center"/>
          </w:tcPr>
          <w:p w14:paraId="2352D4F0">
            <w:pPr>
              <w:pStyle w:val="78"/>
              <w:rPr>
                <w:rFonts w:cs="Times New Roman"/>
              </w:rPr>
            </w:pPr>
            <w:r>
              <w:rPr>
                <w:rFonts w:cs="Times New Roman"/>
              </w:rPr>
              <w:t>0.933</w:t>
            </w:r>
          </w:p>
        </w:tc>
        <w:tc>
          <w:tcPr>
            <w:tcW w:w="929" w:type="pct"/>
            <w:tcBorders>
              <w:top w:val="single" w:color="auto" w:sz="4" w:space="0"/>
              <w:left w:val="single" w:color="auto" w:sz="4" w:space="0"/>
              <w:bottom w:val="single" w:color="auto" w:sz="4" w:space="0"/>
              <w:right w:val="single" w:color="auto" w:sz="4" w:space="0"/>
            </w:tcBorders>
            <w:vAlign w:val="center"/>
          </w:tcPr>
          <w:p w14:paraId="3BBFCCEF">
            <w:pPr>
              <w:pStyle w:val="78"/>
              <w:rPr>
                <w:rFonts w:cs="Times New Roman"/>
              </w:rPr>
            </w:pPr>
            <w:r>
              <w:rPr>
                <w:rFonts w:cs="Times New Roman"/>
              </w:rPr>
              <w:t>0.933</w:t>
            </w:r>
          </w:p>
        </w:tc>
      </w:tr>
      <w:tr w14:paraId="6B4CDC48">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D3D4E2D">
            <w:pPr>
              <w:pStyle w:val="78"/>
              <w:rPr>
                <w:rFonts w:cs="Times New Roman"/>
              </w:rPr>
            </w:pPr>
            <w:r>
              <w:rPr>
                <w:rFonts w:cs="Times New Roman"/>
              </w:rPr>
              <w:t>色度（度）</w:t>
            </w:r>
          </w:p>
        </w:tc>
        <w:tc>
          <w:tcPr>
            <w:tcW w:w="974" w:type="pct"/>
            <w:tcBorders>
              <w:top w:val="single" w:color="auto" w:sz="4" w:space="0"/>
              <w:left w:val="single" w:color="auto" w:sz="4" w:space="0"/>
              <w:bottom w:val="single" w:color="auto" w:sz="4" w:space="0"/>
              <w:right w:val="single" w:color="auto" w:sz="4" w:space="0"/>
            </w:tcBorders>
            <w:vAlign w:val="center"/>
          </w:tcPr>
          <w:p w14:paraId="63ED06D6">
            <w:pPr>
              <w:pStyle w:val="78"/>
              <w:rPr>
                <w:rFonts w:cs="Times New Roman"/>
              </w:rPr>
            </w:pPr>
            <w:r>
              <w:rPr>
                <w:rFonts w:cs="Times New Roman"/>
              </w:rPr>
              <w:t>0.667</w:t>
            </w:r>
          </w:p>
        </w:tc>
        <w:tc>
          <w:tcPr>
            <w:tcW w:w="927" w:type="pct"/>
            <w:tcBorders>
              <w:top w:val="single" w:color="auto" w:sz="4" w:space="0"/>
              <w:left w:val="single" w:color="auto" w:sz="4" w:space="0"/>
              <w:bottom w:val="single" w:color="auto" w:sz="4" w:space="0"/>
              <w:right w:val="single" w:color="auto" w:sz="4" w:space="0"/>
            </w:tcBorders>
            <w:vAlign w:val="center"/>
          </w:tcPr>
          <w:p w14:paraId="172C2E90">
            <w:pPr>
              <w:pStyle w:val="78"/>
              <w:rPr>
                <w:rFonts w:cs="Times New Roman"/>
              </w:rPr>
            </w:pPr>
            <w:r>
              <w:rPr>
                <w:rFonts w:cs="Times New Roman"/>
              </w:rPr>
              <w:t>1</w:t>
            </w:r>
          </w:p>
        </w:tc>
        <w:tc>
          <w:tcPr>
            <w:tcW w:w="962" w:type="pct"/>
            <w:tcBorders>
              <w:top w:val="single" w:color="auto" w:sz="4" w:space="0"/>
              <w:left w:val="single" w:color="auto" w:sz="4" w:space="0"/>
              <w:bottom w:val="single" w:color="auto" w:sz="4" w:space="0"/>
              <w:right w:val="single" w:color="auto" w:sz="4" w:space="0"/>
            </w:tcBorders>
            <w:vAlign w:val="center"/>
          </w:tcPr>
          <w:p w14:paraId="15031698">
            <w:pPr>
              <w:pStyle w:val="78"/>
              <w:rPr>
                <w:rFonts w:cs="Times New Roman"/>
              </w:rPr>
            </w:pPr>
            <w:r>
              <w:rPr>
                <w:rFonts w:cs="Times New Roman"/>
              </w:rPr>
              <w:t>1</w:t>
            </w:r>
          </w:p>
        </w:tc>
        <w:tc>
          <w:tcPr>
            <w:tcW w:w="929" w:type="pct"/>
            <w:tcBorders>
              <w:top w:val="single" w:color="auto" w:sz="4" w:space="0"/>
              <w:left w:val="single" w:color="auto" w:sz="4" w:space="0"/>
              <w:bottom w:val="single" w:color="auto" w:sz="4" w:space="0"/>
              <w:right w:val="single" w:color="auto" w:sz="4" w:space="0"/>
            </w:tcBorders>
            <w:vAlign w:val="center"/>
          </w:tcPr>
          <w:p w14:paraId="32867540">
            <w:pPr>
              <w:pStyle w:val="78"/>
              <w:rPr>
                <w:rFonts w:cs="Times New Roman"/>
              </w:rPr>
            </w:pPr>
            <w:r>
              <w:rPr>
                <w:rFonts w:cs="Times New Roman"/>
              </w:rPr>
              <w:t>0.333</w:t>
            </w:r>
          </w:p>
        </w:tc>
      </w:tr>
      <w:tr w14:paraId="6653171D">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EABB3A8">
            <w:pPr>
              <w:pStyle w:val="78"/>
              <w:rPr>
                <w:rFonts w:cs="Times New Roman"/>
              </w:rPr>
            </w:pPr>
            <w:r>
              <w:rPr>
                <w:rFonts w:cs="Times New Roman"/>
              </w:rPr>
              <w:t>浊度（NTU）</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1C183DD4">
            <w:pPr>
              <w:pStyle w:val="78"/>
              <w:rPr>
                <w:rFonts w:cs="Times New Roman"/>
                <w:b/>
                <w:bCs/>
              </w:rPr>
            </w:pPr>
            <w:r>
              <w:rPr>
                <w:rFonts w:cs="Times New Roman"/>
                <w:b/>
                <w:bCs/>
              </w:rPr>
              <w:t>12.667</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908A2FD">
            <w:pPr>
              <w:pStyle w:val="78"/>
              <w:rPr>
                <w:rFonts w:cs="Times New Roman"/>
                <w:b/>
                <w:bCs/>
              </w:rPr>
            </w:pPr>
            <w:r>
              <w:rPr>
                <w:rFonts w:cs="Times New Roman"/>
                <w:b/>
                <w:bCs/>
              </w:rPr>
              <w:t>14</w:t>
            </w:r>
          </w:p>
        </w:tc>
        <w:tc>
          <w:tcPr>
            <w:tcW w:w="962"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B61ADDD">
            <w:pPr>
              <w:pStyle w:val="78"/>
              <w:rPr>
                <w:rFonts w:cs="Times New Roman"/>
                <w:b/>
                <w:bCs/>
              </w:rPr>
            </w:pPr>
            <w:r>
              <w:rPr>
                <w:rFonts w:cs="Times New Roman"/>
                <w:b/>
                <w:bCs/>
              </w:rPr>
              <w:t>16</w:t>
            </w:r>
          </w:p>
        </w:tc>
        <w:tc>
          <w:tcPr>
            <w:tcW w:w="929"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D57A49E">
            <w:pPr>
              <w:pStyle w:val="78"/>
              <w:rPr>
                <w:rFonts w:cs="Times New Roman"/>
                <w:b/>
                <w:bCs/>
              </w:rPr>
            </w:pPr>
            <w:r>
              <w:rPr>
                <w:rFonts w:cs="Times New Roman"/>
                <w:b/>
                <w:bCs/>
              </w:rPr>
              <w:t>10</w:t>
            </w:r>
          </w:p>
        </w:tc>
      </w:tr>
      <w:tr w14:paraId="014DF8C9">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1CAAABF3">
            <w:pPr>
              <w:pStyle w:val="78"/>
              <w:rPr>
                <w:rFonts w:cs="Times New Roman"/>
              </w:rPr>
            </w:pPr>
            <w:r>
              <w:rPr>
                <w:rFonts w:cs="Times New Roman"/>
              </w:rPr>
              <w:t>肉眼可见物</w:t>
            </w:r>
          </w:p>
        </w:tc>
        <w:tc>
          <w:tcPr>
            <w:tcW w:w="974" w:type="pct"/>
            <w:tcBorders>
              <w:top w:val="single" w:color="auto" w:sz="4" w:space="0"/>
              <w:left w:val="single" w:color="auto" w:sz="4" w:space="0"/>
              <w:bottom w:val="single" w:color="auto" w:sz="4" w:space="0"/>
              <w:right w:val="single" w:color="auto" w:sz="4" w:space="0"/>
            </w:tcBorders>
            <w:vAlign w:val="center"/>
          </w:tcPr>
          <w:p w14:paraId="5A9338C8">
            <w:pPr>
              <w:pStyle w:val="78"/>
              <w:rPr>
                <w:rFonts w:cs="Times New Roman"/>
              </w:rPr>
            </w:pPr>
            <w:r>
              <w:rPr>
                <w:rFonts w:cs="Times New Roman"/>
              </w:rPr>
              <w:t>少量悬浮物</w:t>
            </w:r>
          </w:p>
        </w:tc>
        <w:tc>
          <w:tcPr>
            <w:tcW w:w="927" w:type="pct"/>
            <w:tcBorders>
              <w:top w:val="single" w:color="auto" w:sz="4" w:space="0"/>
              <w:left w:val="single" w:color="auto" w:sz="4" w:space="0"/>
              <w:bottom w:val="single" w:color="auto" w:sz="4" w:space="0"/>
              <w:right w:val="single" w:color="auto" w:sz="4" w:space="0"/>
            </w:tcBorders>
            <w:vAlign w:val="center"/>
          </w:tcPr>
          <w:p w14:paraId="5CF630A3">
            <w:pPr>
              <w:pStyle w:val="78"/>
              <w:rPr>
                <w:rFonts w:cs="Times New Roman"/>
              </w:rPr>
            </w:pPr>
            <w:r>
              <w:rPr>
                <w:rFonts w:cs="Times New Roman"/>
              </w:rPr>
              <w:t>少量悬浮物</w:t>
            </w:r>
          </w:p>
        </w:tc>
        <w:tc>
          <w:tcPr>
            <w:tcW w:w="962" w:type="pct"/>
            <w:tcBorders>
              <w:top w:val="single" w:color="auto" w:sz="4" w:space="0"/>
              <w:left w:val="single" w:color="auto" w:sz="4" w:space="0"/>
              <w:bottom w:val="single" w:color="auto" w:sz="4" w:space="0"/>
              <w:right w:val="single" w:color="auto" w:sz="4" w:space="0"/>
            </w:tcBorders>
            <w:vAlign w:val="center"/>
          </w:tcPr>
          <w:p w14:paraId="6BB4D134">
            <w:pPr>
              <w:pStyle w:val="78"/>
              <w:rPr>
                <w:rFonts w:cs="Times New Roman"/>
              </w:rPr>
            </w:pPr>
            <w:r>
              <w:rPr>
                <w:rFonts w:cs="Times New Roman"/>
              </w:rPr>
              <w:t>少量悬浮物</w:t>
            </w:r>
          </w:p>
        </w:tc>
        <w:tc>
          <w:tcPr>
            <w:tcW w:w="929" w:type="pct"/>
            <w:tcBorders>
              <w:top w:val="single" w:color="auto" w:sz="4" w:space="0"/>
              <w:left w:val="single" w:color="auto" w:sz="4" w:space="0"/>
              <w:bottom w:val="single" w:color="auto" w:sz="4" w:space="0"/>
              <w:right w:val="single" w:color="auto" w:sz="4" w:space="0"/>
            </w:tcBorders>
            <w:vAlign w:val="center"/>
          </w:tcPr>
          <w:p w14:paraId="12CA98A0">
            <w:pPr>
              <w:pStyle w:val="78"/>
              <w:rPr>
                <w:rFonts w:cs="Times New Roman"/>
              </w:rPr>
            </w:pPr>
            <w:r>
              <w:rPr>
                <w:rFonts w:cs="Times New Roman"/>
              </w:rPr>
              <w:t>少量悬浮物</w:t>
            </w:r>
          </w:p>
        </w:tc>
      </w:tr>
      <w:tr w14:paraId="1E25E7C5">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74DF583">
            <w:pPr>
              <w:pStyle w:val="78"/>
              <w:rPr>
                <w:rFonts w:cs="Times New Roman"/>
              </w:rPr>
            </w:pPr>
            <w:r>
              <w:rPr>
                <w:rFonts w:cs="Times New Roman"/>
              </w:rPr>
              <w:t>总硬度</w:t>
            </w:r>
          </w:p>
        </w:tc>
        <w:tc>
          <w:tcPr>
            <w:tcW w:w="974" w:type="pct"/>
            <w:tcBorders>
              <w:top w:val="single" w:color="auto" w:sz="4" w:space="0"/>
              <w:left w:val="single" w:color="auto" w:sz="4" w:space="0"/>
              <w:bottom w:val="single" w:color="auto" w:sz="4" w:space="0"/>
              <w:right w:val="single" w:color="auto" w:sz="4" w:space="0"/>
            </w:tcBorders>
            <w:vAlign w:val="center"/>
          </w:tcPr>
          <w:p w14:paraId="74D068CC">
            <w:pPr>
              <w:pStyle w:val="78"/>
              <w:rPr>
                <w:rFonts w:cs="Times New Roman"/>
              </w:rPr>
            </w:pPr>
            <w:r>
              <w:rPr>
                <w:rFonts w:cs="Times New Roman"/>
              </w:rPr>
              <w:t>0.080</w:t>
            </w:r>
          </w:p>
        </w:tc>
        <w:tc>
          <w:tcPr>
            <w:tcW w:w="927" w:type="pct"/>
            <w:tcBorders>
              <w:top w:val="single" w:color="auto" w:sz="4" w:space="0"/>
              <w:left w:val="single" w:color="auto" w:sz="4" w:space="0"/>
              <w:bottom w:val="single" w:color="auto" w:sz="4" w:space="0"/>
              <w:right w:val="single" w:color="auto" w:sz="4" w:space="0"/>
            </w:tcBorders>
            <w:vAlign w:val="center"/>
          </w:tcPr>
          <w:p w14:paraId="7A514704">
            <w:pPr>
              <w:pStyle w:val="78"/>
              <w:rPr>
                <w:rFonts w:cs="Times New Roman"/>
              </w:rPr>
            </w:pPr>
            <w:r>
              <w:rPr>
                <w:rFonts w:cs="Times New Roman"/>
              </w:rPr>
              <w:t>0.191</w:t>
            </w:r>
          </w:p>
        </w:tc>
        <w:tc>
          <w:tcPr>
            <w:tcW w:w="962" w:type="pct"/>
            <w:tcBorders>
              <w:top w:val="single" w:color="auto" w:sz="4" w:space="0"/>
              <w:left w:val="single" w:color="auto" w:sz="4" w:space="0"/>
              <w:bottom w:val="single" w:color="auto" w:sz="4" w:space="0"/>
              <w:right w:val="single" w:color="auto" w:sz="4" w:space="0"/>
            </w:tcBorders>
            <w:vAlign w:val="center"/>
          </w:tcPr>
          <w:p w14:paraId="1B1E5213">
            <w:pPr>
              <w:pStyle w:val="78"/>
              <w:rPr>
                <w:rFonts w:cs="Times New Roman"/>
              </w:rPr>
            </w:pPr>
            <w:r>
              <w:rPr>
                <w:rFonts w:cs="Times New Roman"/>
              </w:rPr>
              <w:t>0.153</w:t>
            </w:r>
          </w:p>
        </w:tc>
        <w:tc>
          <w:tcPr>
            <w:tcW w:w="929" w:type="pct"/>
            <w:tcBorders>
              <w:top w:val="single" w:color="auto" w:sz="4" w:space="0"/>
              <w:left w:val="single" w:color="auto" w:sz="4" w:space="0"/>
              <w:bottom w:val="single" w:color="auto" w:sz="4" w:space="0"/>
              <w:right w:val="single" w:color="auto" w:sz="4" w:space="0"/>
            </w:tcBorders>
            <w:vAlign w:val="center"/>
          </w:tcPr>
          <w:p w14:paraId="753F72D9">
            <w:pPr>
              <w:pStyle w:val="78"/>
              <w:rPr>
                <w:rFonts w:cs="Times New Roman"/>
              </w:rPr>
            </w:pPr>
            <w:r>
              <w:rPr>
                <w:rFonts w:cs="Times New Roman"/>
              </w:rPr>
              <w:t>0.278</w:t>
            </w:r>
          </w:p>
        </w:tc>
      </w:tr>
      <w:tr w14:paraId="395B66F5">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F392AA3">
            <w:pPr>
              <w:pStyle w:val="78"/>
              <w:rPr>
                <w:rFonts w:cs="Times New Roman"/>
              </w:rPr>
            </w:pPr>
            <w:r>
              <w:rPr>
                <w:rFonts w:cs="Times New Roman"/>
              </w:rPr>
              <w:t>溶解性总固体</w:t>
            </w:r>
          </w:p>
        </w:tc>
        <w:tc>
          <w:tcPr>
            <w:tcW w:w="974" w:type="pct"/>
            <w:tcBorders>
              <w:top w:val="single" w:color="auto" w:sz="4" w:space="0"/>
              <w:left w:val="single" w:color="auto" w:sz="4" w:space="0"/>
              <w:bottom w:val="single" w:color="auto" w:sz="4" w:space="0"/>
              <w:right w:val="single" w:color="auto" w:sz="4" w:space="0"/>
            </w:tcBorders>
            <w:vAlign w:val="center"/>
          </w:tcPr>
          <w:p w14:paraId="3F25804A">
            <w:pPr>
              <w:pStyle w:val="78"/>
              <w:rPr>
                <w:rFonts w:cs="Times New Roman"/>
              </w:rPr>
            </w:pPr>
            <w:r>
              <w:rPr>
                <w:rFonts w:cs="Times New Roman"/>
              </w:rPr>
              <w:t>0.104</w:t>
            </w:r>
          </w:p>
        </w:tc>
        <w:tc>
          <w:tcPr>
            <w:tcW w:w="927" w:type="pct"/>
            <w:tcBorders>
              <w:top w:val="single" w:color="auto" w:sz="4" w:space="0"/>
              <w:left w:val="single" w:color="auto" w:sz="4" w:space="0"/>
              <w:bottom w:val="single" w:color="auto" w:sz="4" w:space="0"/>
              <w:right w:val="single" w:color="auto" w:sz="4" w:space="0"/>
            </w:tcBorders>
            <w:vAlign w:val="center"/>
          </w:tcPr>
          <w:p w14:paraId="1CB75EE4">
            <w:pPr>
              <w:pStyle w:val="78"/>
              <w:rPr>
                <w:rFonts w:cs="Times New Roman"/>
              </w:rPr>
            </w:pPr>
            <w:r>
              <w:rPr>
                <w:rFonts w:cs="Times New Roman"/>
              </w:rPr>
              <w:t>0.392</w:t>
            </w:r>
          </w:p>
        </w:tc>
        <w:tc>
          <w:tcPr>
            <w:tcW w:w="962" w:type="pct"/>
            <w:tcBorders>
              <w:top w:val="single" w:color="auto" w:sz="4" w:space="0"/>
              <w:left w:val="single" w:color="auto" w:sz="4" w:space="0"/>
              <w:bottom w:val="single" w:color="auto" w:sz="4" w:space="0"/>
              <w:right w:val="single" w:color="auto" w:sz="4" w:space="0"/>
            </w:tcBorders>
            <w:vAlign w:val="center"/>
          </w:tcPr>
          <w:p w14:paraId="41C019A9">
            <w:pPr>
              <w:pStyle w:val="78"/>
              <w:rPr>
                <w:rFonts w:cs="Times New Roman"/>
              </w:rPr>
            </w:pPr>
            <w:r>
              <w:rPr>
                <w:rFonts w:cs="Times New Roman"/>
              </w:rPr>
              <w:t>0.31</w:t>
            </w:r>
          </w:p>
        </w:tc>
        <w:tc>
          <w:tcPr>
            <w:tcW w:w="929" w:type="pct"/>
            <w:tcBorders>
              <w:top w:val="single" w:color="auto" w:sz="4" w:space="0"/>
              <w:left w:val="single" w:color="auto" w:sz="4" w:space="0"/>
              <w:bottom w:val="single" w:color="auto" w:sz="4" w:space="0"/>
              <w:right w:val="single" w:color="auto" w:sz="4" w:space="0"/>
            </w:tcBorders>
            <w:vAlign w:val="center"/>
          </w:tcPr>
          <w:p w14:paraId="01A53127">
            <w:pPr>
              <w:pStyle w:val="78"/>
              <w:rPr>
                <w:rFonts w:cs="Times New Roman"/>
              </w:rPr>
            </w:pPr>
            <w:r>
              <w:rPr>
                <w:rFonts w:cs="Times New Roman"/>
              </w:rPr>
              <w:t>0.684</w:t>
            </w:r>
          </w:p>
        </w:tc>
      </w:tr>
      <w:tr w14:paraId="7ED13BC9">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02898AEB">
            <w:pPr>
              <w:pStyle w:val="78"/>
              <w:rPr>
                <w:rFonts w:cs="Times New Roman"/>
              </w:rPr>
            </w:pPr>
            <w:r>
              <w:rPr>
                <w:rFonts w:cs="Times New Roman"/>
              </w:rPr>
              <w:t>耗氧量</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1A30401">
            <w:pPr>
              <w:pStyle w:val="78"/>
              <w:rPr>
                <w:rFonts w:cs="Times New Roman"/>
                <w:b/>
                <w:bCs/>
              </w:rPr>
            </w:pPr>
            <w:r>
              <w:rPr>
                <w:rFonts w:cs="Times New Roman"/>
                <w:b/>
                <w:bCs/>
              </w:rPr>
              <w:t>1.2</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15DD81C5">
            <w:pPr>
              <w:pStyle w:val="78"/>
              <w:rPr>
                <w:rFonts w:cs="Times New Roman"/>
                <w:b/>
                <w:bCs/>
              </w:rPr>
            </w:pPr>
            <w:r>
              <w:rPr>
                <w:rFonts w:cs="Times New Roman"/>
                <w:b/>
                <w:bCs/>
              </w:rPr>
              <w:t>1.267</w:t>
            </w:r>
          </w:p>
        </w:tc>
        <w:tc>
          <w:tcPr>
            <w:tcW w:w="962" w:type="pct"/>
            <w:tcBorders>
              <w:top w:val="single" w:color="auto" w:sz="4" w:space="0"/>
              <w:left w:val="single" w:color="auto" w:sz="4" w:space="0"/>
              <w:bottom w:val="single" w:color="auto" w:sz="4" w:space="0"/>
              <w:right w:val="single" w:color="auto" w:sz="4" w:space="0"/>
            </w:tcBorders>
            <w:vAlign w:val="center"/>
          </w:tcPr>
          <w:p w14:paraId="6DC8203B">
            <w:pPr>
              <w:pStyle w:val="78"/>
              <w:rPr>
                <w:rFonts w:cs="Times New Roman"/>
              </w:rPr>
            </w:pPr>
            <w:r>
              <w:rPr>
                <w:rFonts w:cs="Times New Roman"/>
              </w:rPr>
              <w:t>0.833</w:t>
            </w:r>
          </w:p>
        </w:tc>
        <w:tc>
          <w:tcPr>
            <w:tcW w:w="929" w:type="pct"/>
            <w:tcBorders>
              <w:top w:val="single" w:color="auto" w:sz="4" w:space="0"/>
              <w:left w:val="single" w:color="auto" w:sz="4" w:space="0"/>
              <w:bottom w:val="single" w:color="auto" w:sz="4" w:space="0"/>
              <w:right w:val="single" w:color="auto" w:sz="4" w:space="0"/>
            </w:tcBorders>
            <w:vAlign w:val="center"/>
          </w:tcPr>
          <w:p w14:paraId="31896415">
            <w:pPr>
              <w:pStyle w:val="78"/>
              <w:rPr>
                <w:rFonts w:cs="Times New Roman"/>
              </w:rPr>
            </w:pPr>
            <w:r>
              <w:rPr>
                <w:rFonts w:cs="Times New Roman"/>
              </w:rPr>
              <w:t>1</w:t>
            </w:r>
          </w:p>
        </w:tc>
      </w:tr>
      <w:tr w14:paraId="1B9F00D4">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BEF9D22">
            <w:pPr>
              <w:pStyle w:val="78"/>
              <w:rPr>
                <w:rFonts w:cs="Times New Roman"/>
              </w:rPr>
            </w:pPr>
            <w:r>
              <w:rPr>
                <w:rFonts w:cs="Times New Roman"/>
              </w:rPr>
              <w:t>氨氮</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26BF8CA">
            <w:pPr>
              <w:pStyle w:val="78"/>
              <w:rPr>
                <w:rFonts w:cs="Times New Roman"/>
                <w:b/>
                <w:bCs/>
              </w:rPr>
            </w:pPr>
            <w:r>
              <w:rPr>
                <w:rFonts w:cs="Times New Roman"/>
                <w:b/>
                <w:bCs/>
              </w:rPr>
              <w:t>2.08</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3345C9D">
            <w:pPr>
              <w:pStyle w:val="78"/>
              <w:rPr>
                <w:rFonts w:cs="Times New Roman"/>
                <w:b/>
                <w:bCs/>
              </w:rPr>
            </w:pPr>
            <w:r>
              <w:rPr>
                <w:rFonts w:cs="Times New Roman"/>
                <w:b/>
                <w:bCs/>
              </w:rPr>
              <w:t>1.404</w:t>
            </w:r>
          </w:p>
        </w:tc>
        <w:tc>
          <w:tcPr>
            <w:tcW w:w="962"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AD1B6FE">
            <w:pPr>
              <w:pStyle w:val="78"/>
              <w:rPr>
                <w:rFonts w:cs="Times New Roman"/>
                <w:b/>
                <w:bCs/>
              </w:rPr>
            </w:pPr>
            <w:r>
              <w:rPr>
                <w:rFonts w:cs="Times New Roman"/>
                <w:b/>
                <w:bCs/>
              </w:rPr>
              <w:t>1.28</w:t>
            </w:r>
          </w:p>
        </w:tc>
        <w:tc>
          <w:tcPr>
            <w:tcW w:w="929" w:type="pct"/>
            <w:tcBorders>
              <w:top w:val="single" w:color="auto" w:sz="4" w:space="0"/>
              <w:left w:val="single" w:color="auto" w:sz="4" w:space="0"/>
              <w:bottom w:val="single" w:color="auto" w:sz="4" w:space="0"/>
              <w:right w:val="single" w:color="auto" w:sz="4" w:space="0"/>
            </w:tcBorders>
            <w:vAlign w:val="center"/>
          </w:tcPr>
          <w:p w14:paraId="5A6624CF">
            <w:pPr>
              <w:pStyle w:val="78"/>
              <w:rPr>
                <w:rFonts w:cs="Times New Roman"/>
              </w:rPr>
            </w:pPr>
            <w:r>
              <w:rPr>
                <w:rFonts w:cs="Times New Roman"/>
              </w:rPr>
              <w:t>0.7</w:t>
            </w:r>
          </w:p>
        </w:tc>
      </w:tr>
      <w:tr w14:paraId="36ED00A5">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DEF8082">
            <w:pPr>
              <w:pStyle w:val="78"/>
              <w:rPr>
                <w:rFonts w:cs="Times New Roman"/>
              </w:rPr>
            </w:pPr>
            <w:r>
              <w:rPr>
                <w:rFonts w:cs="Times New Roman"/>
              </w:rPr>
              <w:t>挥发酚</w:t>
            </w:r>
          </w:p>
        </w:tc>
        <w:tc>
          <w:tcPr>
            <w:tcW w:w="974" w:type="pct"/>
            <w:tcBorders>
              <w:top w:val="single" w:color="auto" w:sz="4" w:space="0"/>
              <w:left w:val="single" w:color="auto" w:sz="4" w:space="0"/>
              <w:bottom w:val="single" w:color="auto" w:sz="4" w:space="0"/>
              <w:right w:val="single" w:color="auto" w:sz="4" w:space="0"/>
            </w:tcBorders>
            <w:vAlign w:val="center"/>
          </w:tcPr>
          <w:p w14:paraId="2821DD9C">
            <w:pPr>
              <w:pStyle w:val="78"/>
              <w:rPr>
                <w:rFonts w:cs="Times New Roman"/>
              </w:rPr>
            </w:pPr>
            <w:r>
              <w:rPr>
                <w:rFonts w:cs="Times New Roman"/>
              </w:rPr>
              <w:t>0.075</w:t>
            </w:r>
          </w:p>
        </w:tc>
        <w:tc>
          <w:tcPr>
            <w:tcW w:w="927" w:type="pct"/>
            <w:tcBorders>
              <w:top w:val="single" w:color="auto" w:sz="4" w:space="0"/>
              <w:left w:val="single" w:color="auto" w:sz="4" w:space="0"/>
              <w:bottom w:val="single" w:color="auto" w:sz="4" w:space="0"/>
              <w:right w:val="single" w:color="auto" w:sz="4" w:space="0"/>
            </w:tcBorders>
            <w:vAlign w:val="center"/>
          </w:tcPr>
          <w:p w14:paraId="363F701B">
            <w:pPr>
              <w:pStyle w:val="78"/>
              <w:rPr>
                <w:rFonts w:cs="Times New Roman"/>
              </w:rPr>
            </w:pPr>
            <w:r>
              <w:rPr>
                <w:rFonts w:cs="Times New Roman"/>
              </w:rPr>
              <w:t>0.075</w:t>
            </w:r>
          </w:p>
        </w:tc>
        <w:tc>
          <w:tcPr>
            <w:tcW w:w="962" w:type="pct"/>
            <w:tcBorders>
              <w:top w:val="single" w:color="auto" w:sz="4" w:space="0"/>
              <w:left w:val="single" w:color="auto" w:sz="4" w:space="0"/>
              <w:bottom w:val="single" w:color="auto" w:sz="4" w:space="0"/>
              <w:right w:val="single" w:color="auto" w:sz="4" w:space="0"/>
            </w:tcBorders>
            <w:vAlign w:val="center"/>
          </w:tcPr>
          <w:p w14:paraId="3ABC8BC2">
            <w:pPr>
              <w:pStyle w:val="78"/>
              <w:rPr>
                <w:rFonts w:cs="Times New Roman"/>
              </w:rPr>
            </w:pPr>
            <w:r>
              <w:rPr>
                <w:rFonts w:cs="Times New Roman"/>
              </w:rPr>
              <w:t>0.075</w:t>
            </w:r>
          </w:p>
        </w:tc>
        <w:tc>
          <w:tcPr>
            <w:tcW w:w="929" w:type="pct"/>
            <w:tcBorders>
              <w:top w:val="single" w:color="auto" w:sz="4" w:space="0"/>
              <w:left w:val="single" w:color="auto" w:sz="4" w:space="0"/>
              <w:bottom w:val="single" w:color="auto" w:sz="4" w:space="0"/>
              <w:right w:val="single" w:color="auto" w:sz="4" w:space="0"/>
            </w:tcBorders>
            <w:vAlign w:val="center"/>
          </w:tcPr>
          <w:p w14:paraId="6E4A640C">
            <w:pPr>
              <w:pStyle w:val="78"/>
              <w:rPr>
                <w:rFonts w:cs="Times New Roman"/>
              </w:rPr>
            </w:pPr>
            <w:r>
              <w:rPr>
                <w:rFonts w:cs="Times New Roman"/>
              </w:rPr>
              <w:t>0.075</w:t>
            </w:r>
          </w:p>
        </w:tc>
      </w:tr>
      <w:tr w14:paraId="561EB76A">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D3E7D27">
            <w:pPr>
              <w:pStyle w:val="78"/>
              <w:rPr>
                <w:rFonts w:cs="Times New Roman"/>
              </w:rPr>
            </w:pPr>
            <w:r>
              <w:rPr>
                <w:rFonts w:cs="Times New Roman"/>
              </w:rPr>
              <w:t>氰化物</w:t>
            </w:r>
          </w:p>
        </w:tc>
        <w:tc>
          <w:tcPr>
            <w:tcW w:w="974" w:type="pct"/>
            <w:tcBorders>
              <w:top w:val="single" w:color="auto" w:sz="4" w:space="0"/>
              <w:left w:val="single" w:color="auto" w:sz="4" w:space="0"/>
              <w:bottom w:val="single" w:color="auto" w:sz="4" w:space="0"/>
              <w:right w:val="single" w:color="auto" w:sz="4" w:space="0"/>
            </w:tcBorders>
            <w:vAlign w:val="center"/>
          </w:tcPr>
          <w:p w14:paraId="21541863">
            <w:pPr>
              <w:pStyle w:val="78"/>
              <w:rPr>
                <w:rFonts w:cs="Times New Roman"/>
              </w:rPr>
            </w:pPr>
            <w:r>
              <w:rPr>
                <w:rFonts w:cs="Times New Roman"/>
              </w:rPr>
              <w:t>0.006</w:t>
            </w:r>
          </w:p>
        </w:tc>
        <w:tc>
          <w:tcPr>
            <w:tcW w:w="927" w:type="pct"/>
            <w:tcBorders>
              <w:top w:val="single" w:color="auto" w:sz="4" w:space="0"/>
              <w:left w:val="single" w:color="auto" w:sz="4" w:space="0"/>
              <w:bottom w:val="single" w:color="auto" w:sz="4" w:space="0"/>
              <w:right w:val="single" w:color="auto" w:sz="4" w:space="0"/>
            </w:tcBorders>
            <w:vAlign w:val="center"/>
          </w:tcPr>
          <w:p w14:paraId="323851ED">
            <w:pPr>
              <w:pStyle w:val="78"/>
              <w:rPr>
                <w:rFonts w:cs="Times New Roman"/>
              </w:rPr>
            </w:pPr>
            <w:r>
              <w:rPr>
                <w:rFonts w:cs="Times New Roman"/>
              </w:rPr>
              <w:t>0.006</w:t>
            </w:r>
          </w:p>
        </w:tc>
        <w:tc>
          <w:tcPr>
            <w:tcW w:w="962" w:type="pct"/>
            <w:tcBorders>
              <w:top w:val="single" w:color="auto" w:sz="4" w:space="0"/>
              <w:left w:val="single" w:color="auto" w:sz="4" w:space="0"/>
              <w:bottom w:val="single" w:color="auto" w:sz="4" w:space="0"/>
              <w:right w:val="single" w:color="auto" w:sz="4" w:space="0"/>
            </w:tcBorders>
            <w:vAlign w:val="center"/>
          </w:tcPr>
          <w:p w14:paraId="35ABC146">
            <w:pPr>
              <w:pStyle w:val="78"/>
              <w:rPr>
                <w:rFonts w:cs="Times New Roman"/>
              </w:rPr>
            </w:pPr>
            <w:r>
              <w:rPr>
                <w:rFonts w:cs="Times New Roman"/>
              </w:rPr>
              <w:t>0.006</w:t>
            </w:r>
          </w:p>
        </w:tc>
        <w:tc>
          <w:tcPr>
            <w:tcW w:w="929" w:type="pct"/>
            <w:tcBorders>
              <w:top w:val="single" w:color="auto" w:sz="4" w:space="0"/>
              <w:left w:val="single" w:color="auto" w:sz="4" w:space="0"/>
              <w:bottom w:val="single" w:color="auto" w:sz="4" w:space="0"/>
              <w:right w:val="single" w:color="auto" w:sz="4" w:space="0"/>
            </w:tcBorders>
            <w:vAlign w:val="center"/>
          </w:tcPr>
          <w:p w14:paraId="19225B8C">
            <w:pPr>
              <w:pStyle w:val="78"/>
              <w:rPr>
                <w:rFonts w:cs="Times New Roman"/>
              </w:rPr>
            </w:pPr>
            <w:r>
              <w:rPr>
                <w:rFonts w:cs="Times New Roman"/>
              </w:rPr>
              <w:t>0.006</w:t>
            </w:r>
          </w:p>
        </w:tc>
      </w:tr>
      <w:tr w14:paraId="7F88B9D8">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36F4821">
            <w:pPr>
              <w:pStyle w:val="78"/>
              <w:rPr>
                <w:rFonts w:cs="Times New Roman"/>
              </w:rPr>
            </w:pPr>
            <w:r>
              <w:rPr>
                <w:rFonts w:cs="Times New Roman"/>
              </w:rPr>
              <w:t>氟化物</w:t>
            </w:r>
          </w:p>
        </w:tc>
        <w:tc>
          <w:tcPr>
            <w:tcW w:w="974" w:type="pct"/>
            <w:tcBorders>
              <w:top w:val="single" w:color="auto" w:sz="4" w:space="0"/>
              <w:left w:val="single" w:color="auto" w:sz="4" w:space="0"/>
              <w:bottom w:val="single" w:color="auto" w:sz="4" w:space="0"/>
              <w:right w:val="single" w:color="auto" w:sz="4" w:space="0"/>
            </w:tcBorders>
            <w:vAlign w:val="center"/>
          </w:tcPr>
          <w:p w14:paraId="0F2F060A">
            <w:pPr>
              <w:pStyle w:val="78"/>
              <w:rPr>
                <w:rFonts w:cs="Times New Roman"/>
              </w:rPr>
            </w:pPr>
            <w:r>
              <w:rPr>
                <w:rFonts w:cs="Times New Roman"/>
              </w:rPr>
              <w:t>0.1</w:t>
            </w:r>
          </w:p>
        </w:tc>
        <w:tc>
          <w:tcPr>
            <w:tcW w:w="927" w:type="pct"/>
            <w:tcBorders>
              <w:top w:val="single" w:color="auto" w:sz="4" w:space="0"/>
              <w:left w:val="single" w:color="auto" w:sz="4" w:space="0"/>
              <w:bottom w:val="single" w:color="auto" w:sz="4" w:space="0"/>
              <w:right w:val="single" w:color="auto" w:sz="4" w:space="0"/>
            </w:tcBorders>
            <w:vAlign w:val="center"/>
          </w:tcPr>
          <w:p w14:paraId="1A075E6A">
            <w:pPr>
              <w:pStyle w:val="78"/>
              <w:rPr>
                <w:rFonts w:cs="Times New Roman"/>
              </w:rPr>
            </w:pPr>
            <w:r>
              <w:rPr>
                <w:rFonts w:cs="Times New Roman"/>
              </w:rPr>
              <w:t>0.11</w:t>
            </w:r>
          </w:p>
        </w:tc>
        <w:tc>
          <w:tcPr>
            <w:tcW w:w="962" w:type="pct"/>
            <w:tcBorders>
              <w:top w:val="single" w:color="auto" w:sz="4" w:space="0"/>
              <w:left w:val="single" w:color="auto" w:sz="4" w:space="0"/>
              <w:bottom w:val="single" w:color="auto" w:sz="4" w:space="0"/>
              <w:right w:val="single" w:color="auto" w:sz="4" w:space="0"/>
            </w:tcBorders>
            <w:vAlign w:val="center"/>
          </w:tcPr>
          <w:p w14:paraId="27BDC580">
            <w:pPr>
              <w:pStyle w:val="78"/>
              <w:rPr>
                <w:rFonts w:cs="Times New Roman"/>
              </w:rPr>
            </w:pPr>
            <w:r>
              <w:rPr>
                <w:rFonts w:cs="Times New Roman"/>
              </w:rPr>
              <w:t>0.05</w:t>
            </w:r>
          </w:p>
        </w:tc>
        <w:tc>
          <w:tcPr>
            <w:tcW w:w="929" w:type="pct"/>
            <w:tcBorders>
              <w:top w:val="single" w:color="auto" w:sz="4" w:space="0"/>
              <w:left w:val="single" w:color="auto" w:sz="4" w:space="0"/>
              <w:bottom w:val="single" w:color="auto" w:sz="4" w:space="0"/>
              <w:right w:val="single" w:color="auto" w:sz="4" w:space="0"/>
            </w:tcBorders>
            <w:vAlign w:val="center"/>
          </w:tcPr>
          <w:p w14:paraId="364E93CC">
            <w:pPr>
              <w:pStyle w:val="78"/>
              <w:rPr>
                <w:rFonts w:cs="Times New Roman"/>
              </w:rPr>
            </w:pPr>
            <w:r>
              <w:rPr>
                <w:rFonts w:cs="Times New Roman"/>
              </w:rPr>
              <w:t>0.09</w:t>
            </w:r>
          </w:p>
        </w:tc>
      </w:tr>
      <w:tr w14:paraId="7E4D7599">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B4E9146">
            <w:pPr>
              <w:pStyle w:val="78"/>
              <w:rPr>
                <w:rFonts w:cs="Times New Roman"/>
              </w:rPr>
            </w:pPr>
            <w:r>
              <w:rPr>
                <w:rFonts w:cs="Times New Roman"/>
              </w:rPr>
              <w:t>阴离子表面活性</w:t>
            </w:r>
          </w:p>
        </w:tc>
        <w:tc>
          <w:tcPr>
            <w:tcW w:w="974" w:type="pct"/>
            <w:tcBorders>
              <w:top w:val="single" w:color="auto" w:sz="4" w:space="0"/>
              <w:left w:val="single" w:color="auto" w:sz="4" w:space="0"/>
              <w:bottom w:val="single" w:color="auto" w:sz="4" w:space="0"/>
              <w:right w:val="single" w:color="auto" w:sz="4" w:space="0"/>
            </w:tcBorders>
            <w:vAlign w:val="center"/>
          </w:tcPr>
          <w:p w14:paraId="5028035E">
            <w:pPr>
              <w:pStyle w:val="78"/>
              <w:rPr>
                <w:rFonts w:cs="Times New Roman"/>
              </w:rPr>
            </w:pPr>
            <w:r>
              <w:rPr>
                <w:rFonts w:cs="Times New Roman"/>
              </w:rPr>
              <w:t>0.0833</w:t>
            </w:r>
          </w:p>
        </w:tc>
        <w:tc>
          <w:tcPr>
            <w:tcW w:w="927" w:type="pct"/>
            <w:tcBorders>
              <w:top w:val="single" w:color="auto" w:sz="4" w:space="0"/>
              <w:left w:val="single" w:color="auto" w:sz="4" w:space="0"/>
              <w:bottom w:val="single" w:color="auto" w:sz="4" w:space="0"/>
              <w:right w:val="single" w:color="auto" w:sz="4" w:space="0"/>
            </w:tcBorders>
            <w:vAlign w:val="center"/>
          </w:tcPr>
          <w:p w14:paraId="2A161E4B">
            <w:pPr>
              <w:pStyle w:val="78"/>
              <w:rPr>
                <w:rFonts w:cs="Times New Roman"/>
              </w:rPr>
            </w:pPr>
            <w:r>
              <w:rPr>
                <w:rFonts w:cs="Times New Roman"/>
              </w:rPr>
              <w:t>0.0833</w:t>
            </w:r>
          </w:p>
        </w:tc>
        <w:tc>
          <w:tcPr>
            <w:tcW w:w="962" w:type="pct"/>
            <w:tcBorders>
              <w:top w:val="single" w:color="auto" w:sz="4" w:space="0"/>
              <w:left w:val="single" w:color="auto" w:sz="4" w:space="0"/>
              <w:bottom w:val="single" w:color="auto" w:sz="4" w:space="0"/>
              <w:right w:val="single" w:color="auto" w:sz="4" w:space="0"/>
            </w:tcBorders>
            <w:vAlign w:val="center"/>
          </w:tcPr>
          <w:p w14:paraId="2D94E15D">
            <w:pPr>
              <w:pStyle w:val="78"/>
              <w:rPr>
                <w:rFonts w:cs="Times New Roman"/>
              </w:rPr>
            </w:pPr>
            <w:r>
              <w:rPr>
                <w:rFonts w:cs="Times New Roman"/>
              </w:rPr>
              <w:t>0.0833</w:t>
            </w:r>
          </w:p>
        </w:tc>
        <w:tc>
          <w:tcPr>
            <w:tcW w:w="929" w:type="pct"/>
            <w:tcBorders>
              <w:top w:val="single" w:color="auto" w:sz="4" w:space="0"/>
              <w:left w:val="single" w:color="auto" w:sz="4" w:space="0"/>
              <w:bottom w:val="single" w:color="auto" w:sz="4" w:space="0"/>
              <w:right w:val="single" w:color="auto" w:sz="4" w:space="0"/>
            </w:tcBorders>
            <w:vAlign w:val="center"/>
          </w:tcPr>
          <w:p w14:paraId="43967684">
            <w:pPr>
              <w:pStyle w:val="78"/>
              <w:rPr>
                <w:rFonts w:cs="Times New Roman"/>
              </w:rPr>
            </w:pPr>
            <w:r>
              <w:rPr>
                <w:rFonts w:cs="Times New Roman"/>
              </w:rPr>
              <w:t>0.0833</w:t>
            </w:r>
          </w:p>
        </w:tc>
      </w:tr>
      <w:tr w14:paraId="3D81A6C4">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CA57201">
            <w:pPr>
              <w:pStyle w:val="78"/>
              <w:rPr>
                <w:rFonts w:cs="Times New Roman"/>
              </w:rPr>
            </w:pPr>
            <w:r>
              <w:rPr>
                <w:rFonts w:cs="Times New Roman"/>
              </w:rPr>
              <w:t>硫化物</w:t>
            </w:r>
          </w:p>
        </w:tc>
        <w:tc>
          <w:tcPr>
            <w:tcW w:w="974" w:type="pct"/>
            <w:tcBorders>
              <w:top w:val="single" w:color="auto" w:sz="4" w:space="0"/>
              <w:left w:val="single" w:color="auto" w:sz="4" w:space="0"/>
              <w:bottom w:val="single" w:color="auto" w:sz="4" w:space="0"/>
              <w:right w:val="single" w:color="auto" w:sz="4" w:space="0"/>
            </w:tcBorders>
            <w:vAlign w:val="center"/>
          </w:tcPr>
          <w:p w14:paraId="72138147">
            <w:pPr>
              <w:pStyle w:val="78"/>
              <w:rPr>
                <w:rFonts w:cs="Times New Roman"/>
              </w:rPr>
            </w:pPr>
            <w:r>
              <w:rPr>
                <w:rFonts w:cs="Times New Roman"/>
              </w:rPr>
              <w:t>0.075</w:t>
            </w:r>
          </w:p>
        </w:tc>
        <w:tc>
          <w:tcPr>
            <w:tcW w:w="927" w:type="pct"/>
            <w:tcBorders>
              <w:top w:val="single" w:color="auto" w:sz="4" w:space="0"/>
              <w:left w:val="single" w:color="auto" w:sz="4" w:space="0"/>
              <w:bottom w:val="single" w:color="auto" w:sz="4" w:space="0"/>
              <w:right w:val="single" w:color="auto" w:sz="4" w:space="0"/>
            </w:tcBorders>
            <w:vAlign w:val="center"/>
          </w:tcPr>
          <w:p w14:paraId="715376CD">
            <w:pPr>
              <w:pStyle w:val="78"/>
              <w:rPr>
                <w:rFonts w:cs="Times New Roman"/>
              </w:rPr>
            </w:pPr>
            <w:r>
              <w:rPr>
                <w:rFonts w:cs="Times New Roman"/>
              </w:rPr>
              <w:t>0.075</w:t>
            </w:r>
          </w:p>
        </w:tc>
        <w:tc>
          <w:tcPr>
            <w:tcW w:w="962" w:type="pct"/>
            <w:tcBorders>
              <w:top w:val="single" w:color="auto" w:sz="4" w:space="0"/>
              <w:left w:val="single" w:color="auto" w:sz="4" w:space="0"/>
              <w:bottom w:val="single" w:color="auto" w:sz="4" w:space="0"/>
              <w:right w:val="single" w:color="auto" w:sz="4" w:space="0"/>
            </w:tcBorders>
            <w:vAlign w:val="center"/>
          </w:tcPr>
          <w:p w14:paraId="2A0199F9">
            <w:pPr>
              <w:pStyle w:val="78"/>
              <w:rPr>
                <w:rFonts w:cs="Times New Roman"/>
              </w:rPr>
            </w:pPr>
            <w:r>
              <w:rPr>
                <w:rFonts w:cs="Times New Roman"/>
              </w:rPr>
              <w:t>0.075</w:t>
            </w:r>
          </w:p>
        </w:tc>
        <w:tc>
          <w:tcPr>
            <w:tcW w:w="929" w:type="pct"/>
            <w:tcBorders>
              <w:top w:val="single" w:color="auto" w:sz="4" w:space="0"/>
              <w:left w:val="single" w:color="auto" w:sz="4" w:space="0"/>
              <w:bottom w:val="single" w:color="auto" w:sz="4" w:space="0"/>
              <w:right w:val="single" w:color="auto" w:sz="4" w:space="0"/>
            </w:tcBorders>
            <w:vAlign w:val="center"/>
          </w:tcPr>
          <w:p w14:paraId="1A7CB6E8">
            <w:pPr>
              <w:pStyle w:val="78"/>
              <w:rPr>
                <w:rFonts w:cs="Times New Roman"/>
              </w:rPr>
            </w:pPr>
            <w:r>
              <w:rPr>
                <w:rFonts w:cs="Times New Roman"/>
              </w:rPr>
              <w:t>0.075</w:t>
            </w:r>
          </w:p>
        </w:tc>
      </w:tr>
      <w:tr w14:paraId="0058AB42">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1E787CB">
            <w:pPr>
              <w:pStyle w:val="78"/>
              <w:rPr>
                <w:rFonts w:cs="Times New Roman"/>
              </w:rPr>
            </w:pPr>
            <w:r>
              <w:rPr>
                <w:rFonts w:cs="Times New Roman"/>
              </w:rPr>
              <w:t>六价铬</w:t>
            </w:r>
          </w:p>
        </w:tc>
        <w:tc>
          <w:tcPr>
            <w:tcW w:w="974" w:type="pct"/>
            <w:tcBorders>
              <w:top w:val="single" w:color="auto" w:sz="4" w:space="0"/>
              <w:left w:val="single" w:color="auto" w:sz="4" w:space="0"/>
              <w:bottom w:val="single" w:color="auto" w:sz="4" w:space="0"/>
              <w:right w:val="single" w:color="auto" w:sz="4" w:space="0"/>
            </w:tcBorders>
            <w:vAlign w:val="center"/>
          </w:tcPr>
          <w:p w14:paraId="1A514161">
            <w:pPr>
              <w:pStyle w:val="78"/>
              <w:rPr>
                <w:rFonts w:cs="Times New Roman"/>
              </w:rPr>
            </w:pPr>
            <w:r>
              <w:rPr>
                <w:rFonts w:cs="Times New Roman"/>
              </w:rPr>
              <w:t>0.04</w:t>
            </w:r>
          </w:p>
        </w:tc>
        <w:tc>
          <w:tcPr>
            <w:tcW w:w="927" w:type="pct"/>
            <w:tcBorders>
              <w:top w:val="single" w:color="auto" w:sz="4" w:space="0"/>
              <w:left w:val="single" w:color="auto" w:sz="4" w:space="0"/>
              <w:bottom w:val="single" w:color="auto" w:sz="4" w:space="0"/>
              <w:right w:val="single" w:color="auto" w:sz="4" w:space="0"/>
            </w:tcBorders>
            <w:vAlign w:val="center"/>
          </w:tcPr>
          <w:p w14:paraId="3A45D66B">
            <w:pPr>
              <w:pStyle w:val="78"/>
              <w:rPr>
                <w:rFonts w:cs="Times New Roman"/>
              </w:rPr>
            </w:pPr>
            <w:r>
              <w:rPr>
                <w:rFonts w:cs="Times New Roman"/>
              </w:rPr>
              <w:t>0.04</w:t>
            </w:r>
          </w:p>
        </w:tc>
        <w:tc>
          <w:tcPr>
            <w:tcW w:w="962" w:type="pct"/>
            <w:tcBorders>
              <w:top w:val="single" w:color="auto" w:sz="4" w:space="0"/>
              <w:left w:val="single" w:color="auto" w:sz="4" w:space="0"/>
              <w:bottom w:val="single" w:color="auto" w:sz="4" w:space="0"/>
              <w:right w:val="single" w:color="auto" w:sz="4" w:space="0"/>
            </w:tcBorders>
            <w:vAlign w:val="center"/>
          </w:tcPr>
          <w:p w14:paraId="243F98D8">
            <w:pPr>
              <w:pStyle w:val="78"/>
              <w:rPr>
                <w:rFonts w:cs="Times New Roman"/>
              </w:rPr>
            </w:pPr>
            <w:r>
              <w:rPr>
                <w:rFonts w:cs="Times New Roman"/>
              </w:rPr>
              <w:t>0.04</w:t>
            </w:r>
          </w:p>
        </w:tc>
        <w:tc>
          <w:tcPr>
            <w:tcW w:w="929" w:type="pct"/>
            <w:tcBorders>
              <w:top w:val="single" w:color="auto" w:sz="4" w:space="0"/>
              <w:left w:val="single" w:color="auto" w:sz="4" w:space="0"/>
              <w:bottom w:val="single" w:color="auto" w:sz="4" w:space="0"/>
              <w:right w:val="single" w:color="auto" w:sz="4" w:space="0"/>
            </w:tcBorders>
            <w:vAlign w:val="center"/>
          </w:tcPr>
          <w:p w14:paraId="36D7655E">
            <w:pPr>
              <w:pStyle w:val="78"/>
              <w:rPr>
                <w:rFonts w:cs="Times New Roman"/>
              </w:rPr>
            </w:pPr>
            <w:r>
              <w:rPr>
                <w:rFonts w:cs="Times New Roman"/>
              </w:rPr>
              <w:t>0.04</w:t>
            </w:r>
          </w:p>
        </w:tc>
      </w:tr>
      <w:tr w14:paraId="4E104D1E">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4AEA9DD">
            <w:pPr>
              <w:pStyle w:val="78"/>
              <w:rPr>
                <w:rFonts w:cs="Times New Roman"/>
              </w:rPr>
            </w:pPr>
            <w:r>
              <w:rPr>
                <w:rFonts w:cs="Times New Roman"/>
              </w:rPr>
              <w:t>硫酸盐</w:t>
            </w:r>
          </w:p>
        </w:tc>
        <w:tc>
          <w:tcPr>
            <w:tcW w:w="974" w:type="pct"/>
            <w:tcBorders>
              <w:top w:val="single" w:color="auto" w:sz="4" w:space="0"/>
              <w:left w:val="single" w:color="auto" w:sz="4" w:space="0"/>
              <w:bottom w:val="single" w:color="auto" w:sz="4" w:space="0"/>
              <w:right w:val="single" w:color="auto" w:sz="4" w:space="0"/>
            </w:tcBorders>
            <w:vAlign w:val="center"/>
          </w:tcPr>
          <w:p w14:paraId="1BB7678B">
            <w:pPr>
              <w:pStyle w:val="78"/>
              <w:rPr>
                <w:rFonts w:cs="Times New Roman"/>
              </w:rPr>
            </w:pPr>
            <w:r>
              <w:rPr>
                <w:rFonts w:cs="Times New Roman"/>
              </w:rPr>
              <w:t>0.0084</w:t>
            </w:r>
          </w:p>
        </w:tc>
        <w:tc>
          <w:tcPr>
            <w:tcW w:w="927" w:type="pct"/>
            <w:tcBorders>
              <w:top w:val="single" w:color="auto" w:sz="4" w:space="0"/>
              <w:left w:val="single" w:color="auto" w:sz="4" w:space="0"/>
              <w:bottom w:val="single" w:color="auto" w:sz="4" w:space="0"/>
              <w:right w:val="single" w:color="auto" w:sz="4" w:space="0"/>
            </w:tcBorders>
            <w:vAlign w:val="center"/>
          </w:tcPr>
          <w:p w14:paraId="660C02B4">
            <w:pPr>
              <w:pStyle w:val="78"/>
              <w:rPr>
                <w:rFonts w:cs="Times New Roman"/>
              </w:rPr>
            </w:pPr>
            <w:r>
              <w:rPr>
                <w:rFonts w:cs="Times New Roman"/>
              </w:rPr>
              <w:t>0.0292</w:t>
            </w:r>
          </w:p>
        </w:tc>
        <w:tc>
          <w:tcPr>
            <w:tcW w:w="962" w:type="pct"/>
            <w:tcBorders>
              <w:top w:val="single" w:color="auto" w:sz="4" w:space="0"/>
              <w:left w:val="single" w:color="auto" w:sz="4" w:space="0"/>
              <w:bottom w:val="single" w:color="auto" w:sz="4" w:space="0"/>
              <w:right w:val="single" w:color="auto" w:sz="4" w:space="0"/>
            </w:tcBorders>
            <w:vAlign w:val="center"/>
          </w:tcPr>
          <w:p w14:paraId="75D0B0F8">
            <w:pPr>
              <w:pStyle w:val="78"/>
              <w:rPr>
                <w:rFonts w:cs="Times New Roman"/>
              </w:rPr>
            </w:pPr>
            <w:r>
              <w:rPr>
                <w:rFonts w:cs="Times New Roman"/>
              </w:rPr>
              <w:t>0.02</w:t>
            </w:r>
          </w:p>
        </w:tc>
        <w:tc>
          <w:tcPr>
            <w:tcW w:w="929" w:type="pct"/>
            <w:tcBorders>
              <w:top w:val="single" w:color="auto" w:sz="4" w:space="0"/>
              <w:left w:val="single" w:color="auto" w:sz="4" w:space="0"/>
              <w:bottom w:val="single" w:color="auto" w:sz="4" w:space="0"/>
              <w:right w:val="single" w:color="auto" w:sz="4" w:space="0"/>
            </w:tcBorders>
            <w:vAlign w:val="center"/>
          </w:tcPr>
          <w:p w14:paraId="6222046A">
            <w:pPr>
              <w:pStyle w:val="78"/>
              <w:rPr>
                <w:rFonts w:cs="Times New Roman"/>
              </w:rPr>
            </w:pPr>
            <w:r>
              <w:rPr>
                <w:rFonts w:cs="Times New Roman"/>
              </w:rPr>
              <w:t>0.0624</w:t>
            </w:r>
          </w:p>
        </w:tc>
      </w:tr>
      <w:tr w14:paraId="1C102C1F">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26B6657">
            <w:pPr>
              <w:pStyle w:val="78"/>
              <w:rPr>
                <w:rFonts w:cs="Times New Roman"/>
              </w:rPr>
            </w:pPr>
            <w:r>
              <w:rPr>
                <w:rFonts w:cs="Times New Roman"/>
              </w:rPr>
              <w:t>硝酸盐氮</w:t>
            </w:r>
          </w:p>
        </w:tc>
        <w:tc>
          <w:tcPr>
            <w:tcW w:w="974" w:type="pct"/>
            <w:tcBorders>
              <w:top w:val="single" w:color="auto" w:sz="4" w:space="0"/>
              <w:left w:val="single" w:color="auto" w:sz="4" w:space="0"/>
              <w:bottom w:val="single" w:color="auto" w:sz="4" w:space="0"/>
              <w:right w:val="single" w:color="auto" w:sz="4" w:space="0"/>
            </w:tcBorders>
            <w:vAlign w:val="center"/>
          </w:tcPr>
          <w:p w14:paraId="4D420DC4">
            <w:pPr>
              <w:pStyle w:val="78"/>
              <w:rPr>
                <w:rFonts w:cs="Times New Roman"/>
              </w:rPr>
            </w:pPr>
            <w:r>
              <w:rPr>
                <w:rFonts w:cs="Times New Roman"/>
              </w:rPr>
              <w:t>0.005</w:t>
            </w:r>
          </w:p>
        </w:tc>
        <w:tc>
          <w:tcPr>
            <w:tcW w:w="927" w:type="pct"/>
            <w:tcBorders>
              <w:top w:val="single" w:color="auto" w:sz="4" w:space="0"/>
              <w:left w:val="single" w:color="auto" w:sz="4" w:space="0"/>
              <w:bottom w:val="single" w:color="auto" w:sz="4" w:space="0"/>
              <w:right w:val="single" w:color="auto" w:sz="4" w:space="0"/>
            </w:tcBorders>
            <w:vAlign w:val="center"/>
          </w:tcPr>
          <w:p w14:paraId="7A170333">
            <w:pPr>
              <w:pStyle w:val="78"/>
              <w:rPr>
                <w:rFonts w:cs="Times New Roman"/>
              </w:rPr>
            </w:pPr>
            <w:r>
              <w:rPr>
                <w:rFonts w:cs="Times New Roman"/>
              </w:rPr>
              <w:t>0.29</w:t>
            </w:r>
          </w:p>
        </w:tc>
        <w:tc>
          <w:tcPr>
            <w:tcW w:w="962" w:type="pct"/>
            <w:tcBorders>
              <w:top w:val="single" w:color="auto" w:sz="4" w:space="0"/>
              <w:left w:val="single" w:color="auto" w:sz="4" w:space="0"/>
              <w:bottom w:val="single" w:color="auto" w:sz="4" w:space="0"/>
              <w:right w:val="single" w:color="auto" w:sz="4" w:space="0"/>
            </w:tcBorders>
            <w:vAlign w:val="center"/>
          </w:tcPr>
          <w:p w14:paraId="5FE2A40D">
            <w:pPr>
              <w:pStyle w:val="78"/>
              <w:rPr>
                <w:rFonts w:cs="Times New Roman"/>
              </w:rPr>
            </w:pPr>
            <w:r>
              <w:rPr>
                <w:rFonts w:cs="Times New Roman"/>
              </w:rPr>
              <w:t>0.19</w:t>
            </w:r>
          </w:p>
        </w:tc>
        <w:tc>
          <w:tcPr>
            <w:tcW w:w="929" w:type="pct"/>
            <w:tcBorders>
              <w:top w:val="single" w:color="auto" w:sz="4" w:space="0"/>
              <w:left w:val="single" w:color="auto" w:sz="4" w:space="0"/>
              <w:bottom w:val="single" w:color="auto" w:sz="4" w:space="0"/>
              <w:right w:val="single" w:color="auto" w:sz="4" w:space="0"/>
            </w:tcBorders>
            <w:vAlign w:val="center"/>
          </w:tcPr>
          <w:p w14:paraId="14BC6F8D">
            <w:pPr>
              <w:pStyle w:val="78"/>
              <w:rPr>
                <w:rFonts w:cs="Times New Roman"/>
              </w:rPr>
            </w:pPr>
            <w:r>
              <w:rPr>
                <w:rFonts w:cs="Times New Roman"/>
              </w:rPr>
              <w:t>0.525</w:t>
            </w:r>
          </w:p>
        </w:tc>
      </w:tr>
      <w:tr w14:paraId="2B6FA1D7">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3796812">
            <w:pPr>
              <w:pStyle w:val="78"/>
              <w:rPr>
                <w:rFonts w:cs="Times New Roman"/>
              </w:rPr>
            </w:pPr>
            <w:r>
              <w:rPr>
                <w:rFonts w:cs="Times New Roman"/>
              </w:rPr>
              <w:t>亚硝酸盐氮</w:t>
            </w:r>
          </w:p>
        </w:tc>
        <w:tc>
          <w:tcPr>
            <w:tcW w:w="974" w:type="pct"/>
            <w:tcBorders>
              <w:top w:val="single" w:color="auto" w:sz="4" w:space="0"/>
              <w:left w:val="single" w:color="auto" w:sz="4" w:space="0"/>
              <w:bottom w:val="single" w:color="auto" w:sz="4" w:space="0"/>
              <w:right w:val="single" w:color="auto" w:sz="4" w:space="0"/>
            </w:tcBorders>
            <w:vAlign w:val="center"/>
          </w:tcPr>
          <w:p w14:paraId="539A46F7">
            <w:pPr>
              <w:pStyle w:val="78"/>
              <w:rPr>
                <w:rFonts w:cs="Times New Roman"/>
              </w:rPr>
            </w:pPr>
            <w:r>
              <w:rPr>
                <w:rFonts w:cs="Times New Roman"/>
              </w:rPr>
              <w:t>0.0015</w:t>
            </w:r>
          </w:p>
        </w:tc>
        <w:tc>
          <w:tcPr>
            <w:tcW w:w="927" w:type="pct"/>
            <w:tcBorders>
              <w:top w:val="single" w:color="auto" w:sz="4" w:space="0"/>
              <w:left w:val="single" w:color="auto" w:sz="4" w:space="0"/>
              <w:bottom w:val="single" w:color="auto" w:sz="4" w:space="0"/>
              <w:right w:val="single" w:color="auto" w:sz="4" w:space="0"/>
            </w:tcBorders>
            <w:vAlign w:val="center"/>
          </w:tcPr>
          <w:p w14:paraId="60A1560F">
            <w:pPr>
              <w:pStyle w:val="78"/>
              <w:rPr>
                <w:rFonts w:cs="Times New Roman"/>
              </w:rPr>
            </w:pPr>
            <w:r>
              <w:rPr>
                <w:rFonts w:cs="Times New Roman"/>
              </w:rPr>
              <w:t>0.096</w:t>
            </w:r>
          </w:p>
        </w:tc>
        <w:tc>
          <w:tcPr>
            <w:tcW w:w="962" w:type="pct"/>
            <w:tcBorders>
              <w:top w:val="single" w:color="auto" w:sz="4" w:space="0"/>
              <w:left w:val="single" w:color="auto" w:sz="4" w:space="0"/>
              <w:bottom w:val="single" w:color="auto" w:sz="4" w:space="0"/>
              <w:right w:val="single" w:color="auto" w:sz="4" w:space="0"/>
            </w:tcBorders>
            <w:vAlign w:val="center"/>
          </w:tcPr>
          <w:p w14:paraId="286F5F9B">
            <w:pPr>
              <w:pStyle w:val="78"/>
              <w:rPr>
                <w:rFonts w:cs="Times New Roman"/>
              </w:rPr>
            </w:pPr>
            <w:r>
              <w:rPr>
                <w:rFonts w:cs="Times New Roman"/>
              </w:rPr>
              <w:t>0.066</w:t>
            </w:r>
          </w:p>
        </w:tc>
        <w:tc>
          <w:tcPr>
            <w:tcW w:w="929" w:type="pct"/>
            <w:tcBorders>
              <w:top w:val="single" w:color="auto" w:sz="4" w:space="0"/>
              <w:left w:val="single" w:color="auto" w:sz="4" w:space="0"/>
              <w:bottom w:val="single" w:color="auto" w:sz="4" w:space="0"/>
              <w:right w:val="single" w:color="auto" w:sz="4" w:space="0"/>
            </w:tcBorders>
            <w:vAlign w:val="center"/>
          </w:tcPr>
          <w:p w14:paraId="53B39533">
            <w:pPr>
              <w:pStyle w:val="78"/>
              <w:rPr>
                <w:rFonts w:cs="Times New Roman"/>
              </w:rPr>
            </w:pPr>
            <w:r>
              <w:rPr>
                <w:rFonts w:cs="Times New Roman"/>
              </w:rPr>
              <w:t>0.148</w:t>
            </w:r>
          </w:p>
        </w:tc>
      </w:tr>
      <w:tr w14:paraId="33515DEE">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4A0868D">
            <w:pPr>
              <w:pStyle w:val="78"/>
              <w:rPr>
                <w:rFonts w:cs="Times New Roman"/>
              </w:rPr>
            </w:pPr>
            <w:r>
              <w:rPr>
                <w:rFonts w:cs="Times New Roman"/>
              </w:rPr>
              <w:t>汞</w:t>
            </w:r>
          </w:p>
        </w:tc>
        <w:tc>
          <w:tcPr>
            <w:tcW w:w="974" w:type="pct"/>
            <w:tcBorders>
              <w:top w:val="single" w:color="auto" w:sz="4" w:space="0"/>
              <w:left w:val="single" w:color="auto" w:sz="4" w:space="0"/>
              <w:bottom w:val="single" w:color="auto" w:sz="4" w:space="0"/>
              <w:right w:val="single" w:color="auto" w:sz="4" w:space="0"/>
            </w:tcBorders>
            <w:noWrap/>
            <w:vAlign w:val="center"/>
          </w:tcPr>
          <w:p w14:paraId="4D56BA12">
            <w:pPr>
              <w:pStyle w:val="78"/>
              <w:rPr>
                <w:rFonts w:cs="Times New Roman"/>
                <w:sz w:val="22"/>
              </w:rPr>
            </w:pPr>
            <w:r>
              <w:rPr>
                <w:rFonts w:cs="Times New Roman"/>
                <w:sz w:val="22"/>
              </w:rPr>
              <w:t>0.02</w:t>
            </w:r>
          </w:p>
        </w:tc>
        <w:tc>
          <w:tcPr>
            <w:tcW w:w="927" w:type="pct"/>
            <w:tcBorders>
              <w:top w:val="single" w:color="auto" w:sz="4" w:space="0"/>
              <w:left w:val="single" w:color="auto" w:sz="4" w:space="0"/>
              <w:bottom w:val="single" w:color="auto" w:sz="4" w:space="0"/>
              <w:right w:val="single" w:color="auto" w:sz="4" w:space="0"/>
            </w:tcBorders>
            <w:noWrap/>
            <w:vAlign w:val="center"/>
          </w:tcPr>
          <w:p w14:paraId="132D1F48">
            <w:pPr>
              <w:pStyle w:val="78"/>
              <w:rPr>
                <w:rFonts w:cs="Times New Roman"/>
                <w:sz w:val="22"/>
              </w:rPr>
            </w:pPr>
            <w:r>
              <w:rPr>
                <w:rFonts w:cs="Times New Roman"/>
                <w:sz w:val="22"/>
              </w:rPr>
              <w:t>0.02</w:t>
            </w:r>
          </w:p>
        </w:tc>
        <w:tc>
          <w:tcPr>
            <w:tcW w:w="962" w:type="pct"/>
            <w:tcBorders>
              <w:top w:val="single" w:color="auto" w:sz="4" w:space="0"/>
              <w:left w:val="single" w:color="auto" w:sz="4" w:space="0"/>
              <w:bottom w:val="single" w:color="auto" w:sz="4" w:space="0"/>
              <w:right w:val="single" w:color="auto" w:sz="4" w:space="0"/>
            </w:tcBorders>
            <w:noWrap/>
            <w:vAlign w:val="center"/>
          </w:tcPr>
          <w:p w14:paraId="4515BF5C">
            <w:pPr>
              <w:pStyle w:val="78"/>
              <w:rPr>
                <w:rFonts w:cs="Times New Roman"/>
                <w:sz w:val="22"/>
              </w:rPr>
            </w:pPr>
            <w:r>
              <w:rPr>
                <w:rFonts w:cs="Times New Roman"/>
                <w:sz w:val="22"/>
              </w:rPr>
              <w:t>0.02</w:t>
            </w:r>
          </w:p>
        </w:tc>
        <w:tc>
          <w:tcPr>
            <w:tcW w:w="929" w:type="pct"/>
            <w:tcBorders>
              <w:top w:val="single" w:color="auto" w:sz="4" w:space="0"/>
              <w:left w:val="single" w:color="auto" w:sz="4" w:space="0"/>
              <w:bottom w:val="single" w:color="auto" w:sz="4" w:space="0"/>
              <w:right w:val="single" w:color="auto" w:sz="4" w:space="0"/>
            </w:tcBorders>
            <w:noWrap/>
            <w:vAlign w:val="center"/>
          </w:tcPr>
          <w:p w14:paraId="6E5AFAB8">
            <w:pPr>
              <w:pStyle w:val="78"/>
              <w:rPr>
                <w:rFonts w:cs="Times New Roman"/>
                <w:sz w:val="22"/>
              </w:rPr>
            </w:pPr>
            <w:r>
              <w:rPr>
                <w:rFonts w:cs="Times New Roman"/>
                <w:sz w:val="22"/>
              </w:rPr>
              <w:t>0.02</w:t>
            </w:r>
          </w:p>
        </w:tc>
      </w:tr>
      <w:tr w14:paraId="21AEC1A3">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538D3B51">
            <w:pPr>
              <w:pStyle w:val="78"/>
              <w:rPr>
                <w:rFonts w:cs="Times New Roman"/>
              </w:rPr>
            </w:pPr>
            <w:r>
              <w:rPr>
                <w:rFonts w:cs="Times New Roman"/>
              </w:rPr>
              <w:t>砷</w:t>
            </w:r>
          </w:p>
        </w:tc>
        <w:tc>
          <w:tcPr>
            <w:tcW w:w="974" w:type="pct"/>
            <w:tcBorders>
              <w:top w:val="single" w:color="auto" w:sz="4" w:space="0"/>
              <w:left w:val="single" w:color="auto" w:sz="4" w:space="0"/>
              <w:bottom w:val="single" w:color="auto" w:sz="4" w:space="0"/>
              <w:right w:val="single" w:color="auto" w:sz="4" w:space="0"/>
            </w:tcBorders>
            <w:noWrap/>
            <w:vAlign w:val="center"/>
          </w:tcPr>
          <w:p w14:paraId="6C2973AE">
            <w:pPr>
              <w:pStyle w:val="78"/>
              <w:rPr>
                <w:rFonts w:cs="Times New Roman"/>
                <w:sz w:val="22"/>
              </w:rPr>
            </w:pPr>
            <w:r>
              <w:rPr>
                <w:rFonts w:cs="Times New Roman"/>
                <w:sz w:val="22"/>
              </w:rPr>
              <w:t>0.015</w:t>
            </w:r>
          </w:p>
        </w:tc>
        <w:tc>
          <w:tcPr>
            <w:tcW w:w="927" w:type="pct"/>
            <w:tcBorders>
              <w:top w:val="single" w:color="auto" w:sz="4" w:space="0"/>
              <w:left w:val="single" w:color="auto" w:sz="4" w:space="0"/>
              <w:bottom w:val="single" w:color="auto" w:sz="4" w:space="0"/>
              <w:right w:val="single" w:color="auto" w:sz="4" w:space="0"/>
            </w:tcBorders>
            <w:noWrap/>
            <w:vAlign w:val="center"/>
          </w:tcPr>
          <w:p w14:paraId="0D47D193">
            <w:pPr>
              <w:pStyle w:val="78"/>
              <w:rPr>
                <w:rFonts w:cs="Times New Roman"/>
                <w:sz w:val="22"/>
              </w:rPr>
            </w:pPr>
            <w:r>
              <w:rPr>
                <w:rFonts w:cs="Times New Roman"/>
                <w:sz w:val="22"/>
              </w:rPr>
              <w:t>0.015</w:t>
            </w:r>
          </w:p>
        </w:tc>
        <w:tc>
          <w:tcPr>
            <w:tcW w:w="962" w:type="pct"/>
            <w:tcBorders>
              <w:top w:val="single" w:color="auto" w:sz="4" w:space="0"/>
              <w:left w:val="single" w:color="auto" w:sz="4" w:space="0"/>
              <w:bottom w:val="single" w:color="auto" w:sz="4" w:space="0"/>
              <w:right w:val="single" w:color="auto" w:sz="4" w:space="0"/>
            </w:tcBorders>
            <w:noWrap/>
            <w:vAlign w:val="center"/>
          </w:tcPr>
          <w:p w14:paraId="173FB585">
            <w:pPr>
              <w:pStyle w:val="78"/>
              <w:rPr>
                <w:rFonts w:cs="Times New Roman"/>
                <w:sz w:val="22"/>
              </w:rPr>
            </w:pPr>
            <w:r>
              <w:rPr>
                <w:rFonts w:cs="Times New Roman"/>
                <w:sz w:val="22"/>
              </w:rPr>
              <w:t>0.015</w:t>
            </w:r>
          </w:p>
        </w:tc>
        <w:tc>
          <w:tcPr>
            <w:tcW w:w="929" w:type="pct"/>
            <w:tcBorders>
              <w:top w:val="single" w:color="auto" w:sz="4" w:space="0"/>
              <w:left w:val="single" w:color="auto" w:sz="4" w:space="0"/>
              <w:bottom w:val="single" w:color="auto" w:sz="4" w:space="0"/>
              <w:right w:val="single" w:color="auto" w:sz="4" w:space="0"/>
            </w:tcBorders>
            <w:noWrap/>
            <w:vAlign w:val="center"/>
          </w:tcPr>
          <w:p w14:paraId="02235CE0">
            <w:pPr>
              <w:pStyle w:val="78"/>
              <w:rPr>
                <w:rFonts w:cs="Times New Roman"/>
                <w:sz w:val="22"/>
              </w:rPr>
            </w:pPr>
            <w:r>
              <w:rPr>
                <w:rFonts w:cs="Times New Roman"/>
                <w:sz w:val="22"/>
              </w:rPr>
              <w:t>0.015</w:t>
            </w:r>
          </w:p>
        </w:tc>
      </w:tr>
      <w:tr w14:paraId="12264075">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48474FE6">
            <w:pPr>
              <w:pStyle w:val="78"/>
              <w:rPr>
                <w:rFonts w:cs="Times New Roman"/>
              </w:rPr>
            </w:pPr>
            <w:r>
              <w:rPr>
                <w:rFonts w:cs="Times New Roman"/>
              </w:rPr>
              <w:t>铁</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2D1188C">
            <w:pPr>
              <w:pStyle w:val="78"/>
              <w:rPr>
                <w:rFonts w:cs="Times New Roman"/>
                <w:b/>
                <w:bCs/>
              </w:rPr>
            </w:pPr>
            <w:r>
              <w:rPr>
                <w:rFonts w:cs="Times New Roman"/>
                <w:b/>
                <w:bCs/>
              </w:rPr>
              <w:t>1.6</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AA7A593">
            <w:pPr>
              <w:pStyle w:val="78"/>
              <w:rPr>
                <w:rFonts w:cs="Times New Roman"/>
                <w:b/>
                <w:bCs/>
              </w:rPr>
            </w:pPr>
            <w:r>
              <w:rPr>
                <w:rFonts w:cs="Times New Roman"/>
                <w:b/>
                <w:bCs/>
              </w:rPr>
              <w:t>2.133</w:t>
            </w:r>
          </w:p>
        </w:tc>
        <w:tc>
          <w:tcPr>
            <w:tcW w:w="962" w:type="pct"/>
            <w:tcBorders>
              <w:top w:val="single" w:color="auto" w:sz="4" w:space="0"/>
              <w:left w:val="single" w:color="auto" w:sz="4" w:space="0"/>
              <w:bottom w:val="single" w:color="auto" w:sz="4" w:space="0"/>
              <w:right w:val="single" w:color="auto" w:sz="4" w:space="0"/>
            </w:tcBorders>
            <w:vAlign w:val="center"/>
          </w:tcPr>
          <w:p w14:paraId="6C87D5D6">
            <w:pPr>
              <w:pStyle w:val="78"/>
              <w:rPr>
                <w:rFonts w:cs="Times New Roman"/>
              </w:rPr>
            </w:pPr>
            <w:r>
              <w:rPr>
                <w:rFonts w:cs="Times New Roman"/>
              </w:rPr>
              <w:t>0.833</w:t>
            </w:r>
          </w:p>
        </w:tc>
        <w:tc>
          <w:tcPr>
            <w:tcW w:w="929"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2235FFD">
            <w:pPr>
              <w:pStyle w:val="78"/>
              <w:rPr>
                <w:rFonts w:cs="Times New Roman"/>
                <w:b/>
                <w:bCs/>
              </w:rPr>
            </w:pPr>
            <w:r>
              <w:rPr>
                <w:rFonts w:cs="Times New Roman"/>
                <w:b/>
                <w:bCs/>
              </w:rPr>
              <w:t>2.333</w:t>
            </w:r>
          </w:p>
        </w:tc>
      </w:tr>
      <w:tr w14:paraId="69FCE405">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0839049">
            <w:pPr>
              <w:pStyle w:val="78"/>
              <w:rPr>
                <w:rFonts w:cs="Times New Roman"/>
              </w:rPr>
            </w:pPr>
            <w:r>
              <w:rPr>
                <w:rFonts w:cs="Times New Roman"/>
              </w:rPr>
              <w:t>锰</w:t>
            </w:r>
          </w:p>
        </w:tc>
        <w:tc>
          <w:tcPr>
            <w:tcW w:w="974"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2431ACF">
            <w:pPr>
              <w:pStyle w:val="78"/>
              <w:rPr>
                <w:rFonts w:cs="Times New Roman"/>
                <w:b/>
                <w:bCs/>
              </w:rPr>
            </w:pPr>
            <w:r>
              <w:rPr>
                <w:rFonts w:cs="Times New Roman"/>
                <w:b/>
                <w:bCs/>
              </w:rPr>
              <w:t>39.3</w:t>
            </w:r>
          </w:p>
        </w:tc>
        <w:tc>
          <w:tcPr>
            <w:tcW w:w="92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3684C51">
            <w:pPr>
              <w:pStyle w:val="78"/>
              <w:rPr>
                <w:rFonts w:cs="Times New Roman"/>
                <w:b/>
                <w:bCs/>
              </w:rPr>
            </w:pPr>
            <w:r>
              <w:rPr>
                <w:rFonts w:cs="Times New Roman"/>
                <w:b/>
                <w:bCs/>
              </w:rPr>
              <w:t>14.8</w:t>
            </w:r>
          </w:p>
        </w:tc>
        <w:tc>
          <w:tcPr>
            <w:tcW w:w="962"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344A673">
            <w:pPr>
              <w:pStyle w:val="78"/>
              <w:rPr>
                <w:rFonts w:cs="Times New Roman"/>
                <w:b/>
                <w:bCs/>
              </w:rPr>
            </w:pPr>
            <w:r>
              <w:rPr>
                <w:rFonts w:cs="Times New Roman"/>
                <w:b/>
                <w:bCs/>
              </w:rPr>
              <w:t>25.8</w:t>
            </w:r>
          </w:p>
        </w:tc>
        <w:tc>
          <w:tcPr>
            <w:tcW w:w="929"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BB2809D">
            <w:pPr>
              <w:pStyle w:val="78"/>
              <w:rPr>
                <w:rFonts w:cs="Times New Roman"/>
                <w:b/>
                <w:bCs/>
              </w:rPr>
            </w:pPr>
            <w:r>
              <w:rPr>
                <w:rFonts w:cs="Times New Roman"/>
                <w:b/>
                <w:bCs/>
              </w:rPr>
              <w:t>4.2</w:t>
            </w:r>
          </w:p>
        </w:tc>
      </w:tr>
      <w:tr w14:paraId="5E8F5863">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5C47D9E">
            <w:pPr>
              <w:pStyle w:val="78"/>
              <w:rPr>
                <w:rFonts w:cs="Times New Roman"/>
              </w:rPr>
            </w:pPr>
            <w:r>
              <w:rPr>
                <w:rFonts w:cs="Times New Roman"/>
              </w:rPr>
              <w:t>铜</w:t>
            </w:r>
          </w:p>
        </w:tc>
        <w:tc>
          <w:tcPr>
            <w:tcW w:w="974" w:type="pct"/>
            <w:tcBorders>
              <w:top w:val="single" w:color="auto" w:sz="4" w:space="0"/>
              <w:left w:val="single" w:color="auto" w:sz="4" w:space="0"/>
              <w:bottom w:val="single" w:color="auto" w:sz="4" w:space="0"/>
              <w:right w:val="single" w:color="auto" w:sz="4" w:space="0"/>
            </w:tcBorders>
            <w:vAlign w:val="center"/>
          </w:tcPr>
          <w:p w14:paraId="7E13DC27">
            <w:pPr>
              <w:pStyle w:val="78"/>
              <w:rPr>
                <w:rFonts w:cs="Times New Roman"/>
              </w:rPr>
            </w:pPr>
            <w:r>
              <w:rPr>
                <w:rFonts w:cs="Times New Roman"/>
              </w:rPr>
              <w:t>0.00031</w:t>
            </w:r>
          </w:p>
        </w:tc>
        <w:tc>
          <w:tcPr>
            <w:tcW w:w="927" w:type="pct"/>
            <w:tcBorders>
              <w:top w:val="single" w:color="auto" w:sz="4" w:space="0"/>
              <w:left w:val="single" w:color="auto" w:sz="4" w:space="0"/>
              <w:bottom w:val="single" w:color="auto" w:sz="4" w:space="0"/>
              <w:right w:val="single" w:color="auto" w:sz="4" w:space="0"/>
            </w:tcBorders>
            <w:vAlign w:val="center"/>
          </w:tcPr>
          <w:p w14:paraId="5AF1C87D">
            <w:pPr>
              <w:pStyle w:val="78"/>
              <w:rPr>
                <w:rFonts w:cs="Times New Roman"/>
              </w:rPr>
            </w:pPr>
            <w:r>
              <w:rPr>
                <w:rFonts w:cs="Times New Roman"/>
              </w:rPr>
              <w:t>0.00034</w:t>
            </w:r>
          </w:p>
        </w:tc>
        <w:tc>
          <w:tcPr>
            <w:tcW w:w="962" w:type="pct"/>
            <w:tcBorders>
              <w:top w:val="single" w:color="auto" w:sz="4" w:space="0"/>
              <w:left w:val="single" w:color="auto" w:sz="4" w:space="0"/>
              <w:bottom w:val="single" w:color="auto" w:sz="4" w:space="0"/>
              <w:right w:val="single" w:color="auto" w:sz="4" w:space="0"/>
            </w:tcBorders>
            <w:vAlign w:val="center"/>
          </w:tcPr>
          <w:p w14:paraId="08A55B39">
            <w:pPr>
              <w:pStyle w:val="78"/>
              <w:rPr>
                <w:rFonts w:cs="Times New Roman"/>
              </w:rPr>
            </w:pPr>
            <w:r>
              <w:rPr>
                <w:rFonts w:cs="Times New Roman"/>
              </w:rPr>
              <w:t>0.00026</w:t>
            </w:r>
          </w:p>
        </w:tc>
        <w:tc>
          <w:tcPr>
            <w:tcW w:w="929" w:type="pct"/>
            <w:tcBorders>
              <w:top w:val="single" w:color="auto" w:sz="4" w:space="0"/>
              <w:left w:val="single" w:color="auto" w:sz="4" w:space="0"/>
              <w:bottom w:val="single" w:color="auto" w:sz="4" w:space="0"/>
              <w:right w:val="single" w:color="auto" w:sz="4" w:space="0"/>
            </w:tcBorders>
            <w:vAlign w:val="center"/>
          </w:tcPr>
          <w:p w14:paraId="4AA95E31">
            <w:pPr>
              <w:pStyle w:val="78"/>
              <w:rPr>
                <w:rFonts w:cs="Times New Roman"/>
              </w:rPr>
            </w:pPr>
            <w:r>
              <w:rPr>
                <w:rFonts w:cs="Times New Roman"/>
              </w:rPr>
              <w:t>0.00044</w:t>
            </w:r>
          </w:p>
        </w:tc>
      </w:tr>
      <w:tr w14:paraId="660B58CE">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C3EBEF5">
            <w:pPr>
              <w:pStyle w:val="78"/>
              <w:rPr>
                <w:rFonts w:cs="Times New Roman"/>
              </w:rPr>
            </w:pPr>
            <w:r>
              <w:rPr>
                <w:rFonts w:cs="Times New Roman"/>
              </w:rPr>
              <w:t>锌</w:t>
            </w:r>
          </w:p>
        </w:tc>
        <w:tc>
          <w:tcPr>
            <w:tcW w:w="974" w:type="pct"/>
            <w:tcBorders>
              <w:top w:val="single" w:color="auto" w:sz="4" w:space="0"/>
              <w:left w:val="single" w:color="auto" w:sz="4" w:space="0"/>
              <w:bottom w:val="single" w:color="auto" w:sz="4" w:space="0"/>
              <w:right w:val="single" w:color="auto" w:sz="4" w:space="0"/>
            </w:tcBorders>
            <w:vAlign w:val="center"/>
          </w:tcPr>
          <w:p w14:paraId="4E30938C">
            <w:pPr>
              <w:pStyle w:val="78"/>
              <w:rPr>
                <w:rFonts w:cs="Times New Roman"/>
              </w:rPr>
            </w:pPr>
            <w:r>
              <w:rPr>
                <w:rFonts w:cs="Times New Roman"/>
              </w:rPr>
              <w:t>0.0148</w:t>
            </w:r>
          </w:p>
        </w:tc>
        <w:tc>
          <w:tcPr>
            <w:tcW w:w="927" w:type="pct"/>
            <w:tcBorders>
              <w:top w:val="single" w:color="auto" w:sz="4" w:space="0"/>
              <w:left w:val="single" w:color="auto" w:sz="4" w:space="0"/>
              <w:bottom w:val="single" w:color="auto" w:sz="4" w:space="0"/>
              <w:right w:val="single" w:color="auto" w:sz="4" w:space="0"/>
            </w:tcBorders>
            <w:vAlign w:val="center"/>
          </w:tcPr>
          <w:p w14:paraId="389933D5">
            <w:pPr>
              <w:pStyle w:val="78"/>
              <w:rPr>
                <w:rFonts w:cs="Times New Roman"/>
              </w:rPr>
            </w:pPr>
            <w:r>
              <w:rPr>
                <w:rFonts w:cs="Times New Roman"/>
              </w:rPr>
              <w:t>0.00184</w:t>
            </w:r>
          </w:p>
        </w:tc>
        <w:tc>
          <w:tcPr>
            <w:tcW w:w="962" w:type="pct"/>
            <w:tcBorders>
              <w:top w:val="single" w:color="auto" w:sz="4" w:space="0"/>
              <w:left w:val="single" w:color="auto" w:sz="4" w:space="0"/>
              <w:bottom w:val="single" w:color="auto" w:sz="4" w:space="0"/>
              <w:right w:val="single" w:color="auto" w:sz="4" w:space="0"/>
            </w:tcBorders>
            <w:vAlign w:val="center"/>
          </w:tcPr>
          <w:p w14:paraId="68664147">
            <w:pPr>
              <w:pStyle w:val="78"/>
              <w:rPr>
                <w:rFonts w:cs="Times New Roman"/>
              </w:rPr>
            </w:pPr>
            <w:r>
              <w:rPr>
                <w:rFonts w:cs="Times New Roman"/>
              </w:rPr>
              <w:t>0.00555</w:t>
            </w:r>
          </w:p>
        </w:tc>
        <w:tc>
          <w:tcPr>
            <w:tcW w:w="929" w:type="pct"/>
            <w:tcBorders>
              <w:top w:val="single" w:color="auto" w:sz="4" w:space="0"/>
              <w:left w:val="single" w:color="auto" w:sz="4" w:space="0"/>
              <w:bottom w:val="single" w:color="auto" w:sz="4" w:space="0"/>
              <w:right w:val="single" w:color="auto" w:sz="4" w:space="0"/>
            </w:tcBorders>
            <w:vAlign w:val="center"/>
          </w:tcPr>
          <w:p w14:paraId="35E324E6">
            <w:pPr>
              <w:pStyle w:val="78"/>
              <w:rPr>
                <w:rFonts w:cs="Times New Roman"/>
              </w:rPr>
            </w:pPr>
            <w:r>
              <w:rPr>
                <w:rFonts w:cs="Times New Roman"/>
              </w:rPr>
              <w:t>0.00118</w:t>
            </w:r>
          </w:p>
        </w:tc>
      </w:tr>
      <w:tr w14:paraId="492CE52A">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5C5ABB17">
            <w:pPr>
              <w:pStyle w:val="78"/>
              <w:rPr>
                <w:rFonts w:cs="Times New Roman"/>
              </w:rPr>
            </w:pPr>
            <w:r>
              <w:rPr>
                <w:rFonts w:cs="Times New Roman"/>
              </w:rPr>
              <w:t>铅</w:t>
            </w:r>
          </w:p>
        </w:tc>
        <w:tc>
          <w:tcPr>
            <w:tcW w:w="974" w:type="pct"/>
            <w:tcBorders>
              <w:top w:val="single" w:color="auto" w:sz="4" w:space="0"/>
              <w:left w:val="single" w:color="auto" w:sz="4" w:space="0"/>
              <w:bottom w:val="single" w:color="auto" w:sz="4" w:space="0"/>
              <w:right w:val="single" w:color="auto" w:sz="4" w:space="0"/>
            </w:tcBorders>
            <w:vAlign w:val="center"/>
          </w:tcPr>
          <w:p w14:paraId="1FC83C8C">
            <w:pPr>
              <w:pStyle w:val="78"/>
              <w:rPr>
                <w:rFonts w:cs="Times New Roman"/>
              </w:rPr>
            </w:pPr>
            <w:r>
              <w:rPr>
                <w:rFonts w:cs="Times New Roman"/>
              </w:rPr>
              <w:t>0.0045</w:t>
            </w:r>
          </w:p>
        </w:tc>
        <w:tc>
          <w:tcPr>
            <w:tcW w:w="927" w:type="pct"/>
            <w:tcBorders>
              <w:top w:val="single" w:color="auto" w:sz="4" w:space="0"/>
              <w:left w:val="single" w:color="auto" w:sz="4" w:space="0"/>
              <w:bottom w:val="single" w:color="auto" w:sz="4" w:space="0"/>
              <w:right w:val="single" w:color="auto" w:sz="4" w:space="0"/>
            </w:tcBorders>
            <w:vAlign w:val="center"/>
          </w:tcPr>
          <w:p w14:paraId="5FC77C82">
            <w:pPr>
              <w:pStyle w:val="78"/>
              <w:rPr>
                <w:rFonts w:cs="Times New Roman"/>
              </w:rPr>
            </w:pPr>
            <w:r>
              <w:rPr>
                <w:rFonts w:cs="Times New Roman"/>
              </w:rPr>
              <w:t>0.0045</w:t>
            </w:r>
          </w:p>
        </w:tc>
        <w:tc>
          <w:tcPr>
            <w:tcW w:w="962" w:type="pct"/>
            <w:tcBorders>
              <w:top w:val="single" w:color="auto" w:sz="4" w:space="0"/>
              <w:left w:val="single" w:color="auto" w:sz="4" w:space="0"/>
              <w:bottom w:val="single" w:color="auto" w:sz="4" w:space="0"/>
              <w:right w:val="single" w:color="auto" w:sz="4" w:space="0"/>
            </w:tcBorders>
            <w:vAlign w:val="center"/>
          </w:tcPr>
          <w:p w14:paraId="0300632B">
            <w:pPr>
              <w:pStyle w:val="78"/>
              <w:rPr>
                <w:rFonts w:cs="Times New Roman"/>
              </w:rPr>
            </w:pPr>
            <w:r>
              <w:rPr>
                <w:rFonts w:cs="Times New Roman"/>
              </w:rPr>
              <w:t>0.0045</w:t>
            </w:r>
          </w:p>
        </w:tc>
        <w:tc>
          <w:tcPr>
            <w:tcW w:w="929" w:type="pct"/>
            <w:tcBorders>
              <w:top w:val="single" w:color="auto" w:sz="4" w:space="0"/>
              <w:left w:val="single" w:color="auto" w:sz="4" w:space="0"/>
              <w:bottom w:val="single" w:color="auto" w:sz="4" w:space="0"/>
              <w:right w:val="single" w:color="auto" w:sz="4" w:space="0"/>
            </w:tcBorders>
            <w:vAlign w:val="center"/>
          </w:tcPr>
          <w:p w14:paraId="40E9173A">
            <w:pPr>
              <w:pStyle w:val="78"/>
              <w:rPr>
                <w:rFonts w:cs="Times New Roman"/>
              </w:rPr>
            </w:pPr>
            <w:r>
              <w:rPr>
                <w:rFonts w:cs="Times New Roman"/>
              </w:rPr>
              <w:t>0.0045</w:t>
            </w:r>
          </w:p>
        </w:tc>
      </w:tr>
      <w:tr w14:paraId="6DE286BB">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5A60459C">
            <w:pPr>
              <w:pStyle w:val="78"/>
              <w:rPr>
                <w:rFonts w:cs="Times New Roman"/>
              </w:rPr>
            </w:pPr>
            <w:r>
              <w:rPr>
                <w:rFonts w:cs="Times New Roman"/>
              </w:rPr>
              <w:t>镉</w:t>
            </w:r>
          </w:p>
        </w:tc>
        <w:tc>
          <w:tcPr>
            <w:tcW w:w="974" w:type="pct"/>
            <w:tcBorders>
              <w:top w:val="single" w:color="auto" w:sz="4" w:space="0"/>
              <w:left w:val="single" w:color="auto" w:sz="4" w:space="0"/>
              <w:bottom w:val="single" w:color="auto" w:sz="4" w:space="0"/>
              <w:right w:val="single" w:color="auto" w:sz="4" w:space="0"/>
            </w:tcBorders>
            <w:vAlign w:val="center"/>
          </w:tcPr>
          <w:p w14:paraId="3A5B6B35">
            <w:pPr>
              <w:pStyle w:val="78"/>
              <w:rPr>
                <w:rFonts w:cs="Times New Roman"/>
              </w:rPr>
            </w:pPr>
            <w:r>
              <w:rPr>
                <w:rFonts w:cs="Times New Roman"/>
              </w:rPr>
              <w:t>0.005</w:t>
            </w:r>
          </w:p>
        </w:tc>
        <w:tc>
          <w:tcPr>
            <w:tcW w:w="927" w:type="pct"/>
            <w:tcBorders>
              <w:top w:val="single" w:color="auto" w:sz="4" w:space="0"/>
              <w:left w:val="single" w:color="auto" w:sz="4" w:space="0"/>
              <w:bottom w:val="single" w:color="auto" w:sz="4" w:space="0"/>
              <w:right w:val="single" w:color="auto" w:sz="4" w:space="0"/>
            </w:tcBorders>
            <w:vAlign w:val="center"/>
          </w:tcPr>
          <w:p w14:paraId="602C9B8E">
            <w:pPr>
              <w:pStyle w:val="78"/>
              <w:rPr>
                <w:rFonts w:cs="Times New Roman"/>
              </w:rPr>
            </w:pPr>
            <w:r>
              <w:rPr>
                <w:rFonts w:cs="Times New Roman"/>
              </w:rPr>
              <w:t>0.005</w:t>
            </w:r>
          </w:p>
        </w:tc>
        <w:tc>
          <w:tcPr>
            <w:tcW w:w="962" w:type="pct"/>
            <w:tcBorders>
              <w:top w:val="single" w:color="auto" w:sz="4" w:space="0"/>
              <w:left w:val="single" w:color="auto" w:sz="4" w:space="0"/>
              <w:bottom w:val="single" w:color="auto" w:sz="4" w:space="0"/>
              <w:right w:val="single" w:color="auto" w:sz="4" w:space="0"/>
            </w:tcBorders>
            <w:vAlign w:val="center"/>
          </w:tcPr>
          <w:p w14:paraId="2A58857B">
            <w:pPr>
              <w:pStyle w:val="78"/>
              <w:rPr>
                <w:rFonts w:cs="Times New Roman"/>
              </w:rPr>
            </w:pPr>
            <w:r>
              <w:rPr>
                <w:rFonts w:cs="Times New Roman"/>
              </w:rPr>
              <w:t>0.005</w:t>
            </w:r>
          </w:p>
        </w:tc>
        <w:tc>
          <w:tcPr>
            <w:tcW w:w="929" w:type="pct"/>
            <w:tcBorders>
              <w:top w:val="single" w:color="auto" w:sz="4" w:space="0"/>
              <w:left w:val="single" w:color="auto" w:sz="4" w:space="0"/>
              <w:bottom w:val="single" w:color="auto" w:sz="4" w:space="0"/>
              <w:right w:val="single" w:color="auto" w:sz="4" w:space="0"/>
            </w:tcBorders>
            <w:vAlign w:val="center"/>
          </w:tcPr>
          <w:p w14:paraId="210592EE">
            <w:pPr>
              <w:pStyle w:val="78"/>
              <w:rPr>
                <w:rFonts w:cs="Times New Roman"/>
              </w:rPr>
            </w:pPr>
            <w:r>
              <w:rPr>
                <w:rFonts w:cs="Times New Roman"/>
              </w:rPr>
              <w:t>0.012</w:t>
            </w:r>
          </w:p>
        </w:tc>
      </w:tr>
      <w:tr w14:paraId="3C0385AF">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6579EB5">
            <w:pPr>
              <w:pStyle w:val="78"/>
              <w:rPr>
                <w:rFonts w:cs="Times New Roman"/>
              </w:rPr>
            </w:pPr>
            <w:r>
              <w:rPr>
                <w:rFonts w:cs="Times New Roman"/>
              </w:rPr>
              <w:t>镍</w:t>
            </w:r>
          </w:p>
        </w:tc>
        <w:tc>
          <w:tcPr>
            <w:tcW w:w="974" w:type="pct"/>
            <w:tcBorders>
              <w:top w:val="single" w:color="auto" w:sz="4" w:space="0"/>
              <w:left w:val="single" w:color="auto" w:sz="4" w:space="0"/>
              <w:bottom w:val="single" w:color="auto" w:sz="4" w:space="0"/>
              <w:right w:val="single" w:color="auto" w:sz="4" w:space="0"/>
            </w:tcBorders>
            <w:vAlign w:val="center"/>
          </w:tcPr>
          <w:p w14:paraId="0A705974">
            <w:pPr>
              <w:pStyle w:val="78"/>
              <w:rPr>
                <w:rFonts w:cs="Times New Roman"/>
              </w:rPr>
            </w:pPr>
            <w:r>
              <w:rPr>
                <w:rFonts w:cs="Times New Roman"/>
              </w:rPr>
              <w:t>0.055</w:t>
            </w:r>
          </w:p>
        </w:tc>
        <w:tc>
          <w:tcPr>
            <w:tcW w:w="927" w:type="pct"/>
            <w:tcBorders>
              <w:top w:val="single" w:color="auto" w:sz="4" w:space="0"/>
              <w:left w:val="single" w:color="auto" w:sz="4" w:space="0"/>
              <w:bottom w:val="single" w:color="auto" w:sz="4" w:space="0"/>
              <w:right w:val="single" w:color="auto" w:sz="4" w:space="0"/>
            </w:tcBorders>
            <w:vAlign w:val="center"/>
          </w:tcPr>
          <w:p w14:paraId="13246680">
            <w:pPr>
              <w:pStyle w:val="78"/>
              <w:rPr>
                <w:rFonts w:cs="Times New Roman"/>
              </w:rPr>
            </w:pPr>
            <w:r>
              <w:rPr>
                <w:rFonts w:cs="Times New Roman"/>
              </w:rPr>
              <w:t>0.0165</w:t>
            </w:r>
          </w:p>
        </w:tc>
        <w:tc>
          <w:tcPr>
            <w:tcW w:w="962" w:type="pct"/>
            <w:tcBorders>
              <w:top w:val="single" w:color="auto" w:sz="4" w:space="0"/>
              <w:left w:val="single" w:color="auto" w:sz="4" w:space="0"/>
              <w:bottom w:val="single" w:color="auto" w:sz="4" w:space="0"/>
              <w:right w:val="single" w:color="auto" w:sz="4" w:space="0"/>
            </w:tcBorders>
            <w:vAlign w:val="center"/>
          </w:tcPr>
          <w:p w14:paraId="767CE82E">
            <w:pPr>
              <w:pStyle w:val="78"/>
              <w:rPr>
                <w:rFonts w:cs="Times New Roman"/>
              </w:rPr>
            </w:pPr>
            <w:r>
              <w:rPr>
                <w:rFonts w:cs="Times New Roman"/>
              </w:rPr>
              <w:t>0.031</w:t>
            </w:r>
          </w:p>
        </w:tc>
        <w:tc>
          <w:tcPr>
            <w:tcW w:w="929" w:type="pct"/>
            <w:tcBorders>
              <w:top w:val="single" w:color="auto" w:sz="4" w:space="0"/>
              <w:left w:val="single" w:color="auto" w:sz="4" w:space="0"/>
              <w:bottom w:val="single" w:color="auto" w:sz="4" w:space="0"/>
              <w:right w:val="single" w:color="auto" w:sz="4" w:space="0"/>
            </w:tcBorders>
            <w:vAlign w:val="center"/>
          </w:tcPr>
          <w:p w14:paraId="30E428F1">
            <w:pPr>
              <w:pStyle w:val="78"/>
              <w:rPr>
                <w:rFonts w:cs="Times New Roman"/>
              </w:rPr>
            </w:pPr>
            <w:r>
              <w:rPr>
                <w:rFonts w:cs="Times New Roman"/>
              </w:rPr>
              <w:t>0.0225</w:t>
            </w:r>
          </w:p>
        </w:tc>
      </w:tr>
      <w:tr w14:paraId="24BB2D31">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E2C6622">
            <w:pPr>
              <w:pStyle w:val="78"/>
              <w:rPr>
                <w:rFonts w:cs="Times New Roman"/>
              </w:rPr>
            </w:pPr>
            <w:r>
              <w:rPr>
                <w:rFonts w:cs="Times New Roman"/>
              </w:rPr>
              <w:t>铝</w:t>
            </w:r>
          </w:p>
        </w:tc>
        <w:tc>
          <w:tcPr>
            <w:tcW w:w="974" w:type="pct"/>
            <w:tcBorders>
              <w:top w:val="single" w:color="auto" w:sz="4" w:space="0"/>
              <w:left w:val="single" w:color="auto" w:sz="4" w:space="0"/>
              <w:bottom w:val="single" w:color="auto" w:sz="4" w:space="0"/>
              <w:right w:val="single" w:color="auto" w:sz="4" w:space="0"/>
            </w:tcBorders>
            <w:vAlign w:val="center"/>
          </w:tcPr>
          <w:p w14:paraId="38572535">
            <w:pPr>
              <w:pStyle w:val="78"/>
              <w:rPr>
                <w:rFonts w:cs="Times New Roman"/>
              </w:rPr>
            </w:pPr>
            <w:r>
              <w:rPr>
                <w:rFonts w:cs="Times New Roman"/>
              </w:rPr>
              <w:t>0.0029</w:t>
            </w:r>
          </w:p>
        </w:tc>
        <w:tc>
          <w:tcPr>
            <w:tcW w:w="927" w:type="pct"/>
            <w:tcBorders>
              <w:top w:val="single" w:color="auto" w:sz="4" w:space="0"/>
              <w:left w:val="single" w:color="auto" w:sz="4" w:space="0"/>
              <w:bottom w:val="single" w:color="auto" w:sz="4" w:space="0"/>
              <w:right w:val="single" w:color="auto" w:sz="4" w:space="0"/>
            </w:tcBorders>
            <w:vAlign w:val="center"/>
          </w:tcPr>
          <w:p w14:paraId="023B29AA">
            <w:pPr>
              <w:pStyle w:val="78"/>
              <w:rPr>
                <w:rFonts w:cs="Times New Roman"/>
              </w:rPr>
            </w:pPr>
            <w:r>
              <w:rPr>
                <w:rFonts w:cs="Times New Roman"/>
              </w:rPr>
              <w:t>0.0214</w:t>
            </w:r>
          </w:p>
        </w:tc>
        <w:tc>
          <w:tcPr>
            <w:tcW w:w="962" w:type="pct"/>
            <w:tcBorders>
              <w:top w:val="single" w:color="auto" w:sz="4" w:space="0"/>
              <w:left w:val="single" w:color="auto" w:sz="4" w:space="0"/>
              <w:bottom w:val="single" w:color="auto" w:sz="4" w:space="0"/>
              <w:right w:val="single" w:color="auto" w:sz="4" w:space="0"/>
            </w:tcBorders>
            <w:vAlign w:val="center"/>
          </w:tcPr>
          <w:p w14:paraId="32BA1635">
            <w:pPr>
              <w:pStyle w:val="78"/>
              <w:rPr>
                <w:rFonts w:cs="Times New Roman"/>
              </w:rPr>
            </w:pPr>
            <w:r>
              <w:rPr>
                <w:rFonts w:cs="Times New Roman"/>
              </w:rPr>
              <w:t>0.0029</w:t>
            </w:r>
          </w:p>
        </w:tc>
        <w:tc>
          <w:tcPr>
            <w:tcW w:w="929" w:type="pct"/>
            <w:tcBorders>
              <w:top w:val="single" w:color="auto" w:sz="4" w:space="0"/>
              <w:left w:val="single" w:color="auto" w:sz="4" w:space="0"/>
              <w:bottom w:val="single" w:color="auto" w:sz="4" w:space="0"/>
              <w:right w:val="single" w:color="auto" w:sz="4" w:space="0"/>
            </w:tcBorders>
            <w:vAlign w:val="center"/>
          </w:tcPr>
          <w:p w14:paraId="27F2B29E">
            <w:pPr>
              <w:pStyle w:val="78"/>
              <w:rPr>
                <w:rFonts w:cs="Times New Roman"/>
              </w:rPr>
            </w:pPr>
            <w:r>
              <w:rPr>
                <w:rFonts w:cs="Times New Roman"/>
              </w:rPr>
              <w:t>0.0650</w:t>
            </w:r>
          </w:p>
        </w:tc>
      </w:tr>
      <w:tr w14:paraId="146CDEDD">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3BC189D1">
            <w:pPr>
              <w:pStyle w:val="78"/>
              <w:rPr>
                <w:rFonts w:cs="Times New Roman"/>
              </w:rPr>
            </w:pPr>
            <w:r>
              <w:rPr>
                <w:rFonts w:cs="Times New Roman"/>
              </w:rPr>
              <w:t>钼</w:t>
            </w:r>
          </w:p>
        </w:tc>
        <w:tc>
          <w:tcPr>
            <w:tcW w:w="974" w:type="pct"/>
            <w:tcBorders>
              <w:top w:val="single" w:color="auto" w:sz="4" w:space="0"/>
              <w:left w:val="single" w:color="auto" w:sz="4" w:space="0"/>
              <w:bottom w:val="single" w:color="auto" w:sz="4" w:space="0"/>
              <w:right w:val="single" w:color="auto" w:sz="4" w:space="0"/>
            </w:tcBorders>
            <w:vAlign w:val="center"/>
          </w:tcPr>
          <w:p w14:paraId="0AD0E8AD">
            <w:pPr>
              <w:pStyle w:val="78"/>
              <w:rPr>
                <w:rFonts w:cs="Times New Roman"/>
              </w:rPr>
            </w:pPr>
            <w:r>
              <w:rPr>
                <w:rFonts w:cs="Times New Roman"/>
              </w:rPr>
              <w:t>0.0017</w:t>
            </w:r>
          </w:p>
        </w:tc>
        <w:tc>
          <w:tcPr>
            <w:tcW w:w="927" w:type="pct"/>
            <w:tcBorders>
              <w:top w:val="single" w:color="auto" w:sz="4" w:space="0"/>
              <w:left w:val="single" w:color="auto" w:sz="4" w:space="0"/>
              <w:bottom w:val="single" w:color="auto" w:sz="4" w:space="0"/>
              <w:right w:val="single" w:color="auto" w:sz="4" w:space="0"/>
            </w:tcBorders>
            <w:vAlign w:val="center"/>
          </w:tcPr>
          <w:p w14:paraId="0B7AEED8">
            <w:pPr>
              <w:pStyle w:val="78"/>
              <w:rPr>
                <w:rFonts w:cs="Times New Roman"/>
              </w:rPr>
            </w:pPr>
            <w:r>
              <w:rPr>
                <w:rFonts w:cs="Times New Roman"/>
              </w:rPr>
              <w:t>0.0061</w:t>
            </w:r>
          </w:p>
        </w:tc>
        <w:tc>
          <w:tcPr>
            <w:tcW w:w="962" w:type="pct"/>
            <w:tcBorders>
              <w:top w:val="single" w:color="auto" w:sz="4" w:space="0"/>
              <w:left w:val="single" w:color="auto" w:sz="4" w:space="0"/>
              <w:bottom w:val="single" w:color="auto" w:sz="4" w:space="0"/>
              <w:right w:val="single" w:color="auto" w:sz="4" w:space="0"/>
            </w:tcBorders>
            <w:vAlign w:val="center"/>
          </w:tcPr>
          <w:p w14:paraId="06299E94">
            <w:pPr>
              <w:pStyle w:val="78"/>
              <w:rPr>
                <w:rFonts w:cs="Times New Roman"/>
              </w:rPr>
            </w:pPr>
            <w:r>
              <w:rPr>
                <w:rFonts w:cs="Times New Roman"/>
              </w:rPr>
              <w:t>0.0053</w:t>
            </w:r>
          </w:p>
        </w:tc>
        <w:tc>
          <w:tcPr>
            <w:tcW w:w="929" w:type="pct"/>
            <w:tcBorders>
              <w:top w:val="single" w:color="auto" w:sz="4" w:space="0"/>
              <w:left w:val="single" w:color="auto" w:sz="4" w:space="0"/>
              <w:bottom w:val="single" w:color="auto" w:sz="4" w:space="0"/>
              <w:right w:val="single" w:color="auto" w:sz="4" w:space="0"/>
            </w:tcBorders>
            <w:vAlign w:val="center"/>
          </w:tcPr>
          <w:p w14:paraId="05B53989">
            <w:pPr>
              <w:pStyle w:val="78"/>
              <w:rPr>
                <w:rFonts w:cs="Times New Roman"/>
              </w:rPr>
            </w:pPr>
            <w:r>
              <w:rPr>
                <w:rFonts w:cs="Times New Roman"/>
              </w:rPr>
              <w:t>0.0109</w:t>
            </w:r>
          </w:p>
        </w:tc>
      </w:tr>
      <w:tr w14:paraId="27968A91">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2FAE9090">
            <w:pPr>
              <w:pStyle w:val="78"/>
              <w:rPr>
                <w:rFonts w:cs="Times New Roman"/>
              </w:rPr>
            </w:pPr>
            <w:r>
              <w:rPr>
                <w:rFonts w:cs="Times New Roman"/>
              </w:rPr>
              <w:t>钡</w:t>
            </w:r>
          </w:p>
        </w:tc>
        <w:tc>
          <w:tcPr>
            <w:tcW w:w="974" w:type="pct"/>
            <w:tcBorders>
              <w:top w:val="single" w:color="auto" w:sz="4" w:space="0"/>
              <w:left w:val="single" w:color="auto" w:sz="4" w:space="0"/>
              <w:bottom w:val="single" w:color="auto" w:sz="4" w:space="0"/>
              <w:right w:val="single" w:color="auto" w:sz="4" w:space="0"/>
            </w:tcBorders>
            <w:vAlign w:val="center"/>
          </w:tcPr>
          <w:p w14:paraId="56ECBAB4">
            <w:pPr>
              <w:pStyle w:val="78"/>
              <w:rPr>
                <w:rFonts w:cs="Times New Roman"/>
              </w:rPr>
            </w:pPr>
            <w:r>
              <w:rPr>
                <w:rFonts w:cs="Times New Roman"/>
              </w:rPr>
              <w:t>0.0243</w:t>
            </w:r>
          </w:p>
        </w:tc>
        <w:tc>
          <w:tcPr>
            <w:tcW w:w="927" w:type="pct"/>
            <w:tcBorders>
              <w:top w:val="single" w:color="auto" w:sz="4" w:space="0"/>
              <w:left w:val="single" w:color="auto" w:sz="4" w:space="0"/>
              <w:bottom w:val="single" w:color="auto" w:sz="4" w:space="0"/>
              <w:right w:val="single" w:color="auto" w:sz="4" w:space="0"/>
            </w:tcBorders>
            <w:vAlign w:val="center"/>
          </w:tcPr>
          <w:p w14:paraId="52C375CA">
            <w:pPr>
              <w:pStyle w:val="78"/>
              <w:rPr>
                <w:rFonts w:cs="Times New Roman"/>
              </w:rPr>
            </w:pPr>
            <w:r>
              <w:rPr>
                <w:rFonts w:cs="Times New Roman"/>
              </w:rPr>
              <w:t>0.4257</w:t>
            </w:r>
          </w:p>
        </w:tc>
        <w:tc>
          <w:tcPr>
            <w:tcW w:w="962" w:type="pct"/>
            <w:tcBorders>
              <w:top w:val="single" w:color="auto" w:sz="4" w:space="0"/>
              <w:left w:val="single" w:color="auto" w:sz="4" w:space="0"/>
              <w:bottom w:val="single" w:color="auto" w:sz="4" w:space="0"/>
              <w:right w:val="single" w:color="auto" w:sz="4" w:space="0"/>
            </w:tcBorders>
            <w:vAlign w:val="center"/>
          </w:tcPr>
          <w:p w14:paraId="2F8A9D87">
            <w:pPr>
              <w:pStyle w:val="78"/>
              <w:rPr>
                <w:rFonts w:cs="Times New Roman"/>
              </w:rPr>
            </w:pPr>
            <w:r>
              <w:rPr>
                <w:rFonts w:cs="Times New Roman"/>
              </w:rPr>
              <w:t>0.2900</w:t>
            </w:r>
          </w:p>
        </w:tc>
        <w:tc>
          <w:tcPr>
            <w:tcW w:w="929" w:type="pct"/>
            <w:tcBorders>
              <w:top w:val="single" w:color="auto" w:sz="4" w:space="0"/>
              <w:left w:val="single" w:color="auto" w:sz="4" w:space="0"/>
              <w:bottom w:val="single" w:color="auto" w:sz="4" w:space="0"/>
              <w:right w:val="single" w:color="auto" w:sz="4" w:space="0"/>
            </w:tcBorders>
            <w:vAlign w:val="center"/>
          </w:tcPr>
          <w:p w14:paraId="73CA0108">
            <w:pPr>
              <w:pStyle w:val="78"/>
              <w:rPr>
                <w:rFonts w:cs="Times New Roman"/>
              </w:rPr>
            </w:pPr>
            <w:r>
              <w:rPr>
                <w:rFonts w:cs="Times New Roman"/>
              </w:rPr>
              <w:t>0.7057</w:t>
            </w:r>
          </w:p>
        </w:tc>
      </w:tr>
      <w:tr w14:paraId="41909275">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554E9D7D">
            <w:pPr>
              <w:pStyle w:val="78"/>
              <w:rPr>
                <w:rFonts w:cs="Times New Roman"/>
              </w:rPr>
            </w:pPr>
            <w:r>
              <w:rPr>
                <w:rFonts w:cs="Times New Roman"/>
              </w:rPr>
              <w:t>钠</w:t>
            </w:r>
          </w:p>
        </w:tc>
        <w:tc>
          <w:tcPr>
            <w:tcW w:w="974" w:type="pct"/>
            <w:tcBorders>
              <w:top w:val="single" w:color="auto" w:sz="4" w:space="0"/>
              <w:left w:val="single" w:color="auto" w:sz="4" w:space="0"/>
              <w:bottom w:val="single" w:color="auto" w:sz="4" w:space="0"/>
              <w:right w:val="single" w:color="auto" w:sz="4" w:space="0"/>
            </w:tcBorders>
            <w:vAlign w:val="center"/>
          </w:tcPr>
          <w:p w14:paraId="43FCA2D2">
            <w:pPr>
              <w:pStyle w:val="78"/>
              <w:rPr>
                <w:rFonts w:cs="Times New Roman"/>
              </w:rPr>
            </w:pPr>
            <w:r>
              <w:rPr>
                <w:rFonts w:cs="Times New Roman"/>
              </w:rPr>
              <w:t>0.0442</w:t>
            </w:r>
          </w:p>
        </w:tc>
        <w:tc>
          <w:tcPr>
            <w:tcW w:w="927" w:type="pct"/>
            <w:tcBorders>
              <w:top w:val="single" w:color="auto" w:sz="4" w:space="0"/>
              <w:left w:val="single" w:color="auto" w:sz="4" w:space="0"/>
              <w:bottom w:val="single" w:color="auto" w:sz="4" w:space="0"/>
              <w:right w:val="single" w:color="auto" w:sz="4" w:space="0"/>
            </w:tcBorders>
            <w:vAlign w:val="center"/>
          </w:tcPr>
          <w:p w14:paraId="4DFF2708">
            <w:pPr>
              <w:pStyle w:val="78"/>
              <w:rPr>
                <w:rFonts w:cs="Times New Roman"/>
              </w:rPr>
            </w:pPr>
            <w:r>
              <w:rPr>
                <w:rFonts w:cs="Times New Roman"/>
              </w:rPr>
              <w:t>0.1965</w:t>
            </w:r>
          </w:p>
        </w:tc>
        <w:tc>
          <w:tcPr>
            <w:tcW w:w="962" w:type="pct"/>
            <w:tcBorders>
              <w:top w:val="single" w:color="auto" w:sz="4" w:space="0"/>
              <w:left w:val="single" w:color="auto" w:sz="4" w:space="0"/>
              <w:bottom w:val="single" w:color="auto" w:sz="4" w:space="0"/>
              <w:right w:val="single" w:color="auto" w:sz="4" w:space="0"/>
            </w:tcBorders>
            <w:vAlign w:val="center"/>
          </w:tcPr>
          <w:p w14:paraId="50894874">
            <w:pPr>
              <w:pStyle w:val="78"/>
              <w:rPr>
                <w:rFonts w:cs="Times New Roman"/>
              </w:rPr>
            </w:pPr>
            <w:r>
              <w:rPr>
                <w:rFonts w:cs="Times New Roman"/>
              </w:rPr>
              <w:t>0.1415</w:t>
            </w:r>
          </w:p>
        </w:tc>
        <w:tc>
          <w:tcPr>
            <w:tcW w:w="929" w:type="pct"/>
            <w:tcBorders>
              <w:top w:val="single" w:color="auto" w:sz="4" w:space="0"/>
              <w:left w:val="single" w:color="auto" w:sz="4" w:space="0"/>
              <w:bottom w:val="single" w:color="auto" w:sz="4" w:space="0"/>
              <w:right w:val="single" w:color="auto" w:sz="4" w:space="0"/>
            </w:tcBorders>
            <w:vAlign w:val="center"/>
          </w:tcPr>
          <w:p w14:paraId="3DAD6F38">
            <w:pPr>
              <w:pStyle w:val="78"/>
              <w:rPr>
                <w:rFonts w:cs="Times New Roman"/>
              </w:rPr>
            </w:pPr>
            <w:r>
              <w:rPr>
                <w:rFonts w:cs="Times New Roman"/>
              </w:rPr>
              <w:t>0.317</w:t>
            </w:r>
          </w:p>
        </w:tc>
      </w:tr>
      <w:tr w14:paraId="16B32877">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624F678C">
            <w:pPr>
              <w:pStyle w:val="78"/>
              <w:rPr>
                <w:rFonts w:cs="Times New Roman"/>
              </w:rPr>
            </w:pPr>
            <w:r>
              <w:rPr>
                <w:rFonts w:cs="Times New Roman"/>
              </w:rPr>
              <w:t>甲苯（μg/L）</w:t>
            </w:r>
          </w:p>
        </w:tc>
        <w:tc>
          <w:tcPr>
            <w:tcW w:w="974" w:type="pct"/>
            <w:tcBorders>
              <w:top w:val="single" w:color="auto" w:sz="4" w:space="0"/>
              <w:left w:val="single" w:color="auto" w:sz="4" w:space="0"/>
              <w:bottom w:val="single" w:color="auto" w:sz="4" w:space="0"/>
              <w:right w:val="single" w:color="auto" w:sz="4" w:space="0"/>
            </w:tcBorders>
            <w:noWrap/>
            <w:vAlign w:val="center"/>
          </w:tcPr>
          <w:p w14:paraId="1B4445EC">
            <w:pPr>
              <w:pStyle w:val="78"/>
              <w:rPr>
                <w:rFonts w:cs="Times New Roman"/>
                <w:sz w:val="22"/>
              </w:rPr>
            </w:pPr>
            <w:r>
              <w:rPr>
                <w:rFonts w:cs="Times New Roman"/>
                <w:sz w:val="22"/>
              </w:rPr>
              <w:t>0.00000021</w:t>
            </w:r>
          </w:p>
        </w:tc>
        <w:tc>
          <w:tcPr>
            <w:tcW w:w="927" w:type="pct"/>
            <w:tcBorders>
              <w:top w:val="single" w:color="auto" w:sz="4" w:space="0"/>
              <w:left w:val="single" w:color="auto" w:sz="4" w:space="0"/>
              <w:bottom w:val="single" w:color="auto" w:sz="4" w:space="0"/>
              <w:right w:val="single" w:color="auto" w:sz="4" w:space="0"/>
            </w:tcBorders>
            <w:noWrap/>
            <w:vAlign w:val="center"/>
          </w:tcPr>
          <w:p w14:paraId="253B1CF8">
            <w:pPr>
              <w:pStyle w:val="78"/>
              <w:rPr>
                <w:rFonts w:cs="Times New Roman"/>
                <w:sz w:val="22"/>
              </w:rPr>
            </w:pPr>
            <w:r>
              <w:rPr>
                <w:rFonts w:cs="Times New Roman"/>
                <w:sz w:val="22"/>
              </w:rPr>
              <w:t>0.00000021</w:t>
            </w:r>
          </w:p>
        </w:tc>
        <w:tc>
          <w:tcPr>
            <w:tcW w:w="962" w:type="pct"/>
            <w:tcBorders>
              <w:top w:val="single" w:color="auto" w:sz="4" w:space="0"/>
              <w:left w:val="single" w:color="auto" w:sz="4" w:space="0"/>
              <w:bottom w:val="single" w:color="auto" w:sz="4" w:space="0"/>
              <w:right w:val="single" w:color="auto" w:sz="4" w:space="0"/>
            </w:tcBorders>
            <w:noWrap/>
            <w:vAlign w:val="center"/>
          </w:tcPr>
          <w:p w14:paraId="67D30C57">
            <w:pPr>
              <w:pStyle w:val="78"/>
              <w:rPr>
                <w:rFonts w:cs="Times New Roman"/>
                <w:sz w:val="22"/>
              </w:rPr>
            </w:pPr>
            <w:r>
              <w:rPr>
                <w:rFonts w:cs="Times New Roman"/>
                <w:sz w:val="22"/>
              </w:rPr>
              <w:t>0.00000021</w:t>
            </w:r>
          </w:p>
        </w:tc>
        <w:tc>
          <w:tcPr>
            <w:tcW w:w="929" w:type="pct"/>
            <w:tcBorders>
              <w:top w:val="single" w:color="auto" w:sz="4" w:space="0"/>
              <w:left w:val="single" w:color="auto" w:sz="4" w:space="0"/>
              <w:bottom w:val="single" w:color="auto" w:sz="4" w:space="0"/>
              <w:right w:val="single" w:color="auto" w:sz="4" w:space="0"/>
            </w:tcBorders>
            <w:noWrap/>
            <w:vAlign w:val="center"/>
          </w:tcPr>
          <w:p w14:paraId="268D52ED">
            <w:pPr>
              <w:pStyle w:val="78"/>
              <w:rPr>
                <w:rFonts w:cs="Times New Roman"/>
                <w:sz w:val="22"/>
              </w:rPr>
            </w:pPr>
            <w:r>
              <w:rPr>
                <w:rFonts w:cs="Times New Roman"/>
                <w:sz w:val="22"/>
              </w:rPr>
              <w:t>0.00000021</w:t>
            </w:r>
          </w:p>
        </w:tc>
      </w:tr>
      <w:tr w14:paraId="3F4CA51F">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22412F4">
            <w:pPr>
              <w:pStyle w:val="78"/>
              <w:rPr>
                <w:rFonts w:cs="Times New Roman"/>
              </w:rPr>
            </w:pPr>
            <w:r>
              <w:rPr>
                <w:rFonts w:cs="Times New Roman"/>
              </w:rPr>
              <w:t>二甲苯（μg/L）</w:t>
            </w:r>
          </w:p>
        </w:tc>
        <w:tc>
          <w:tcPr>
            <w:tcW w:w="974" w:type="pct"/>
            <w:tcBorders>
              <w:top w:val="single" w:color="auto" w:sz="4" w:space="0"/>
              <w:left w:val="single" w:color="auto" w:sz="4" w:space="0"/>
              <w:bottom w:val="single" w:color="auto" w:sz="4" w:space="0"/>
              <w:right w:val="single" w:color="auto" w:sz="4" w:space="0"/>
            </w:tcBorders>
            <w:noWrap/>
            <w:vAlign w:val="center"/>
          </w:tcPr>
          <w:p w14:paraId="6CF7FD8B">
            <w:pPr>
              <w:pStyle w:val="78"/>
              <w:rPr>
                <w:rFonts w:cs="Times New Roman"/>
              </w:rPr>
            </w:pPr>
            <w:r>
              <w:rPr>
                <w:rFonts w:cs="Times New Roman"/>
              </w:rPr>
              <w:t>0.001</w:t>
            </w:r>
          </w:p>
        </w:tc>
        <w:tc>
          <w:tcPr>
            <w:tcW w:w="927" w:type="pct"/>
            <w:tcBorders>
              <w:top w:val="single" w:color="auto" w:sz="4" w:space="0"/>
              <w:left w:val="single" w:color="auto" w:sz="4" w:space="0"/>
              <w:bottom w:val="single" w:color="auto" w:sz="4" w:space="0"/>
              <w:right w:val="single" w:color="auto" w:sz="4" w:space="0"/>
            </w:tcBorders>
            <w:noWrap/>
            <w:vAlign w:val="center"/>
          </w:tcPr>
          <w:p w14:paraId="00C6B4B6">
            <w:pPr>
              <w:pStyle w:val="78"/>
              <w:rPr>
                <w:rFonts w:cs="Times New Roman"/>
              </w:rPr>
            </w:pPr>
            <w:r>
              <w:rPr>
                <w:rFonts w:cs="Times New Roman"/>
              </w:rPr>
              <w:t>0.001</w:t>
            </w:r>
          </w:p>
        </w:tc>
        <w:tc>
          <w:tcPr>
            <w:tcW w:w="962" w:type="pct"/>
            <w:tcBorders>
              <w:top w:val="single" w:color="auto" w:sz="4" w:space="0"/>
              <w:left w:val="single" w:color="auto" w:sz="4" w:space="0"/>
              <w:bottom w:val="single" w:color="auto" w:sz="4" w:space="0"/>
              <w:right w:val="single" w:color="auto" w:sz="4" w:space="0"/>
            </w:tcBorders>
            <w:noWrap/>
            <w:vAlign w:val="center"/>
          </w:tcPr>
          <w:p w14:paraId="620F5D4B">
            <w:pPr>
              <w:pStyle w:val="78"/>
              <w:rPr>
                <w:rFonts w:cs="Times New Roman"/>
              </w:rPr>
            </w:pPr>
            <w:r>
              <w:rPr>
                <w:rFonts w:cs="Times New Roman"/>
              </w:rPr>
              <w:t>0.001</w:t>
            </w:r>
          </w:p>
        </w:tc>
        <w:tc>
          <w:tcPr>
            <w:tcW w:w="929" w:type="pct"/>
            <w:tcBorders>
              <w:top w:val="single" w:color="auto" w:sz="4" w:space="0"/>
              <w:left w:val="single" w:color="auto" w:sz="4" w:space="0"/>
              <w:bottom w:val="single" w:color="auto" w:sz="4" w:space="0"/>
              <w:right w:val="single" w:color="auto" w:sz="4" w:space="0"/>
            </w:tcBorders>
            <w:noWrap/>
            <w:vAlign w:val="center"/>
          </w:tcPr>
          <w:p w14:paraId="027AE26A">
            <w:pPr>
              <w:pStyle w:val="78"/>
              <w:rPr>
                <w:rFonts w:cs="Times New Roman"/>
              </w:rPr>
            </w:pPr>
            <w:r>
              <w:rPr>
                <w:rFonts w:cs="Times New Roman"/>
              </w:rPr>
              <w:t>0.001</w:t>
            </w:r>
          </w:p>
        </w:tc>
      </w:tr>
      <w:tr w14:paraId="26AC77B0">
        <w:tblPrEx>
          <w:tblCellMar>
            <w:top w:w="0" w:type="dxa"/>
            <w:left w:w="108" w:type="dxa"/>
            <w:bottom w:w="0" w:type="dxa"/>
            <w:right w:w="108" w:type="dxa"/>
          </w:tblCellMar>
        </w:tblPrEx>
        <w:trPr>
          <w:trHeight w:val="340" w:hRule="atLeast"/>
          <w:jc w:val="center"/>
        </w:trPr>
        <w:tc>
          <w:tcPr>
            <w:tcW w:w="1208" w:type="pct"/>
            <w:tcBorders>
              <w:top w:val="single" w:color="auto" w:sz="4" w:space="0"/>
              <w:left w:val="single" w:color="auto" w:sz="4" w:space="0"/>
              <w:bottom w:val="single" w:color="auto" w:sz="4" w:space="0"/>
              <w:right w:val="single" w:color="auto" w:sz="4" w:space="0"/>
            </w:tcBorders>
            <w:vAlign w:val="center"/>
          </w:tcPr>
          <w:p w14:paraId="7A675AF8">
            <w:pPr>
              <w:pStyle w:val="78"/>
              <w:rPr>
                <w:rFonts w:cs="Times New Roman"/>
              </w:rPr>
            </w:pPr>
            <w:r>
              <w:rPr>
                <w:rFonts w:cs="Times New Roman"/>
              </w:rPr>
              <w:t>苯乙烯（μg/L）</w:t>
            </w:r>
          </w:p>
        </w:tc>
        <w:tc>
          <w:tcPr>
            <w:tcW w:w="974" w:type="pct"/>
            <w:tcBorders>
              <w:top w:val="single" w:color="auto" w:sz="4" w:space="0"/>
              <w:left w:val="single" w:color="auto" w:sz="4" w:space="0"/>
              <w:bottom w:val="single" w:color="auto" w:sz="4" w:space="0"/>
              <w:right w:val="single" w:color="auto" w:sz="4" w:space="0"/>
            </w:tcBorders>
            <w:vAlign w:val="center"/>
          </w:tcPr>
          <w:p w14:paraId="6A19E296">
            <w:pPr>
              <w:pStyle w:val="78"/>
              <w:rPr>
                <w:rFonts w:cs="Times New Roman"/>
              </w:rPr>
            </w:pPr>
            <w:r>
              <w:rPr>
                <w:rFonts w:cs="Times New Roman"/>
              </w:rPr>
              <w:t>0.005</w:t>
            </w:r>
          </w:p>
        </w:tc>
        <w:tc>
          <w:tcPr>
            <w:tcW w:w="927" w:type="pct"/>
            <w:tcBorders>
              <w:top w:val="single" w:color="auto" w:sz="4" w:space="0"/>
              <w:left w:val="single" w:color="auto" w:sz="4" w:space="0"/>
              <w:bottom w:val="single" w:color="auto" w:sz="4" w:space="0"/>
              <w:right w:val="single" w:color="auto" w:sz="4" w:space="0"/>
            </w:tcBorders>
            <w:vAlign w:val="center"/>
          </w:tcPr>
          <w:p w14:paraId="7E16967D">
            <w:pPr>
              <w:pStyle w:val="78"/>
              <w:rPr>
                <w:rFonts w:cs="Times New Roman"/>
              </w:rPr>
            </w:pPr>
            <w:r>
              <w:rPr>
                <w:rFonts w:cs="Times New Roman"/>
              </w:rPr>
              <w:t>0.005</w:t>
            </w:r>
          </w:p>
        </w:tc>
        <w:tc>
          <w:tcPr>
            <w:tcW w:w="962" w:type="pct"/>
            <w:tcBorders>
              <w:top w:val="single" w:color="auto" w:sz="4" w:space="0"/>
              <w:left w:val="single" w:color="auto" w:sz="4" w:space="0"/>
              <w:bottom w:val="single" w:color="auto" w:sz="4" w:space="0"/>
              <w:right w:val="single" w:color="auto" w:sz="4" w:space="0"/>
            </w:tcBorders>
            <w:vAlign w:val="center"/>
          </w:tcPr>
          <w:p w14:paraId="43983F3B">
            <w:pPr>
              <w:pStyle w:val="78"/>
              <w:rPr>
                <w:rFonts w:cs="Times New Roman"/>
              </w:rPr>
            </w:pPr>
            <w:r>
              <w:rPr>
                <w:rFonts w:cs="Times New Roman"/>
              </w:rPr>
              <w:t>0.005</w:t>
            </w:r>
          </w:p>
        </w:tc>
        <w:tc>
          <w:tcPr>
            <w:tcW w:w="929" w:type="pct"/>
            <w:tcBorders>
              <w:top w:val="single" w:color="auto" w:sz="4" w:space="0"/>
              <w:left w:val="single" w:color="auto" w:sz="4" w:space="0"/>
              <w:bottom w:val="single" w:color="auto" w:sz="4" w:space="0"/>
              <w:right w:val="single" w:color="auto" w:sz="4" w:space="0"/>
            </w:tcBorders>
            <w:vAlign w:val="center"/>
          </w:tcPr>
          <w:p w14:paraId="42BEA428">
            <w:pPr>
              <w:pStyle w:val="78"/>
              <w:rPr>
                <w:rFonts w:cs="Times New Roman"/>
              </w:rPr>
            </w:pPr>
            <w:r>
              <w:rPr>
                <w:rFonts w:cs="Times New Roman"/>
              </w:rPr>
              <w:t>0.005</w:t>
            </w:r>
          </w:p>
        </w:tc>
      </w:tr>
      <w:tr w14:paraId="40A13BF4">
        <w:tblPrEx>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17856A8">
            <w:pPr>
              <w:textAlignment w:val="center"/>
              <w:rPr>
                <w:rFonts w:ascii="Times New Roman" w:hAnsi="Times New Roman" w:cs="Times New Roman"/>
                <w:sz w:val="21"/>
                <w:szCs w:val="21"/>
              </w:rPr>
            </w:pPr>
            <w:r>
              <w:rPr>
                <w:rFonts w:ascii="Times New Roman" w:hAnsi="Times New Roman" w:cs="Times New Roman"/>
                <w:sz w:val="21"/>
                <w:szCs w:val="21"/>
                <w:lang w:bidi="ar"/>
              </w:rPr>
              <w:t>注：未检出的按检出限一半计。</w:t>
            </w:r>
          </w:p>
        </w:tc>
      </w:tr>
      <w:bookmarkEnd w:id="50"/>
    </w:tbl>
    <w:p w14:paraId="0485E014">
      <w:pPr>
        <w:pStyle w:val="79"/>
        <w:ind w:firstLine="361"/>
      </w:pPr>
    </w:p>
    <w:p w14:paraId="1EF209FA">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10</w:t>
      </w:r>
      <w:r>
        <w:rPr>
          <w:rFonts w:cs="Times New Roman"/>
          <w:color w:val="auto"/>
        </w:rPr>
        <w:fldChar w:fldCharType="end"/>
      </w:r>
      <w:r>
        <w:rPr>
          <w:rFonts w:cs="Times New Roman"/>
          <w:color w:val="auto"/>
        </w:rPr>
        <w:t xml:space="preserve">  地下水环境质量</w:t>
      </w:r>
      <w:r>
        <w:rPr>
          <w:rFonts w:cs="Times New Roman"/>
          <w:color w:val="auto"/>
          <w:szCs w:val="21"/>
        </w:rPr>
        <w:t>引用监测数据</w:t>
      </w:r>
      <w:r>
        <w:rPr>
          <w:rFonts w:cs="Times New Roman"/>
          <w:bCs/>
          <w:iCs w:val="0"/>
          <w:color w:val="auto"/>
          <w:szCs w:val="21"/>
          <w:lang w:bidi="ar"/>
        </w:rPr>
        <w:t>标准指数计算结果</w:t>
      </w:r>
      <w:r>
        <w:rPr>
          <w:rFonts w:cs="Times New Roman"/>
          <w:color w:val="auto"/>
          <w:szCs w:val="21"/>
        </w:rPr>
        <w:t>一览表（GW6-GW8）</w:t>
      </w:r>
    </w:p>
    <w:tbl>
      <w:tblPr>
        <w:tblStyle w:val="41"/>
        <w:tblW w:w="5000" w:type="pct"/>
        <w:jc w:val="center"/>
        <w:tblLayout w:type="autofit"/>
        <w:tblCellMar>
          <w:top w:w="0" w:type="dxa"/>
          <w:left w:w="108" w:type="dxa"/>
          <w:bottom w:w="0" w:type="dxa"/>
          <w:right w:w="108" w:type="dxa"/>
        </w:tblCellMar>
      </w:tblPr>
      <w:tblGrid>
        <w:gridCol w:w="2727"/>
        <w:gridCol w:w="1997"/>
        <w:gridCol w:w="1997"/>
        <w:gridCol w:w="1999"/>
      </w:tblGrid>
      <w:tr w14:paraId="68456196">
        <w:tblPrEx>
          <w:tblCellMar>
            <w:top w:w="0" w:type="dxa"/>
            <w:left w:w="108" w:type="dxa"/>
            <w:bottom w:w="0" w:type="dxa"/>
            <w:right w:w="108" w:type="dxa"/>
          </w:tblCellMar>
        </w:tblPrEx>
        <w:trPr>
          <w:trHeight w:val="340" w:hRule="atLeast"/>
          <w:tblHeader/>
          <w:jc w:val="center"/>
        </w:trPr>
        <w:tc>
          <w:tcPr>
            <w:tcW w:w="1564" w:type="pct"/>
            <w:vMerge w:val="restart"/>
            <w:tcBorders>
              <w:top w:val="single" w:color="auto" w:sz="4" w:space="0"/>
              <w:left w:val="single" w:color="auto" w:sz="4" w:space="0"/>
              <w:bottom w:val="single" w:color="auto" w:sz="4" w:space="0"/>
              <w:right w:val="single" w:color="auto" w:sz="4" w:space="0"/>
            </w:tcBorders>
            <w:vAlign w:val="center"/>
          </w:tcPr>
          <w:p w14:paraId="467583D4">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监测项目</w:t>
            </w:r>
          </w:p>
        </w:tc>
        <w:tc>
          <w:tcPr>
            <w:tcW w:w="3436" w:type="pct"/>
            <w:gridSpan w:val="3"/>
            <w:tcBorders>
              <w:top w:val="single" w:color="auto" w:sz="4" w:space="0"/>
              <w:left w:val="single" w:color="auto" w:sz="4" w:space="0"/>
              <w:bottom w:val="single" w:color="auto" w:sz="4" w:space="0"/>
              <w:right w:val="single" w:color="auto" w:sz="4" w:space="0"/>
            </w:tcBorders>
            <w:noWrap/>
            <w:vAlign w:val="center"/>
          </w:tcPr>
          <w:p w14:paraId="254F24D9">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标准指数计算结果</w:t>
            </w:r>
          </w:p>
        </w:tc>
      </w:tr>
      <w:tr w14:paraId="07B1D793">
        <w:tblPrEx>
          <w:tblCellMar>
            <w:top w:w="0" w:type="dxa"/>
            <w:left w:w="108" w:type="dxa"/>
            <w:bottom w:w="0" w:type="dxa"/>
            <w:right w:w="108" w:type="dxa"/>
          </w:tblCellMar>
        </w:tblPrEx>
        <w:trPr>
          <w:trHeight w:val="340" w:hRule="atLeast"/>
          <w:tblHeader/>
          <w:jc w:val="center"/>
        </w:trPr>
        <w:tc>
          <w:tcPr>
            <w:tcW w:w="1564" w:type="pct"/>
            <w:vMerge w:val="continue"/>
            <w:tcBorders>
              <w:top w:val="single" w:color="auto" w:sz="4" w:space="0"/>
              <w:left w:val="single" w:color="auto" w:sz="4" w:space="0"/>
              <w:bottom w:val="single" w:color="auto" w:sz="4" w:space="0"/>
              <w:right w:val="single" w:color="auto" w:sz="4" w:space="0"/>
            </w:tcBorders>
            <w:vAlign w:val="center"/>
          </w:tcPr>
          <w:p w14:paraId="48BD9FA4">
            <w:pPr>
              <w:rPr>
                <w:rFonts w:ascii="Times New Roman" w:hAnsi="Times New Roman" w:cs="Times New Roman"/>
                <w:b/>
                <w:bCs/>
                <w:sz w:val="21"/>
                <w:szCs w:val="21"/>
              </w:rPr>
            </w:pPr>
          </w:p>
        </w:tc>
        <w:tc>
          <w:tcPr>
            <w:tcW w:w="1145" w:type="pct"/>
            <w:tcBorders>
              <w:top w:val="single" w:color="auto" w:sz="4" w:space="0"/>
              <w:left w:val="single" w:color="auto" w:sz="4" w:space="0"/>
              <w:bottom w:val="single" w:color="auto" w:sz="4" w:space="0"/>
              <w:right w:val="single" w:color="auto" w:sz="4" w:space="0"/>
            </w:tcBorders>
            <w:vAlign w:val="center"/>
          </w:tcPr>
          <w:p w14:paraId="2DA242DA">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GW6</w:t>
            </w:r>
          </w:p>
        </w:tc>
        <w:tc>
          <w:tcPr>
            <w:tcW w:w="1145" w:type="pct"/>
            <w:tcBorders>
              <w:top w:val="single" w:color="auto" w:sz="4" w:space="0"/>
              <w:left w:val="single" w:color="auto" w:sz="4" w:space="0"/>
              <w:bottom w:val="single" w:color="auto" w:sz="4" w:space="0"/>
              <w:right w:val="single" w:color="auto" w:sz="4" w:space="0"/>
            </w:tcBorders>
            <w:vAlign w:val="center"/>
          </w:tcPr>
          <w:p w14:paraId="44EB6ABB">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GW7</w:t>
            </w:r>
          </w:p>
        </w:tc>
        <w:tc>
          <w:tcPr>
            <w:tcW w:w="1146" w:type="pct"/>
            <w:tcBorders>
              <w:top w:val="single" w:color="auto" w:sz="4" w:space="0"/>
              <w:left w:val="single" w:color="auto" w:sz="4" w:space="0"/>
              <w:bottom w:val="single" w:color="auto" w:sz="4" w:space="0"/>
              <w:right w:val="single" w:color="auto" w:sz="4" w:space="0"/>
            </w:tcBorders>
            <w:vAlign w:val="center"/>
          </w:tcPr>
          <w:p w14:paraId="166A50FE">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GW8</w:t>
            </w:r>
          </w:p>
        </w:tc>
      </w:tr>
      <w:tr w14:paraId="2D5D51FC">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vAlign w:val="center"/>
          </w:tcPr>
          <w:p w14:paraId="4CA7D7D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pH值</w:t>
            </w:r>
          </w:p>
        </w:tc>
        <w:tc>
          <w:tcPr>
            <w:tcW w:w="1145" w:type="pct"/>
            <w:tcBorders>
              <w:top w:val="single" w:color="auto" w:sz="4" w:space="0"/>
              <w:left w:val="single" w:color="auto" w:sz="4" w:space="0"/>
              <w:bottom w:val="single" w:color="auto" w:sz="4" w:space="0"/>
              <w:right w:val="single" w:color="auto" w:sz="4" w:space="0"/>
            </w:tcBorders>
            <w:noWrap/>
            <w:vAlign w:val="center"/>
          </w:tcPr>
          <w:p w14:paraId="5E0FA70C">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0.33</w:t>
            </w:r>
          </w:p>
        </w:tc>
        <w:tc>
          <w:tcPr>
            <w:tcW w:w="1145" w:type="pct"/>
            <w:tcBorders>
              <w:top w:val="single" w:color="auto" w:sz="4" w:space="0"/>
              <w:left w:val="single" w:color="auto" w:sz="4" w:space="0"/>
              <w:bottom w:val="single" w:color="auto" w:sz="4" w:space="0"/>
              <w:right w:val="single" w:color="auto" w:sz="4" w:space="0"/>
            </w:tcBorders>
            <w:noWrap/>
            <w:vAlign w:val="center"/>
          </w:tcPr>
          <w:p w14:paraId="198858B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0.27</w:t>
            </w:r>
          </w:p>
        </w:tc>
        <w:tc>
          <w:tcPr>
            <w:tcW w:w="1146" w:type="pct"/>
            <w:tcBorders>
              <w:top w:val="single" w:color="auto" w:sz="4" w:space="0"/>
              <w:left w:val="single" w:color="auto" w:sz="4" w:space="0"/>
              <w:bottom w:val="single" w:color="auto" w:sz="4" w:space="0"/>
              <w:right w:val="single" w:color="auto" w:sz="4" w:space="0"/>
            </w:tcBorders>
            <w:noWrap/>
            <w:vAlign w:val="center"/>
          </w:tcPr>
          <w:p w14:paraId="1EBF564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0.6</w:t>
            </w:r>
          </w:p>
        </w:tc>
      </w:tr>
      <w:tr w14:paraId="081669AA">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701EFDD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总硬度</w:t>
            </w:r>
          </w:p>
        </w:tc>
        <w:tc>
          <w:tcPr>
            <w:tcW w:w="1145" w:type="pct"/>
            <w:tcBorders>
              <w:top w:val="single" w:color="auto" w:sz="4" w:space="0"/>
              <w:left w:val="single" w:color="auto" w:sz="4" w:space="0"/>
              <w:bottom w:val="single" w:color="auto" w:sz="4" w:space="0"/>
              <w:right w:val="single" w:color="auto" w:sz="4" w:space="0"/>
            </w:tcBorders>
            <w:noWrap/>
            <w:vAlign w:val="center"/>
          </w:tcPr>
          <w:p w14:paraId="6FFE3F3B">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0.22</w:t>
            </w:r>
          </w:p>
        </w:tc>
        <w:tc>
          <w:tcPr>
            <w:tcW w:w="1145" w:type="pct"/>
            <w:tcBorders>
              <w:top w:val="single" w:color="auto" w:sz="4" w:space="0"/>
              <w:left w:val="single" w:color="auto" w:sz="4" w:space="0"/>
              <w:bottom w:val="single" w:color="auto" w:sz="4" w:space="0"/>
              <w:right w:val="single" w:color="auto" w:sz="4" w:space="0"/>
            </w:tcBorders>
            <w:noWrap/>
            <w:vAlign w:val="center"/>
          </w:tcPr>
          <w:p w14:paraId="07CCB7F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0.13</w:t>
            </w:r>
          </w:p>
        </w:tc>
        <w:tc>
          <w:tcPr>
            <w:tcW w:w="1146" w:type="pct"/>
            <w:tcBorders>
              <w:top w:val="single" w:color="auto" w:sz="4" w:space="0"/>
              <w:left w:val="single" w:color="auto" w:sz="4" w:space="0"/>
              <w:bottom w:val="single" w:color="auto" w:sz="4" w:space="0"/>
              <w:right w:val="single" w:color="auto" w:sz="4" w:space="0"/>
            </w:tcBorders>
            <w:noWrap/>
            <w:vAlign w:val="center"/>
          </w:tcPr>
          <w:p w14:paraId="53B9559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0.12</w:t>
            </w:r>
          </w:p>
        </w:tc>
      </w:tr>
      <w:tr w14:paraId="04B438B4">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5EE05B6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溶解性总固体</w:t>
            </w:r>
          </w:p>
        </w:tc>
        <w:tc>
          <w:tcPr>
            <w:tcW w:w="1145" w:type="pct"/>
            <w:tcBorders>
              <w:top w:val="single" w:color="auto" w:sz="4" w:space="0"/>
              <w:left w:val="single" w:color="auto" w:sz="4" w:space="0"/>
              <w:bottom w:val="single" w:color="auto" w:sz="4" w:space="0"/>
              <w:right w:val="single" w:color="auto" w:sz="4" w:space="0"/>
            </w:tcBorders>
            <w:noWrap/>
            <w:vAlign w:val="center"/>
          </w:tcPr>
          <w:p w14:paraId="601E49B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0.17</w:t>
            </w:r>
          </w:p>
        </w:tc>
        <w:tc>
          <w:tcPr>
            <w:tcW w:w="1145" w:type="pct"/>
            <w:tcBorders>
              <w:top w:val="single" w:color="auto" w:sz="4" w:space="0"/>
              <w:left w:val="single" w:color="auto" w:sz="4" w:space="0"/>
              <w:bottom w:val="single" w:color="auto" w:sz="4" w:space="0"/>
              <w:right w:val="single" w:color="auto" w:sz="4" w:space="0"/>
            </w:tcBorders>
            <w:noWrap/>
            <w:vAlign w:val="center"/>
          </w:tcPr>
          <w:p w14:paraId="04FDE0A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0.11</w:t>
            </w:r>
          </w:p>
        </w:tc>
        <w:tc>
          <w:tcPr>
            <w:tcW w:w="1146" w:type="pct"/>
            <w:tcBorders>
              <w:top w:val="single" w:color="auto" w:sz="4" w:space="0"/>
              <w:left w:val="single" w:color="auto" w:sz="4" w:space="0"/>
              <w:bottom w:val="single" w:color="auto" w:sz="4" w:space="0"/>
              <w:right w:val="single" w:color="auto" w:sz="4" w:space="0"/>
            </w:tcBorders>
            <w:noWrap/>
            <w:vAlign w:val="center"/>
          </w:tcPr>
          <w:p w14:paraId="1A9FEF83">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0.09</w:t>
            </w:r>
          </w:p>
        </w:tc>
      </w:tr>
      <w:tr w14:paraId="5ACD8DF9">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10F0092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耗氧量</w:t>
            </w:r>
          </w:p>
        </w:tc>
        <w:tc>
          <w:tcPr>
            <w:tcW w:w="1145" w:type="pct"/>
            <w:tcBorders>
              <w:top w:val="single" w:color="auto" w:sz="4" w:space="0"/>
              <w:left w:val="single" w:color="auto" w:sz="4" w:space="0"/>
              <w:bottom w:val="single" w:color="auto" w:sz="4" w:space="0"/>
              <w:right w:val="single" w:color="auto" w:sz="4" w:space="0"/>
            </w:tcBorders>
            <w:noWrap/>
            <w:vAlign w:val="center"/>
          </w:tcPr>
          <w:p w14:paraId="639B62F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0.4</w:t>
            </w:r>
          </w:p>
        </w:tc>
        <w:tc>
          <w:tcPr>
            <w:tcW w:w="1145" w:type="pct"/>
            <w:tcBorders>
              <w:top w:val="single" w:color="auto" w:sz="4" w:space="0"/>
              <w:left w:val="single" w:color="auto" w:sz="4" w:space="0"/>
              <w:bottom w:val="single" w:color="auto" w:sz="4" w:space="0"/>
              <w:right w:val="single" w:color="auto" w:sz="4" w:space="0"/>
            </w:tcBorders>
            <w:noWrap/>
            <w:vAlign w:val="center"/>
          </w:tcPr>
          <w:p w14:paraId="5B2FD8F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0.53</w:t>
            </w:r>
          </w:p>
        </w:tc>
        <w:tc>
          <w:tcPr>
            <w:tcW w:w="1146" w:type="pct"/>
            <w:tcBorders>
              <w:top w:val="single" w:color="auto" w:sz="4" w:space="0"/>
              <w:left w:val="single" w:color="auto" w:sz="4" w:space="0"/>
              <w:bottom w:val="single" w:color="auto" w:sz="4" w:space="0"/>
              <w:right w:val="single" w:color="auto" w:sz="4" w:space="0"/>
            </w:tcBorders>
            <w:noWrap/>
            <w:vAlign w:val="center"/>
          </w:tcPr>
          <w:p w14:paraId="55A29F7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w:t>
            </w:r>
          </w:p>
        </w:tc>
      </w:tr>
      <w:tr w14:paraId="3C2F0C2D">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1ACC643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氨氮</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2E2CAABB">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1.23</w:t>
            </w:r>
          </w:p>
        </w:tc>
        <w:tc>
          <w:tcPr>
            <w:tcW w:w="1145" w:type="pct"/>
            <w:tcBorders>
              <w:top w:val="single" w:color="auto" w:sz="4" w:space="0"/>
              <w:left w:val="single" w:color="auto" w:sz="4" w:space="0"/>
              <w:bottom w:val="single" w:color="auto" w:sz="4" w:space="0"/>
              <w:right w:val="single" w:color="auto" w:sz="4" w:space="0"/>
            </w:tcBorders>
            <w:noWrap/>
            <w:vAlign w:val="center"/>
          </w:tcPr>
          <w:p w14:paraId="029E963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0.03</w:t>
            </w:r>
          </w:p>
        </w:tc>
        <w:tc>
          <w:tcPr>
            <w:tcW w:w="1146" w:type="pct"/>
            <w:tcBorders>
              <w:top w:val="single" w:color="auto" w:sz="4" w:space="0"/>
              <w:left w:val="single" w:color="auto" w:sz="4" w:space="0"/>
              <w:bottom w:val="single" w:color="auto" w:sz="4" w:space="0"/>
              <w:right w:val="single" w:color="auto" w:sz="4" w:space="0"/>
            </w:tcBorders>
            <w:noWrap/>
            <w:vAlign w:val="center"/>
          </w:tcPr>
          <w:p w14:paraId="18F64E8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w:t>
            </w:r>
          </w:p>
        </w:tc>
      </w:tr>
      <w:tr w14:paraId="6953CCC5">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73F2EC3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挥发酚</w:t>
            </w:r>
          </w:p>
        </w:tc>
        <w:tc>
          <w:tcPr>
            <w:tcW w:w="1145" w:type="pct"/>
            <w:tcBorders>
              <w:top w:val="single" w:color="auto" w:sz="4" w:space="0"/>
              <w:left w:val="single" w:color="auto" w:sz="4" w:space="0"/>
              <w:bottom w:val="single" w:color="auto" w:sz="4" w:space="0"/>
              <w:right w:val="single" w:color="auto" w:sz="4" w:space="0"/>
            </w:tcBorders>
            <w:noWrap/>
            <w:vAlign w:val="center"/>
          </w:tcPr>
          <w:p w14:paraId="495DF4D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0.08</w:t>
            </w:r>
          </w:p>
        </w:tc>
        <w:tc>
          <w:tcPr>
            <w:tcW w:w="1145" w:type="pct"/>
            <w:tcBorders>
              <w:top w:val="single" w:color="auto" w:sz="4" w:space="0"/>
              <w:left w:val="single" w:color="auto" w:sz="4" w:space="0"/>
              <w:bottom w:val="single" w:color="auto" w:sz="4" w:space="0"/>
              <w:right w:val="single" w:color="auto" w:sz="4" w:space="0"/>
            </w:tcBorders>
            <w:noWrap/>
            <w:vAlign w:val="center"/>
          </w:tcPr>
          <w:p w14:paraId="3485DE2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0.08</w:t>
            </w:r>
          </w:p>
        </w:tc>
        <w:tc>
          <w:tcPr>
            <w:tcW w:w="1146" w:type="pct"/>
            <w:tcBorders>
              <w:top w:val="single" w:color="auto" w:sz="4" w:space="0"/>
              <w:left w:val="single" w:color="auto" w:sz="4" w:space="0"/>
              <w:bottom w:val="single" w:color="auto" w:sz="4" w:space="0"/>
              <w:right w:val="single" w:color="auto" w:sz="4" w:space="0"/>
            </w:tcBorders>
            <w:noWrap/>
            <w:vAlign w:val="center"/>
          </w:tcPr>
          <w:p w14:paraId="0EA84B0C">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0.08</w:t>
            </w:r>
          </w:p>
        </w:tc>
      </w:tr>
      <w:tr w14:paraId="05C965B9">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4EE3915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氯化物</w:t>
            </w:r>
          </w:p>
        </w:tc>
        <w:tc>
          <w:tcPr>
            <w:tcW w:w="1145" w:type="pct"/>
            <w:tcBorders>
              <w:top w:val="single" w:color="auto" w:sz="4" w:space="0"/>
              <w:left w:val="single" w:color="auto" w:sz="4" w:space="0"/>
              <w:bottom w:val="single" w:color="auto" w:sz="4" w:space="0"/>
              <w:right w:val="single" w:color="auto" w:sz="4" w:space="0"/>
            </w:tcBorders>
            <w:noWrap/>
            <w:vAlign w:val="center"/>
          </w:tcPr>
          <w:p w14:paraId="0B4C509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0.04</w:t>
            </w:r>
          </w:p>
        </w:tc>
        <w:tc>
          <w:tcPr>
            <w:tcW w:w="1145" w:type="pct"/>
            <w:tcBorders>
              <w:top w:val="single" w:color="auto" w:sz="4" w:space="0"/>
              <w:left w:val="single" w:color="auto" w:sz="4" w:space="0"/>
              <w:bottom w:val="single" w:color="auto" w:sz="4" w:space="0"/>
              <w:right w:val="single" w:color="auto" w:sz="4" w:space="0"/>
            </w:tcBorders>
            <w:noWrap/>
            <w:vAlign w:val="center"/>
          </w:tcPr>
          <w:p w14:paraId="09BB6B7F">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7617B00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52805DC0">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1A5027E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氰化物</w:t>
            </w:r>
          </w:p>
        </w:tc>
        <w:tc>
          <w:tcPr>
            <w:tcW w:w="1145" w:type="pct"/>
            <w:tcBorders>
              <w:top w:val="single" w:color="auto" w:sz="4" w:space="0"/>
              <w:left w:val="single" w:color="auto" w:sz="4" w:space="0"/>
              <w:bottom w:val="single" w:color="auto" w:sz="4" w:space="0"/>
              <w:right w:val="single" w:color="auto" w:sz="4" w:space="0"/>
            </w:tcBorders>
            <w:noWrap/>
            <w:vAlign w:val="center"/>
          </w:tcPr>
          <w:p w14:paraId="101682A9">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4A9F4F68">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5CB62398">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26665BDC">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21997F4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氟化物</w:t>
            </w:r>
          </w:p>
        </w:tc>
        <w:tc>
          <w:tcPr>
            <w:tcW w:w="1145" w:type="pct"/>
            <w:tcBorders>
              <w:top w:val="single" w:color="auto" w:sz="4" w:space="0"/>
              <w:left w:val="single" w:color="auto" w:sz="4" w:space="0"/>
              <w:bottom w:val="single" w:color="auto" w:sz="4" w:space="0"/>
              <w:right w:val="single" w:color="auto" w:sz="4" w:space="0"/>
            </w:tcBorders>
            <w:noWrap/>
            <w:vAlign w:val="center"/>
          </w:tcPr>
          <w:p w14:paraId="18B53358">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0.14</w:t>
            </w:r>
          </w:p>
        </w:tc>
        <w:tc>
          <w:tcPr>
            <w:tcW w:w="1145" w:type="pct"/>
            <w:tcBorders>
              <w:top w:val="single" w:color="auto" w:sz="4" w:space="0"/>
              <w:left w:val="single" w:color="auto" w:sz="4" w:space="0"/>
              <w:bottom w:val="single" w:color="auto" w:sz="4" w:space="0"/>
              <w:right w:val="single" w:color="auto" w:sz="4" w:space="0"/>
            </w:tcBorders>
            <w:noWrap/>
            <w:vAlign w:val="center"/>
          </w:tcPr>
          <w:p w14:paraId="7A7F7B4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0.06</w:t>
            </w:r>
          </w:p>
        </w:tc>
        <w:tc>
          <w:tcPr>
            <w:tcW w:w="1146" w:type="pct"/>
            <w:tcBorders>
              <w:top w:val="single" w:color="auto" w:sz="4" w:space="0"/>
              <w:left w:val="single" w:color="auto" w:sz="4" w:space="0"/>
              <w:bottom w:val="single" w:color="auto" w:sz="4" w:space="0"/>
              <w:right w:val="single" w:color="auto" w:sz="4" w:space="0"/>
            </w:tcBorders>
            <w:noWrap/>
            <w:vAlign w:val="center"/>
          </w:tcPr>
          <w:p w14:paraId="07AA2BF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0.06</w:t>
            </w:r>
          </w:p>
        </w:tc>
      </w:tr>
      <w:tr w14:paraId="746A555C">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3FDEBD5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硫酸盐</w:t>
            </w:r>
          </w:p>
        </w:tc>
        <w:tc>
          <w:tcPr>
            <w:tcW w:w="1145" w:type="pct"/>
            <w:tcBorders>
              <w:top w:val="single" w:color="auto" w:sz="4" w:space="0"/>
              <w:left w:val="single" w:color="auto" w:sz="4" w:space="0"/>
              <w:bottom w:val="single" w:color="auto" w:sz="4" w:space="0"/>
              <w:right w:val="single" w:color="auto" w:sz="4" w:space="0"/>
            </w:tcBorders>
            <w:noWrap/>
            <w:vAlign w:val="center"/>
          </w:tcPr>
          <w:p w14:paraId="5F11C7A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482656B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0.05</w:t>
            </w:r>
          </w:p>
        </w:tc>
        <w:tc>
          <w:tcPr>
            <w:tcW w:w="1146" w:type="pct"/>
            <w:tcBorders>
              <w:top w:val="single" w:color="auto" w:sz="4" w:space="0"/>
              <w:left w:val="single" w:color="auto" w:sz="4" w:space="0"/>
              <w:bottom w:val="single" w:color="auto" w:sz="4" w:space="0"/>
              <w:right w:val="single" w:color="auto" w:sz="4" w:space="0"/>
            </w:tcBorders>
            <w:noWrap/>
            <w:vAlign w:val="center"/>
          </w:tcPr>
          <w:p w14:paraId="01D8C78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r w14:paraId="0C6E3D46">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2E599EC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硝酸盐氮</w:t>
            </w:r>
          </w:p>
        </w:tc>
        <w:tc>
          <w:tcPr>
            <w:tcW w:w="1145" w:type="pct"/>
            <w:tcBorders>
              <w:top w:val="single" w:color="auto" w:sz="4" w:space="0"/>
              <w:left w:val="single" w:color="auto" w:sz="4" w:space="0"/>
              <w:bottom w:val="single" w:color="auto" w:sz="4" w:space="0"/>
              <w:right w:val="single" w:color="auto" w:sz="4" w:space="0"/>
            </w:tcBorders>
            <w:noWrap/>
            <w:vAlign w:val="center"/>
          </w:tcPr>
          <w:p w14:paraId="3F2D793C">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4E90C21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22720D2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r>
      <w:tr w14:paraId="6C61D966">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7C31663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亚硝酸盐氮</w:t>
            </w:r>
          </w:p>
        </w:tc>
        <w:tc>
          <w:tcPr>
            <w:tcW w:w="1145" w:type="pct"/>
            <w:tcBorders>
              <w:top w:val="single" w:color="auto" w:sz="4" w:space="0"/>
              <w:left w:val="single" w:color="auto" w:sz="4" w:space="0"/>
              <w:bottom w:val="single" w:color="auto" w:sz="4" w:space="0"/>
              <w:right w:val="single" w:color="auto" w:sz="4" w:space="0"/>
            </w:tcBorders>
            <w:noWrap/>
            <w:vAlign w:val="center"/>
          </w:tcPr>
          <w:p w14:paraId="0E2A55BF">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0928424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68825E2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0.002</w:t>
            </w:r>
          </w:p>
        </w:tc>
      </w:tr>
      <w:tr w14:paraId="23371EFC">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00DE0DD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总大肠菌群</w:t>
            </w:r>
          </w:p>
        </w:tc>
        <w:tc>
          <w:tcPr>
            <w:tcW w:w="1145" w:type="pct"/>
            <w:tcBorders>
              <w:top w:val="single" w:color="auto" w:sz="4" w:space="0"/>
              <w:left w:val="single" w:color="auto" w:sz="4" w:space="0"/>
              <w:bottom w:val="single" w:color="auto" w:sz="4" w:space="0"/>
              <w:right w:val="single" w:color="auto" w:sz="4" w:space="0"/>
            </w:tcBorders>
            <w:noWrap/>
            <w:vAlign w:val="center"/>
          </w:tcPr>
          <w:p w14:paraId="61C617F8">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079272A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163.3</w:t>
            </w:r>
          </w:p>
        </w:tc>
        <w:tc>
          <w:tcPr>
            <w:tcW w:w="1146"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1844D1F3">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13.3</w:t>
            </w:r>
          </w:p>
        </w:tc>
      </w:tr>
      <w:tr w14:paraId="0F3F366C">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14AC7CDF">
            <w:pPr>
              <w:jc w:val="center"/>
              <w:textAlignment w:val="center"/>
              <w:rPr>
                <w:rFonts w:ascii="Times New Roman" w:hAnsi="Times New Roman" w:cs="Times New Roman"/>
                <w:sz w:val="21"/>
                <w:szCs w:val="21"/>
                <w:lang w:bidi="ar"/>
              </w:rPr>
            </w:pPr>
            <w:r>
              <w:rPr>
                <w:rFonts w:ascii="Times New Roman" w:hAnsi="Times New Roman" w:cs="Times New Roman"/>
                <w:sz w:val="21"/>
                <w:szCs w:val="21"/>
                <w:lang w:bidi="ar"/>
              </w:rPr>
              <w:t>细菌总数</w:t>
            </w:r>
          </w:p>
        </w:tc>
        <w:tc>
          <w:tcPr>
            <w:tcW w:w="1145" w:type="pct"/>
            <w:tcBorders>
              <w:top w:val="single" w:color="auto" w:sz="4" w:space="0"/>
              <w:left w:val="single" w:color="auto" w:sz="4" w:space="0"/>
              <w:bottom w:val="single" w:color="auto" w:sz="4" w:space="0"/>
              <w:right w:val="single" w:color="auto" w:sz="4" w:space="0"/>
            </w:tcBorders>
            <w:shd w:val="clear" w:color="auto" w:fill="BEBEBE" w:themeFill="background1" w:themeFillShade="BF"/>
            <w:noWrap/>
            <w:vAlign w:val="center"/>
          </w:tcPr>
          <w:p w14:paraId="383F29E4">
            <w:pPr>
              <w:jc w:val="center"/>
              <w:textAlignment w:val="center"/>
              <w:rPr>
                <w:rFonts w:ascii="Times New Roman" w:hAnsi="Times New Roman" w:cs="Times New Roman"/>
                <w:sz w:val="22"/>
                <w:szCs w:val="22"/>
                <w:lang w:bidi="ar"/>
              </w:rPr>
            </w:pPr>
            <w:r>
              <w:rPr>
                <w:rFonts w:ascii="Times New Roman" w:hAnsi="Times New Roman" w:cs="Times New Roman"/>
                <w:sz w:val="22"/>
                <w:szCs w:val="22"/>
                <w:lang w:bidi="ar"/>
              </w:rPr>
              <w:t>1.1</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6A36D01D">
            <w:pPr>
              <w:jc w:val="center"/>
              <w:textAlignment w:val="center"/>
              <w:rPr>
                <w:rFonts w:ascii="Times New Roman" w:hAnsi="Times New Roman" w:cs="Times New Roman"/>
                <w:sz w:val="22"/>
                <w:szCs w:val="22"/>
                <w:lang w:bidi="ar"/>
              </w:rPr>
            </w:pPr>
            <w:r>
              <w:rPr>
                <w:rFonts w:ascii="Times New Roman" w:hAnsi="Times New Roman" w:cs="Times New Roman"/>
                <w:sz w:val="22"/>
                <w:szCs w:val="22"/>
                <w:lang w:bidi="ar"/>
              </w:rPr>
              <w:t>13</w:t>
            </w:r>
          </w:p>
        </w:tc>
        <w:tc>
          <w:tcPr>
            <w:tcW w:w="1146"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53DAE2E4">
            <w:pPr>
              <w:jc w:val="center"/>
              <w:textAlignment w:val="center"/>
              <w:rPr>
                <w:rFonts w:ascii="Times New Roman" w:hAnsi="Times New Roman" w:cs="Times New Roman"/>
                <w:sz w:val="22"/>
                <w:szCs w:val="22"/>
                <w:lang w:bidi="ar"/>
              </w:rPr>
            </w:pPr>
            <w:r>
              <w:rPr>
                <w:rFonts w:ascii="Times New Roman" w:hAnsi="Times New Roman" w:cs="Times New Roman"/>
                <w:sz w:val="22"/>
                <w:szCs w:val="22"/>
                <w:lang w:bidi="ar"/>
              </w:rPr>
              <w:t>2</w:t>
            </w:r>
          </w:p>
        </w:tc>
      </w:tr>
      <w:tr w14:paraId="3F2BC6A8">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07178EC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六价铬</w:t>
            </w:r>
          </w:p>
        </w:tc>
        <w:tc>
          <w:tcPr>
            <w:tcW w:w="1145" w:type="pct"/>
            <w:tcBorders>
              <w:top w:val="single" w:color="auto" w:sz="4" w:space="0"/>
              <w:left w:val="single" w:color="auto" w:sz="4" w:space="0"/>
              <w:bottom w:val="single" w:color="auto" w:sz="4" w:space="0"/>
              <w:right w:val="single" w:color="auto" w:sz="4" w:space="0"/>
            </w:tcBorders>
            <w:noWrap/>
            <w:vAlign w:val="center"/>
          </w:tcPr>
          <w:p w14:paraId="2DCDFF7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0.04</w:t>
            </w:r>
          </w:p>
        </w:tc>
        <w:tc>
          <w:tcPr>
            <w:tcW w:w="1145" w:type="pct"/>
            <w:tcBorders>
              <w:top w:val="single" w:color="auto" w:sz="4" w:space="0"/>
              <w:left w:val="single" w:color="auto" w:sz="4" w:space="0"/>
              <w:bottom w:val="single" w:color="auto" w:sz="4" w:space="0"/>
              <w:right w:val="single" w:color="auto" w:sz="4" w:space="0"/>
            </w:tcBorders>
            <w:noWrap/>
            <w:vAlign w:val="center"/>
          </w:tcPr>
          <w:p w14:paraId="52CEBD3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0.04</w:t>
            </w:r>
          </w:p>
        </w:tc>
        <w:tc>
          <w:tcPr>
            <w:tcW w:w="1146" w:type="pct"/>
            <w:tcBorders>
              <w:top w:val="single" w:color="auto" w:sz="4" w:space="0"/>
              <w:left w:val="single" w:color="auto" w:sz="4" w:space="0"/>
              <w:bottom w:val="single" w:color="auto" w:sz="4" w:space="0"/>
              <w:right w:val="single" w:color="auto" w:sz="4" w:space="0"/>
            </w:tcBorders>
            <w:noWrap/>
            <w:vAlign w:val="center"/>
          </w:tcPr>
          <w:p w14:paraId="603DD546">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0.04</w:t>
            </w:r>
          </w:p>
        </w:tc>
      </w:tr>
      <w:tr w14:paraId="04C066ED">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0D70E7E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汞</w:t>
            </w:r>
          </w:p>
        </w:tc>
        <w:tc>
          <w:tcPr>
            <w:tcW w:w="1145" w:type="pct"/>
            <w:tcBorders>
              <w:top w:val="single" w:color="auto" w:sz="4" w:space="0"/>
              <w:left w:val="single" w:color="auto" w:sz="4" w:space="0"/>
              <w:bottom w:val="single" w:color="auto" w:sz="4" w:space="0"/>
              <w:right w:val="single" w:color="auto" w:sz="4" w:space="0"/>
            </w:tcBorders>
            <w:noWrap/>
            <w:vAlign w:val="center"/>
          </w:tcPr>
          <w:p w14:paraId="3F7D970F">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5018E3E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65EB08E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67F62AC7">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643934A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砷</w:t>
            </w:r>
          </w:p>
        </w:tc>
        <w:tc>
          <w:tcPr>
            <w:tcW w:w="1145" w:type="pct"/>
            <w:tcBorders>
              <w:top w:val="single" w:color="auto" w:sz="4" w:space="0"/>
              <w:left w:val="single" w:color="auto" w:sz="4" w:space="0"/>
              <w:bottom w:val="single" w:color="auto" w:sz="4" w:space="0"/>
              <w:right w:val="single" w:color="auto" w:sz="4" w:space="0"/>
            </w:tcBorders>
            <w:noWrap/>
            <w:vAlign w:val="center"/>
          </w:tcPr>
          <w:p w14:paraId="01A5474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3CAD390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0.22</w:t>
            </w:r>
          </w:p>
        </w:tc>
        <w:tc>
          <w:tcPr>
            <w:tcW w:w="1146" w:type="pct"/>
            <w:tcBorders>
              <w:top w:val="single" w:color="auto" w:sz="4" w:space="0"/>
              <w:left w:val="single" w:color="auto" w:sz="4" w:space="0"/>
              <w:bottom w:val="single" w:color="auto" w:sz="4" w:space="0"/>
              <w:right w:val="single" w:color="auto" w:sz="4" w:space="0"/>
            </w:tcBorders>
            <w:noWrap/>
            <w:vAlign w:val="center"/>
          </w:tcPr>
          <w:p w14:paraId="5C70A1A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23090EB3">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69D40D7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铁</w:t>
            </w:r>
          </w:p>
        </w:tc>
        <w:tc>
          <w:tcPr>
            <w:tcW w:w="1145" w:type="pct"/>
            <w:tcBorders>
              <w:top w:val="single" w:color="auto" w:sz="4" w:space="0"/>
              <w:left w:val="single" w:color="auto" w:sz="4" w:space="0"/>
              <w:bottom w:val="single" w:color="auto" w:sz="4" w:space="0"/>
              <w:right w:val="single" w:color="auto" w:sz="4" w:space="0"/>
            </w:tcBorders>
            <w:noWrap/>
            <w:vAlign w:val="center"/>
          </w:tcPr>
          <w:p w14:paraId="0714E9F8">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0.05</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486085D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4.37</w:t>
            </w:r>
          </w:p>
        </w:tc>
        <w:tc>
          <w:tcPr>
            <w:tcW w:w="1146" w:type="pct"/>
            <w:tcBorders>
              <w:top w:val="single" w:color="auto" w:sz="4" w:space="0"/>
              <w:left w:val="single" w:color="auto" w:sz="4" w:space="0"/>
              <w:bottom w:val="single" w:color="auto" w:sz="4" w:space="0"/>
              <w:right w:val="single" w:color="auto" w:sz="4" w:space="0"/>
            </w:tcBorders>
            <w:noWrap/>
            <w:vAlign w:val="center"/>
          </w:tcPr>
          <w:p w14:paraId="39FC670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0.05</w:t>
            </w:r>
          </w:p>
        </w:tc>
      </w:tr>
      <w:tr w14:paraId="23DD69BE">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2D85A16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锰</w:t>
            </w:r>
          </w:p>
        </w:tc>
        <w:tc>
          <w:tcPr>
            <w:tcW w:w="1145" w:type="pct"/>
            <w:tcBorders>
              <w:top w:val="single" w:color="auto" w:sz="4" w:space="0"/>
              <w:left w:val="single" w:color="auto" w:sz="4" w:space="0"/>
              <w:bottom w:val="single" w:color="auto" w:sz="4" w:space="0"/>
              <w:right w:val="single" w:color="auto" w:sz="4" w:space="0"/>
            </w:tcBorders>
            <w:shd w:val="clear" w:color="auto" w:fill="AEAAAA"/>
            <w:noWrap/>
            <w:vAlign w:val="center"/>
          </w:tcPr>
          <w:p w14:paraId="7A8CAA2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12.8</w:t>
            </w:r>
          </w:p>
        </w:tc>
        <w:tc>
          <w:tcPr>
            <w:tcW w:w="1145" w:type="pct"/>
            <w:tcBorders>
              <w:top w:val="single" w:color="auto" w:sz="4" w:space="0"/>
              <w:left w:val="single" w:color="auto" w:sz="4" w:space="0"/>
              <w:bottom w:val="single" w:color="auto" w:sz="4" w:space="0"/>
              <w:right w:val="single" w:color="auto" w:sz="4" w:space="0"/>
            </w:tcBorders>
            <w:noWrap/>
            <w:vAlign w:val="center"/>
          </w:tcPr>
          <w:p w14:paraId="01678E0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0.3</w:t>
            </w:r>
          </w:p>
        </w:tc>
        <w:tc>
          <w:tcPr>
            <w:tcW w:w="1146" w:type="pc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CC16F7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1</w:t>
            </w:r>
          </w:p>
        </w:tc>
      </w:tr>
      <w:tr w14:paraId="207480EC">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002E70A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铅</w:t>
            </w:r>
          </w:p>
        </w:tc>
        <w:tc>
          <w:tcPr>
            <w:tcW w:w="1145" w:type="pct"/>
            <w:tcBorders>
              <w:top w:val="single" w:color="auto" w:sz="4" w:space="0"/>
              <w:left w:val="single" w:color="auto" w:sz="4" w:space="0"/>
              <w:bottom w:val="single" w:color="auto" w:sz="4" w:space="0"/>
              <w:right w:val="single" w:color="auto" w:sz="4" w:space="0"/>
            </w:tcBorders>
            <w:noWrap/>
            <w:vAlign w:val="center"/>
          </w:tcPr>
          <w:p w14:paraId="10A5376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2D4A1CE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0F4335D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r w14:paraId="2DB0E44B">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3082AA1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镉</w:t>
            </w:r>
          </w:p>
        </w:tc>
        <w:tc>
          <w:tcPr>
            <w:tcW w:w="1145" w:type="pct"/>
            <w:tcBorders>
              <w:top w:val="single" w:color="auto" w:sz="4" w:space="0"/>
              <w:left w:val="single" w:color="auto" w:sz="4" w:space="0"/>
              <w:bottom w:val="single" w:color="auto" w:sz="4" w:space="0"/>
              <w:right w:val="single" w:color="auto" w:sz="4" w:space="0"/>
            </w:tcBorders>
            <w:noWrap/>
            <w:vAlign w:val="center"/>
          </w:tcPr>
          <w:p w14:paraId="1FC3EB5B">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3A28C1F9">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6" w:type="pct"/>
            <w:tcBorders>
              <w:top w:val="single" w:color="auto" w:sz="4" w:space="0"/>
              <w:left w:val="single" w:color="auto" w:sz="4" w:space="0"/>
              <w:bottom w:val="single" w:color="auto" w:sz="4" w:space="0"/>
              <w:right w:val="single" w:color="auto" w:sz="4" w:space="0"/>
            </w:tcBorders>
            <w:noWrap/>
            <w:vAlign w:val="center"/>
          </w:tcPr>
          <w:p w14:paraId="48A644F9">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r w14:paraId="7F3CE3C4">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7632D0E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镍</w:t>
            </w:r>
          </w:p>
        </w:tc>
        <w:tc>
          <w:tcPr>
            <w:tcW w:w="1145" w:type="pct"/>
            <w:tcBorders>
              <w:top w:val="single" w:color="auto" w:sz="4" w:space="0"/>
              <w:left w:val="single" w:color="auto" w:sz="4" w:space="0"/>
              <w:bottom w:val="single" w:color="auto" w:sz="4" w:space="0"/>
              <w:right w:val="single" w:color="auto" w:sz="4" w:space="0"/>
            </w:tcBorders>
            <w:noWrap/>
            <w:vAlign w:val="center"/>
          </w:tcPr>
          <w:p w14:paraId="168649C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0.46</w:t>
            </w:r>
          </w:p>
        </w:tc>
        <w:tc>
          <w:tcPr>
            <w:tcW w:w="1145" w:type="pct"/>
            <w:tcBorders>
              <w:top w:val="single" w:color="auto" w:sz="4" w:space="0"/>
              <w:left w:val="single" w:color="auto" w:sz="4" w:space="0"/>
              <w:bottom w:val="single" w:color="auto" w:sz="4" w:space="0"/>
              <w:right w:val="single" w:color="auto" w:sz="4" w:space="0"/>
            </w:tcBorders>
            <w:noWrap/>
            <w:vAlign w:val="center"/>
          </w:tcPr>
          <w:p w14:paraId="38CA036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38F08C23">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600A7991">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5DFADA3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钼</w:t>
            </w:r>
          </w:p>
        </w:tc>
        <w:tc>
          <w:tcPr>
            <w:tcW w:w="1145" w:type="pct"/>
            <w:tcBorders>
              <w:top w:val="single" w:color="auto" w:sz="4" w:space="0"/>
              <w:left w:val="single" w:color="auto" w:sz="4" w:space="0"/>
              <w:bottom w:val="single" w:color="auto" w:sz="4" w:space="0"/>
              <w:right w:val="single" w:color="auto" w:sz="4" w:space="0"/>
            </w:tcBorders>
            <w:noWrap/>
            <w:vAlign w:val="center"/>
          </w:tcPr>
          <w:p w14:paraId="7B92BF0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47B684B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0.003</w:t>
            </w:r>
          </w:p>
        </w:tc>
        <w:tc>
          <w:tcPr>
            <w:tcW w:w="1146" w:type="pct"/>
            <w:tcBorders>
              <w:top w:val="single" w:color="auto" w:sz="4" w:space="0"/>
              <w:left w:val="single" w:color="auto" w:sz="4" w:space="0"/>
              <w:bottom w:val="single" w:color="auto" w:sz="4" w:space="0"/>
              <w:right w:val="single" w:color="auto" w:sz="4" w:space="0"/>
            </w:tcBorders>
            <w:noWrap/>
            <w:vAlign w:val="center"/>
          </w:tcPr>
          <w:p w14:paraId="400D79E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r w14:paraId="790BCD9B">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0CE6AA0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钠</w:t>
            </w:r>
          </w:p>
        </w:tc>
        <w:tc>
          <w:tcPr>
            <w:tcW w:w="1145" w:type="pct"/>
            <w:tcBorders>
              <w:top w:val="single" w:color="auto" w:sz="4" w:space="0"/>
              <w:left w:val="single" w:color="auto" w:sz="4" w:space="0"/>
              <w:bottom w:val="single" w:color="auto" w:sz="4" w:space="0"/>
              <w:right w:val="single" w:color="auto" w:sz="4" w:space="0"/>
            </w:tcBorders>
            <w:noWrap/>
            <w:vAlign w:val="center"/>
          </w:tcPr>
          <w:p w14:paraId="0815E68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4B387E1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0.03</w:t>
            </w:r>
          </w:p>
        </w:tc>
        <w:tc>
          <w:tcPr>
            <w:tcW w:w="1146" w:type="pct"/>
            <w:tcBorders>
              <w:top w:val="single" w:color="auto" w:sz="4" w:space="0"/>
              <w:left w:val="single" w:color="auto" w:sz="4" w:space="0"/>
              <w:bottom w:val="single" w:color="auto" w:sz="4" w:space="0"/>
              <w:right w:val="single" w:color="auto" w:sz="4" w:space="0"/>
            </w:tcBorders>
            <w:noWrap/>
            <w:vAlign w:val="center"/>
          </w:tcPr>
          <w:p w14:paraId="5149032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16A28076">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54DBA19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w:t>
            </w:r>
          </w:p>
        </w:tc>
        <w:tc>
          <w:tcPr>
            <w:tcW w:w="1145" w:type="pct"/>
            <w:tcBorders>
              <w:top w:val="single" w:color="auto" w:sz="4" w:space="0"/>
              <w:left w:val="single" w:color="auto" w:sz="4" w:space="0"/>
              <w:bottom w:val="single" w:color="auto" w:sz="4" w:space="0"/>
              <w:right w:val="single" w:color="auto" w:sz="4" w:space="0"/>
            </w:tcBorders>
            <w:noWrap/>
            <w:vAlign w:val="center"/>
          </w:tcPr>
          <w:p w14:paraId="08D3792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33DC59DD">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277034B3">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0.02</w:t>
            </w:r>
          </w:p>
        </w:tc>
      </w:tr>
      <w:tr w14:paraId="7634B1CC">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noWrap/>
            <w:vAlign w:val="center"/>
          </w:tcPr>
          <w:p w14:paraId="7326E2A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甲苯</w:t>
            </w:r>
          </w:p>
        </w:tc>
        <w:tc>
          <w:tcPr>
            <w:tcW w:w="1145" w:type="pct"/>
            <w:tcBorders>
              <w:top w:val="single" w:color="auto" w:sz="4" w:space="0"/>
              <w:left w:val="single" w:color="auto" w:sz="4" w:space="0"/>
              <w:bottom w:val="single" w:color="auto" w:sz="4" w:space="0"/>
              <w:right w:val="single" w:color="auto" w:sz="4" w:space="0"/>
            </w:tcBorders>
            <w:noWrap/>
            <w:vAlign w:val="center"/>
          </w:tcPr>
          <w:p w14:paraId="35D19B20">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0.0002</w:t>
            </w:r>
          </w:p>
        </w:tc>
        <w:tc>
          <w:tcPr>
            <w:tcW w:w="1145" w:type="pct"/>
            <w:tcBorders>
              <w:top w:val="single" w:color="auto" w:sz="4" w:space="0"/>
              <w:left w:val="single" w:color="auto" w:sz="4" w:space="0"/>
              <w:bottom w:val="single" w:color="auto" w:sz="4" w:space="0"/>
              <w:right w:val="single" w:color="auto" w:sz="4" w:space="0"/>
            </w:tcBorders>
            <w:noWrap/>
            <w:vAlign w:val="center"/>
          </w:tcPr>
          <w:p w14:paraId="4538E3AE">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0.0002</w:t>
            </w:r>
          </w:p>
        </w:tc>
        <w:tc>
          <w:tcPr>
            <w:tcW w:w="1146" w:type="pct"/>
            <w:tcBorders>
              <w:top w:val="single" w:color="auto" w:sz="4" w:space="0"/>
              <w:left w:val="single" w:color="auto" w:sz="4" w:space="0"/>
              <w:bottom w:val="single" w:color="auto" w:sz="4" w:space="0"/>
              <w:right w:val="single" w:color="auto" w:sz="4" w:space="0"/>
            </w:tcBorders>
            <w:noWrap/>
            <w:vAlign w:val="center"/>
          </w:tcPr>
          <w:p w14:paraId="328367DF">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0.0002</w:t>
            </w:r>
          </w:p>
        </w:tc>
      </w:tr>
      <w:tr w14:paraId="37D5A565">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vAlign w:val="center"/>
          </w:tcPr>
          <w:p w14:paraId="5E95CC8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间,对-二甲苯</w:t>
            </w:r>
          </w:p>
        </w:tc>
        <w:tc>
          <w:tcPr>
            <w:tcW w:w="1145" w:type="pct"/>
            <w:tcBorders>
              <w:top w:val="single" w:color="auto" w:sz="4" w:space="0"/>
              <w:left w:val="single" w:color="auto" w:sz="4" w:space="0"/>
              <w:bottom w:val="single" w:color="auto" w:sz="4" w:space="0"/>
              <w:right w:val="single" w:color="auto" w:sz="4" w:space="0"/>
            </w:tcBorders>
            <w:noWrap/>
            <w:vAlign w:val="center"/>
          </w:tcPr>
          <w:p w14:paraId="33D35232">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4D05202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c>
          <w:tcPr>
            <w:tcW w:w="1146" w:type="pct"/>
            <w:tcBorders>
              <w:top w:val="single" w:color="auto" w:sz="4" w:space="0"/>
              <w:left w:val="single" w:color="auto" w:sz="4" w:space="0"/>
              <w:bottom w:val="single" w:color="auto" w:sz="4" w:space="0"/>
              <w:right w:val="single" w:color="auto" w:sz="4" w:space="0"/>
            </w:tcBorders>
            <w:noWrap/>
            <w:vAlign w:val="center"/>
          </w:tcPr>
          <w:p w14:paraId="58AE7544">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r>
      <w:tr w14:paraId="15D2636A">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vAlign w:val="center"/>
          </w:tcPr>
          <w:p w14:paraId="1A36D88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邻-二甲苯</w:t>
            </w:r>
          </w:p>
        </w:tc>
        <w:tc>
          <w:tcPr>
            <w:tcW w:w="1145" w:type="pct"/>
            <w:tcBorders>
              <w:top w:val="single" w:color="auto" w:sz="4" w:space="0"/>
              <w:left w:val="single" w:color="auto" w:sz="4" w:space="0"/>
              <w:bottom w:val="single" w:color="auto" w:sz="4" w:space="0"/>
              <w:right w:val="single" w:color="auto" w:sz="4" w:space="0"/>
            </w:tcBorders>
            <w:noWrap/>
            <w:vAlign w:val="center"/>
          </w:tcPr>
          <w:p w14:paraId="451E704A">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3BC6A345">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c>
          <w:tcPr>
            <w:tcW w:w="1146" w:type="pct"/>
            <w:tcBorders>
              <w:top w:val="single" w:color="auto" w:sz="4" w:space="0"/>
              <w:left w:val="single" w:color="auto" w:sz="4" w:space="0"/>
              <w:bottom w:val="single" w:color="auto" w:sz="4" w:space="0"/>
              <w:right w:val="single" w:color="auto" w:sz="4" w:space="0"/>
            </w:tcBorders>
            <w:noWrap/>
            <w:vAlign w:val="center"/>
          </w:tcPr>
          <w:p w14:paraId="4E72667B">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0.001</w:t>
            </w:r>
          </w:p>
        </w:tc>
      </w:tr>
      <w:tr w14:paraId="02696AF9">
        <w:tblPrEx>
          <w:tblCellMar>
            <w:top w:w="0" w:type="dxa"/>
            <w:left w:w="108" w:type="dxa"/>
            <w:bottom w:w="0" w:type="dxa"/>
            <w:right w:w="108" w:type="dxa"/>
          </w:tblCellMar>
        </w:tblPrEx>
        <w:trPr>
          <w:trHeight w:val="340" w:hRule="atLeast"/>
          <w:jc w:val="center"/>
        </w:trPr>
        <w:tc>
          <w:tcPr>
            <w:tcW w:w="1564" w:type="pct"/>
            <w:tcBorders>
              <w:top w:val="single" w:color="auto" w:sz="4" w:space="0"/>
              <w:left w:val="single" w:color="auto" w:sz="4" w:space="0"/>
              <w:bottom w:val="single" w:color="auto" w:sz="4" w:space="0"/>
              <w:right w:val="single" w:color="auto" w:sz="4" w:space="0"/>
            </w:tcBorders>
            <w:vAlign w:val="center"/>
          </w:tcPr>
          <w:p w14:paraId="433C8E1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苯乙烯</w:t>
            </w:r>
          </w:p>
        </w:tc>
        <w:tc>
          <w:tcPr>
            <w:tcW w:w="1145" w:type="pct"/>
            <w:tcBorders>
              <w:top w:val="single" w:color="auto" w:sz="4" w:space="0"/>
              <w:left w:val="single" w:color="auto" w:sz="4" w:space="0"/>
              <w:bottom w:val="single" w:color="auto" w:sz="4" w:space="0"/>
              <w:right w:val="single" w:color="auto" w:sz="4" w:space="0"/>
            </w:tcBorders>
            <w:noWrap/>
            <w:vAlign w:val="center"/>
          </w:tcPr>
          <w:p w14:paraId="05248F48">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5" w:type="pct"/>
            <w:tcBorders>
              <w:top w:val="single" w:color="auto" w:sz="4" w:space="0"/>
              <w:left w:val="single" w:color="auto" w:sz="4" w:space="0"/>
              <w:bottom w:val="single" w:color="auto" w:sz="4" w:space="0"/>
              <w:right w:val="single" w:color="auto" w:sz="4" w:space="0"/>
            </w:tcBorders>
            <w:noWrap/>
            <w:vAlign w:val="center"/>
          </w:tcPr>
          <w:p w14:paraId="66997F17">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c>
          <w:tcPr>
            <w:tcW w:w="1146" w:type="pct"/>
            <w:tcBorders>
              <w:top w:val="single" w:color="auto" w:sz="4" w:space="0"/>
              <w:left w:val="single" w:color="auto" w:sz="4" w:space="0"/>
              <w:bottom w:val="single" w:color="auto" w:sz="4" w:space="0"/>
              <w:right w:val="single" w:color="auto" w:sz="4" w:space="0"/>
            </w:tcBorders>
            <w:noWrap/>
            <w:vAlign w:val="center"/>
          </w:tcPr>
          <w:p w14:paraId="29AD8F9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0.01</w:t>
            </w:r>
          </w:p>
        </w:tc>
      </w:tr>
    </w:tbl>
    <w:p w14:paraId="213975E6">
      <w:pPr>
        <w:pStyle w:val="14"/>
        <w:rPr>
          <w:rFonts w:cs="Times New Roman"/>
          <w:color w:val="auto"/>
        </w:rPr>
      </w:pPr>
    </w:p>
    <w:p w14:paraId="346CCF2D">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11</w:t>
      </w:r>
      <w:r>
        <w:rPr>
          <w:rFonts w:cs="Times New Roman"/>
          <w:color w:val="auto"/>
        </w:rPr>
        <w:fldChar w:fldCharType="end"/>
      </w:r>
      <w:r>
        <w:rPr>
          <w:rFonts w:cs="Times New Roman"/>
          <w:color w:val="auto"/>
        </w:rPr>
        <w:t xml:space="preserve">  地下水环境质量</w:t>
      </w:r>
      <w:r>
        <w:rPr>
          <w:rFonts w:cs="Times New Roman"/>
          <w:color w:val="auto"/>
          <w:szCs w:val="21"/>
        </w:rPr>
        <w:t>引用监测数据</w:t>
      </w:r>
      <w:r>
        <w:rPr>
          <w:rFonts w:cs="Times New Roman"/>
          <w:bCs/>
          <w:iCs w:val="0"/>
          <w:color w:val="auto"/>
          <w:szCs w:val="21"/>
          <w:lang w:bidi="ar"/>
        </w:rPr>
        <w:t>标准指数计算结果</w:t>
      </w:r>
      <w:r>
        <w:rPr>
          <w:rFonts w:cs="Times New Roman"/>
          <w:color w:val="auto"/>
          <w:szCs w:val="21"/>
        </w:rPr>
        <w:t>一览表（GW9）</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8"/>
        <w:gridCol w:w="4812"/>
      </w:tblGrid>
      <w:tr w14:paraId="368A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41" w:type="pct"/>
            <w:vMerge w:val="restart"/>
            <w:vAlign w:val="center"/>
          </w:tcPr>
          <w:p w14:paraId="4D54BAED">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监测项目</w:t>
            </w:r>
          </w:p>
        </w:tc>
        <w:tc>
          <w:tcPr>
            <w:tcW w:w="2759" w:type="pct"/>
            <w:noWrap/>
            <w:vAlign w:val="center"/>
          </w:tcPr>
          <w:p w14:paraId="4693FE2C">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标准指数计算结果</w:t>
            </w:r>
          </w:p>
        </w:tc>
      </w:tr>
      <w:tr w14:paraId="2604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41" w:type="pct"/>
            <w:vMerge w:val="continue"/>
            <w:vAlign w:val="center"/>
          </w:tcPr>
          <w:p w14:paraId="0472B78B">
            <w:pPr>
              <w:jc w:val="center"/>
              <w:rPr>
                <w:rFonts w:ascii="Times New Roman" w:hAnsi="Times New Roman" w:cs="Times New Roman"/>
                <w:b/>
                <w:bCs/>
                <w:sz w:val="21"/>
                <w:szCs w:val="21"/>
              </w:rPr>
            </w:pPr>
          </w:p>
        </w:tc>
        <w:tc>
          <w:tcPr>
            <w:tcW w:w="2759" w:type="pct"/>
            <w:vAlign w:val="center"/>
          </w:tcPr>
          <w:p w14:paraId="3FF7F1D0">
            <w:pPr>
              <w:jc w:val="center"/>
              <w:textAlignment w:val="center"/>
              <w:rPr>
                <w:rFonts w:ascii="Times New Roman" w:hAnsi="Times New Roman" w:cs="Times New Roman"/>
                <w:b/>
                <w:bCs/>
                <w:sz w:val="21"/>
                <w:szCs w:val="21"/>
              </w:rPr>
            </w:pPr>
            <w:r>
              <w:rPr>
                <w:rFonts w:ascii="Times New Roman" w:hAnsi="Times New Roman" w:cs="Times New Roman"/>
                <w:b/>
                <w:bCs/>
                <w:sz w:val="21"/>
                <w:szCs w:val="21"/>
                <w:lang w:bidi="ar"/>
              </w:rPr>
              <w:t>GW9</w:t>
            </w:r>
          </w:p>
        </w:tc>
      </w:tr>
      <w:tr w14:paraId="68C0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198AFE6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pH值</w:t>
            </w:r>
          </w:p>
        </w:tc>
        <w:tc>
          <w:tcPr>
            <w:tcW w:w="2759" w:type="pct"/>
            <w:vAlign w:val="center"/>
          </w:tcPr>
          <w:p w14:paraId="044F140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0.067</w:t>
            </w:r>
          </w:p>
        </w:tc>
      </w:tr>
      <w:tr w14:paraId="5AAD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2E9B7F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浊度</w:t>
            </w:r>
          </w:p>
        </w:tc>
        <w:tc>
          <w:tcPr>
            <w:tcW w:w="2759" w:type="pct"/>
            <w:vAlign w:val="center"/>
          </w:tcPr>
          <w:p w14:paraId="4B42BF31">
            <w:pPr>
              <w:jc w:val="center"/>
              <w:textAlignment w:val="center"/>
              <w:rPr>
                <w:rFonts w:ascii="Times New Roman" w:hAnsi="Times New Roman" w:cs="Times New Roman"/>
                <w:sz w:val="22"/>
                <w:szCs w:val="22"/>
              </w:rPr>
            </w:pPr>
            <w:r>
              <w:rPr>
                <w:rFonts w:ascii="Times New Roman" w:hAnsi="Times New Roman" w:cs="Times New Roman"/>
                <w:sz w:val="22"/>
                <w:szCs w:val="22"/>
                <w:lang w:bidi="ar"/>
              </w:rPr>
              <w:t>0.8</w:t>
            </w:r>
          </w:p>
        </w:tc>
      </w:tr>
      <w:tr w14:paraId="3618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4FFE2B5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色度</w:t>
            </w:r>
          </w:p>
        </w:tc>
        <w:tc>
          <w:tcPr>
            <w:tcW w:w="2759" w:type="pct"/>
            <w:vAlign w:val="center"/>
          </w:tcPr>
          <w:p w14:paraId="64D0B76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0.667</w:t>
            </w:r>
          </w:p>
        </w:tc>
      </w:tr>
      <w:tr w14:paraId="4773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B4B2EA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总硬度</w:t>
            </w:r>
          </w:p>
        </w:tc>
        <w:tc>
          <w:tcPr>
            <w:tcW w:w="2759" w:type="pct"/>
            <w:vAlign w:val="center"/>
          </w:tcPr>
          <w:p w14:paraId="6E4AD25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0.333</w:t>
            </w:r>
          </w:p>
        </w:tc>
      </w:tr>
      <w:tr w14:paraId="17B6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40112C2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溶解性固体</w:t>
            </w:r>
          </w:p>
        </w:tc>
        <w:tc>
          <w:tcPr>
            <w:tcW w:w="2759" w:type="pct"/>
            <w:vAlign w:val="center"/>
          </w:tcPr>
          <w:p w14:paraId="6DD822A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0.215</w:t>
            </w:r>
          </w:p>
        </w:tc>
      </w:tr>
      <w:tr w14:paraId="4430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F63AE4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耗氧量</w:t>
            </w:r>
          </w:p>
        </w:tc>
        <w:tc>
          <w:tcPr>
            <w:tcW w:w="2759" w:type="pct"/>
            <w:vAlign w:val="center"/>
          </w:tcPr>
          <w:p w14:paraId="0E21DD3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0.533</w:t>
            </w:r>
          </w:p>
        </w:tc>
      </w:tr>
      <w:tr w14:paraId="0D11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126EC26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氨氮</w:t>
            </w:r>
          </w:p>
        </w:tc>
        <w:tc>
          <w:tcPr>
            <w:tcW w:w="2759" w:type="pct"/>
            <w:vAlign w:val="center"/>
          </w:tcPr>
          <w:p w14:paraId="3E242E4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0.716</w:t>
            </w:r>
          </w:p>
        </w:tc>
      </w:tr>
      <w:tr w14:paraId="671E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6249470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挥发酚</w:t>
            </w:r>
          </w:p>
        </w:tc>
        <w:tc>
          <w:tcPr>
            <w:tcW w:w="2759" w:type="pct"/>
            <w:vAlign w:val="center"/>
          </w:tcPr>
          <w:p w14:paraId="3037C8CA">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0.075</w:t>
            </w:r>
          </w:p>
        </w:tc>
      </w:tr>
      <w:tr w14:paraId="187A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3859F1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阴离子表面活性剂</w:t>
            </w:r>
          </w:p>
        </w:tc>
        <w:tc>
          <w:tcPr>
            <w:tcW w:w="2759" w:type="pct"/>
            <w:vAlign w:val="center"/>
          </w:tcPr>
          <w:p w14:paraId="583586A1">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0.083</w:t>
            </w:r>
          </w:p>
        </w:tc>
      </w:tr>
      <w:tr w14:paraId="717F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672BAD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氰化物</w:t>
            </w:r>
          </w:p>
        </w:tc>
        <w:tc>
          <w:tcPr>
            <w:tcW w:w="2759" w:type="pct"/>
            <w:vAlign w:val="center"/>
          </w:tcPr>
          <w:p w14:paraId="6A76FAC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0.02</w:t>
            </w:r>
          </w:p>
        </w:tc>
      </w:tr>
      <w:tr w14:paraId="7095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05C572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氟化物</w:t>
            </w:r>
          </w:p>
        </w:tc>
        <w:tc>
          <w:tcPr>
            <w:tcW w:w="2759" w:type="pct"/>
            <w:vAlign w:val="center"/>
          </w:tcPr>
          <w:p w14:paraId="01889A5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0.17</w:t>
            </w:r>
          </w:p>
        </w:tc>
      </w:tr>
      <w:tr w14:paraId="42F8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50C5C9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氯化物</w:t>
            </w:r>
          </w:p>
        </w:tc>
        <w:tc>
          <w:tcPr>
            <w:tcW w:w="2759" w:type="pct"/>
            <w:vAlign w:val="center"/>
          </w:tcPr>
          <w:p w14:paraId="3649A98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0.077</w:t>
            </w:r>
          </w:p>
        </w:tc>
      </w:tr>
      <w:tr w14:paraId="7775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B548C5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硝酸盐氮</w:t>
            </w:r>
          </w:p>
        </w:tc>
        <w:tc>
          <w:tcPr>
            <w:tcW w:w="2759" w:type="pct"/>
            <w:vAlign w:val="center"/>
          </w:tcPr>
          <w:p w14:paraId="55995C45">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0.025</w:t>
            </w:r>
          </w:p>
        </w:tc>
      </w:tr>
      <w:tr w14:paraId="7F56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75D7C48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亚硝酸盐氮</w:t>
            </w:r>
          </w:p>
        </w:tc>
        <w:tc>
          <w:tcPr>
            <w:tcW w:w="2759" w:type="pct"/>
            <w:vAlign w:val="center"/>
          </w:tcPr>
          <w:p w14:paraId="719BC15D">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0.006</w:t>
            </w:r>
          </w:p>
        </w:tc>
      </w:tr>
      <w:tr w14:paraId="2B8C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279A07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硫化物</w:t>
            </w:r>
          </w:p>
        </w:tc>
        <w:tc>
          <w:tcPr>
            <w:tcW w:w="2759" w:type="pct"/>
            <w:vAlign w:val="center"/>
          </w:tcPr>
          <w:p w14:paraId="2F0D47E6">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0.075</w:t>
            </w:r>
          </w:p>
        </w:tc>
      </w:tr>
      <w:tr w14:paraId="7EBC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9C8394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六价铬</w:t>
            </w:r>
          </w:p>
        </w:tc>
        <w:tc>
          <w:tcPr>
            <w:tcW w:w="2759" w:type="pct"/>
            <w:vAlign w:val="center"/>
          </w:tcPr>
          <w:p w14:paraId="5149292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0.04</w:t>
            </w:r>
          </w:p>
        </w:tc>
      </w:tr>
      <w:tr w14:paraId="7187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0D26573">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汞</w:t>
            </w:r>
          </w:p>
        </w:tc>
        <w:tc>
          <w:tcPr>
            <w:tcW w:w="2759" w:type="pct"/>
            <w:vAlign w:val="center"/>
          </w:tcPr>
          <w:p w14:paraId="128ACA8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0.02</w:t>
            </w:r>
          </w:p>
        </w:tc>
      </w:tr>
      <w:tr w14:paraId="64F8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059CA73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砷</w:t>
            </w:r>
          </w:p>
        </w:tc>
        <w:tc>
          <w:tcPr>
            <w:tcW w:w="2759" w:type="pct"/>
            <w:vAlign w:val="center"/>
          </w:tcPr>
          <w:p w14:paraId="65C8D74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0.015</w:t>
            </w:r>
          </w:p>
        </w:tc>
      </w:tr>
      <w:tr w14:paraId="156D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221DE4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铁</w:t>
            </w:r>
          </w:p>
        </w:tc>
        <w:tc>
          <w:tcPr>
            <w:tcW w:w="2759" w:type="pct"/>
            <w:vAlign w:val="center"/>
          </w:tcPr>
          <w:p w14:paraId="585A25E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0.433</w:t>
            </w:r>
          </w:p>
        </w:tc>
      </w:tr>
      <w:tr w14:paraId="5364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1919EE30">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锰</w:t>
            </w:r>
          </w:p>
        </w:tc>
        <w:tc>
          <w:tcPr>
            <w:tcW w:w="2759" w:type="pct"/>
            <w:vAlign w:val="center"/>
          </w:tcPr>
          <w:p w14:paraId="12D368B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0.5</w:t>
            </w:r>
          </w:p>
        </w:tc>
      </w:tr>
      <w:tr w14:paraId="0E50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5117CC7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铅</w:t>
            </w:r>
          </w:p>
        </w:tc>
        <w:tc>
          <w:tcPr>
            <w:tcW w:w="2759" w:type="pct"/>
            <w:vAlign w:val="center"/>
          </w:tcPr>
          <w:p w14:paraId="190C777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0.0045</w:t>
            </w:r>
          </w:p>
        </w:tc>
      </w:tr>
      <w:tr w14:paraId="0099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40570E6C">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镉</w:t>
            </w:r>
          </w:p>
        </w:tc>
        <w:tc>
          <w:tcPr>
            <w:tcW w:w="2759" w:type="pct"/>
            <w:vAlign w:val="center"/>
          </w:tcPr>
          <w:p w14:paraId="66D1258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0.005</w:t>
            </w:r>
          </w:p>
        </w:tc>
      </w:tr>
      <w:tr w14:paraId="2277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0DCB8C6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钠</w:t>
            </w:r>
          </w:p>
        </w:tc>
        <w:tc>
          <w:tcPr>
            <w:tcW w:w="2759" w:type="pct"/>
            <w:vAlign w:val="center"/>
          </w:tcPr>
          <w:p w14:paraId="54D5A06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0.036</w:t>
            </w:r>
          </w:p>
        </w:tc>
      </w:tr>
      <w:tr w14:paraId="0ED7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65C563B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铜</w:t>
            </w:r>
          </w:p>
        </w:tc>
        <w:tc>
          <w:tcPr>
            <w:tcW w:w="2759" w:type="pct"/>
            <w:vAlign w:val="center"/>
          </w:tcPr>
          <w:p w14:paraId="608FFC8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0.001</w:t>
            </w:r>
          </w:p>
        </w:tc>
      </w:tr>
      <w:tr w14:paraId="2D94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0EAED53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镍</w:t>
            </w:r>
          </w:p>
        </w:tc>
        <w:tc>
          <w:tcPr>
            <w:tcW w:w="2759" w:type="pct"/>
            <w:vAlign w:val="center"/>
          </w:tcPr>
          <w:p w14:paraId="643703A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0.041</w:t>
            </w:r>
          </w:p>
        </w:tc>
      </w:tr>
      <w:tr w14:paraId="08E0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E26EB28">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苯</w:t>
            </w:r>
          </w:p>
        </w:tc>
        <w:tc>
          <w:tcPr>
            <w:tcW w:w="2759" w:type="pct"/>
            <w:vAlign w:val="center"/>
          </w:tcPr>
          <w:p w14:paraId="26182F6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0.02</w:t>
            </w:r>
          </w:p>
        </w:tc>
      </w:tr>
      <w:tr w14:paraId="3D27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172510E">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甲苯</w:t>
            </w:r>
          </w:p>
        </w:tc>
        <w:tc>
          <w:tcPr>
            <w:tcW w:w="2759" w:type="pct"/>
            <w:vAlign w:val="center"/>
          </w:tcPr>
          <w:p w14:paraId="399C52F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w:t>
            </w:r>
          </w:p>
        </w:tc>
      </w:tr>
      <w:tr w14:paraId="4505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31AB47DF">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二甲苯</w:t>
            </w:r>
          </w:p>
        </w:tc>
        <w:tc>
          <w:tcPr>
            <w:tcW w:w="2759" w:type="pct"/>
            <w:vAlign w:val="center"/>
          </w:tcPr>
          <w:p w14:paraId="12F1102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0.0005</w:t>
            </w:r>
          </w:p>
        </w:tc>
      </w:tr>
      <w:tr w14:paraId="0746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7C8D9899">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总大肠菌群</w:t>
            </w:r>
          </w:p>
        </w:tc>
        <w:tc>
          <w:tcPr>
            <w:tcW w:w="2759" w:type="pct"/>
            <w:shd w:val="clear" w:color="auto" w:fill="AEAAAA"/>
            <w:vAlign w:val="center"/>
          </w:tcPr>
          <w:p w14:paraId="5F241BAB">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263.333</w:t>
            </w:r>
          </w:p>
        </w:tc>
      </w:tr>
      <w:tr w14:paraId="4ED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1" w:type="pct"/>
            <w:vAlign w:val="center"/>
          </w:tcPr>
          <w:p w14:paraId="2FF0C574">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细菌总数</w:t>
            </w:r>
          </w:p>
        </w:tc>
        <w:tc>
          <w:tcPr>
            <w:tcW w:w="2759" w:type="pct"/>
            <w:shd w:val="clear" w:color="auto" w:fill="AEAAAA"/>
            <w:vAlign w:val="center"/>
          </w:tcPr>
          <w:p w14:paraId="42D3B527">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8</w:t>
            </w:r>
          </w:p>
        </w:tc>
      </w:tr>
    </w:tbl>
    <w:p w14:paraId="074343B9">
      <w:pPr>
        <w:pStyle w:val="14"/>
        <w:rPr>
          <w:rFonts w:cs="Times New Roman"/>
          <w:color w:val="auto"/>
        </w:rPr>
      </w:pPr>
      <w:bookmarkStart w:id="53" w:name="_Ref9624"/>
    </w:p>
    <w:p w14:paraId="3A89B406">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12</w:t>
      </w:r>
      <w:r>
        <w:rPr>
          <w:rFonts w:cs="Times New Roman"/>
          <w:color w:val="auto"/>
        </w:rPr>
        <w:fldChar w:fldCharType="end"/>
      </w:r>
      <w:bookmarkEnd w:id="53"/>
      <w:r>
        <w:rPr>
          <w:rFonts w:cs="Times New Roman"/>
          <w:color w:val="auto"/>
        </w:rPr>
        <w:t>地下水环境质量</w:t>
      </w:r>
      <w:r>
        <w:rPr>
          <w:rFonts w:cs="Times New Roman"/>
          <w:color w:val="auto"/>
          <w:szCs w:val="21"/>
        </w:rPr>
        <w:t>据</w:t>
      </w:r>
      <w:r>
        <w:rPr>
          <w:rFonts w:cs="Times New Roman"/>
          <w:bCs/>
          <w:iCs w:val="0"/>
          <w:color w:val="auto"/>
          <w:szCs w:val="21"/>
          <w:lang w:bidi="ar"/>
        </w:rPr>
        <w:t>标准指数计算</w:t>
      </w:r>
      <w:r>
        <w:rPr>
          <w:rFonts w:cs="Times New Roman"/>
          <w:color w:val="auto"/>
        </w:rPr>
        <w:t>结果（U5）</w:t>
      </w:r>
    </w:p>
    <w:tbl>
      <w:tblPr>
        <w:tblStyle w:val="41"/>
        <w:tblW w:w="5000" w:type="pct"/>
        <w:jc w:val="center"/>
        <w:tblLayout w:type="autofit"/>
        <w:tblCellMar>
          <w:top w:w="0" w:type="dxa"/>
          <w:left w:w="108" w:type="dxa"/>
          <w:bottom w:w="0" w:type="dxa"/>
          <w:right w:w="108" w:type="dxa"/>
        </w:tblCellMar>
      </w:tblPr>
      <w:tblGrid>
        <w:gridCol w:w="2095"/>
        <w:gridCol w:w="3369"/>
        <w:gridCol w:w="3256"/>
      </w:tblGrid>
      <w:tr w14:paraId="2498A573">
        <w:tblPrEx>
          <w:tblCellMar>
            <w:top w:w="0" w:type="dxa"/>
            <w:left w:w="108" w:type="dxa"/>
            <w:bottom w:w="0" w:type="dxa"/>
            <w:right w:w="108" w:type="dxa"/>
          </w:tblCellMar>
        </w:tblPrEx>
        <w:trPr>
          <w:trHeight w:val="540" w:hRule="atLeast"/>
          <w:tblHeader/>
          <w:jc w:val="center"/>
        </w:trPr>
        <w:tc>
          <w:tcPr>
            <w:tcW w:w="1201" w:type="pct"/>
            <w:tcBorders>
              <w:top w:val="single" w:color="000000" w:sz="4" w:space="0"/>
              <w:left w:val="single" w:color="000000" w:sz="4" w:space="0"/>
              <w:bottom w:val="single" w:color="000000" w:sz="4" w:space="0"/>
              <w:right w:val="single" w:color="000000" w:sz="4" w:space="0"/>
            </w:tcBorders>
            <w:vAlign w:val="center"/>
          </w:tcPr>
          <w:p w14:paraId="4FCC1D46">
            <w:pPr>
              <w:pStyle w:val="78"/>
              <w:rPr>
                <w:rFonts w:cs="Times New Roman"/>
                <w:b/>
                <w:bCs/>
              </w:rPr>
            </w:pPr>
            <w:r>
              <w:rPr>
                <w:rFonts w:cs="Times New Roman"/>
                <w:b/>
                <w:bCs/>
              </w:rPr>
              <w:t>监测点位</w:t>
            </w:r>
          </w:p>
        </w:tc>
        <w:tc>
          <w:tcPr>
            <w:tcW w:w="1932" w:type="pct"/>
            <w:tcBorders>
              <w:top w:val="single" w:color="000000" w:sz="4" w:space="0"/>
              <w:left w:val="single" w:color="000000" w:sz="4" w:space="0"/>
              <w:bottom w:val="single" w:color="000000" w:sz="4" w:space="0"/>
              <w:right w:val="single" w:color="000000" w:sz="4" w:space="0"/>
            </w:tcBorders>
            <w:vAlign w:val="center"/>
          </w:tcPr>
          <w:p w14:paraId="648BF120">
            <w:pPr>
              <w:pStyle w:val="78"/>
              <w:rPr>
                <w:rFonts w:cs="Times New Roman"/>
                <w:b/>
                <w:bCs/>
              </w:rPr>
            </w:pPr>
            <w:r>
              <w:rPr>
                <w:rFonts w:cs="Times New Roman"/>
                <w:b/>
                <w:bCs/>
              </w:rPr>
              <w:t>检测因子</w:t>
            </w:r>
          </w:p>
        </w:tc>
        <w:tc>
          <w:tcPr>
            <w:tcW w:w="1867" w:type="pct"/>
            <w:tcBorders>
              <w:top w:val="single" w:color="000000" w:sz="4" w:space="0"/>
              <w:left w:val="single" w:color="000000" w:sz="4" w:space="0"/>
              <w:bottom w:val="single" w:color="000000" w:sz="4" w:space="0"/>
              <w:right w:val="single" w:color="000000" w:sz="4" w:space="0"/>
            </w:tcBorders>
            <w:vAlign w:val="center"/>
          </w:tcPr>
          <w:p w14:paraId="67AE4BA3">
            <w:pPr>
              <w:pStyle w:val="78"/>
              <w:rPr>
                <w:rFonts w:cs="Times New Roman"/>
                <w:b/>
                <w:bCs/>
              </w:rPr>
            </w:pPr>
            <w:r>
              <w:rPr>
                <w:rFonts w:cs="Times New Roman"/>
                <w:b/>
                <w:bCs/>
              </w:rPr>
              <w:t>标准指数</w:t>
            </w:r>
          </w:p>
        </w:tc>
      </w:tr>
      <w:tr w14:paraId="50C9E1D0">
        <w:tblPrEx>
          <w:tblCellMar>
            <w:top w:w="0" w:type="dxa"/>
            <w:left w:w="108" w:type="dxa"/>
            <w:bottom w:w="0" w:type="dxa"/>
            <w:right w:w="108" w:type="dxa"/>
          </w:tblCellMar>
        </w:tblPrEx>
        <w:trPr>
          <w:trHeight w:val="320" w:hRule="atLeast"/>
          <w:jc w:val="center"/>
        </w:trPr>
        <w:tc>
          <w:tcPr>
            <w:tcW w:w="1201" w:type="pct"/>
            <w:vMerge w:val="restart"/>
            <w:tcBorders>
              <w:top w:val="single" w:color="000000" w:sz="4" w:space="0"/>
              <w:left w:val="single" w:color="000000" w:sz="4" w:space="0"/>
              <w:bottom w:val="single" w:color="000000" w:sz="4" w:space="0"/>
              <w:right w:val="single" w:color="000000" w:sz="4" w:space="0"/>
            </w:tcBorders>
            <w:vAlign w:val="center"/>
          </w:tcPr>
          <w:p w14:paraId="0F100293">
            <w:pPr>
              <w:pStyle w:val="78"/>
              <w:rPr>
                <w:rFonts w:cs="Times New Roman"/>
              </w:rPr>
            </w:pPr>
            <w:r>
              <w:rPr>
                <w:rFonts w:cs="Times New Roman"/>
              </w:rPr>
              <w:t>U5地下水</w:t>
            </w:r>
          </w:p>
        </w:tc>
        <w:tc>
          <w:tcPr>
            <w:tcW w:w="1932" w:type="pct"/>
            <w:tcBorders>
              <w:top w:val="single" w:color="000000" w:sz="4" w:space="0"/>
              <w:left w:val="single" w:color="000000" w:sz="4" w:space="0"/>
              <w:bottom w:val="single" w:color="000000" w:sz="4" w:space="0"/>
              <w:right w:val="single" w:color="000000" w:sz="4" w:space="0"/>
            </w:tcBorders>
            <w:vAlign w:val="center"/>
          </w:tcPr>
          <w:p w14:paraId="743F740D">
            <w:pPr>
              <w:pStyle w:val="78"/>
              <w:rPr>
                <w:rFonts w:cs="Times New Roman"/>
              </w:rPr>
            </w:pPr>
            <w:r>
              <w:rPr>
                <w:rFonts w:cs="Times New Roman"/>
              </w:rPr>
              <w:t>pH值</w:t>
            </w:r>
          </w:p>
        </w:tc>
        <w:tc>
          <w:tcPr>
            <w:tcW w:w="1867" w:type="pct"/>
            <w:tcBorders>
              <w:top w:val="single" w:color="000000" w:sz="4" w:space="0"/>
              <w:left w:val="single" w:color="000000" w:sz="4" w:space="0"/>
              <w:bottom w:val="single" w:color="000000" w:sz="4" w:space="0"/>
              <w:right w:val="single" w:color="000000" w:sz="4" w:space="0"/>
            </w:tcBorders>
            <w:vAlign w:val="center"/>
          </w:tcPr>
          <w:p w14:paraId="41540ED5">
            <w:pPr>
              <w:pStyle w:val="78"/>
              <w:rPr>
                <w:rFonts w:cs="Times New Roman"/>
              </w:rPr>
            </w:pPr>
            <w:r>
              <w:rPr>
                <w:rFonts w:cs="Times New Roman"/>
              </w:rPr>
              <w:t>0</w:t>
            </w:r>
          </w:p>
        </w:tc>
      </w:tr>
      <w:tr w14:paraId="56A0B7C2">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BE8B9A2">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bottom"/>
          </w:tcPr>
          <w:p w14:paraId="5A266A38">
            <w:pPr>
              <w:pStyle w:val="78"/>
              <w:rPr>
                <w:rFonts w:cs="Times New Roman"/>
              </w:rPr>
            </w:pPr>
            <w:r>
              <w:rPr>
                <w:rFonts w:cs="Times New Roman"/>
              </w:rPr>
              <w:t>总硬度</w:t>
            </w:r>
          </w:p>
        </w:tc>
        <w:tc>
          <w:tcPr>
            <w:tcW w:w="1867" w:type="pct"/>
            <w:tcBorders>
              <w:top w:val="single" w:color="000000" w:sz="4" w:space="0"/>
              <w:left w:val="single" w:color="000000" w:sz="4" w:space="0"/>
              <w:bottom w:val="single" w:color="000000" w:sz="4" w:space="0"/>
              <w:right w:val="single" w:color="000000" w:sz="4" w:space="0"/>
            </w:tcBorders>
            <w:vAlign w:val="center"/>
          </w:tcPr>
          <w:p w14:paraId="0EC5D59E">
            <w:pPr>
              <w:pStyle w:val="78"/>
              <w:rPr>
                <w:rFonts w:cs="Times New Roman"/>
              </w:rPr>
            </w:pPr>
            <w:r>
              <w:rPr>
                <w:rFonts w:cs="Times New Roman"/>
              </w:rPr>
              <w:t>0.023</w:t>
            </w:r>
          </w:p>
        </w:tc>
      </w:tr>
      <w:tr w14:paraId="34C7E380">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EB67181">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682D4E82">
            <w:pPr>
              <w:pStyle w:val="78"/>
              <w:rPr>
                <w:rFonts w:cs="Times New Roman"/>
              </w:rPr>
            </w:pPr>
            <w:r>
              <w:rPr>
                <w:rFonts w:cs="Times New Roman"/>
              </w:rPr>
              <w:t>溶解性固体总量</w:t>
            </w:r>
          </w:p>
        </w:tc>
        <w:tc>
          <w:tcPr>
            <w:tcW w:w="1867" w:type="pct"/>
            <w:tcBorders>
              <w:top w:val="single" w:color="000000" w:sz="4" w:space="0"/>
              <w:left w:val="single" w:color="000000" w:sz="4" w:space="0"/>
              <w:bottom w:val="single" w:color="000000" w:sz="4" w:space="0"/>
              <w:right w:val="single" w:color="000000" w:sz="4" w:space="0"/>
            </w:tcBorders>
            <w:vAlign w:val="center"/>
          </w:tcPr>
          <w:p w14:paraId="2D29B9C1">
            <w:pPr>
              <w:pStyle w:val="78"/>
              <w:rPr>
                <w:rFonts w:cs="Times New Roman"/>
              </w:rPr>
            </w:pPr>
            <w:r>
              <w:rPr>
                <w:rFonts w:cs="Times New Roman"/>
              </w:rPr>
              <w:t>0.049</w:t>
            </w:r>
          </w:p>
        </w:tc>
      </w:tr>
      <w:tr w14:paraId="4B690968">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36F7CCA">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71342AD">
            <w:pPr>
              <w:pStyle w:val="78"/>
              <w:rPr>
                <w:rFonts w:cs="Times New Roman"/>
              </w:rPr>
            </w:pPr>
            <w:r>
              <w:rPr>
                <w:rFonts w:cs="Times New Roman"/>
              </w:rPr>
              <w:t>氯化物</w:t>
            </w:r>
          </w:p>
        </w:tc>
        <w:tc>
          <w:tcPr>
            <w:tcW w:w="1867" w:type="pct"/>
            <w:tcBorders>
              <w:top w:val="single" w:color="000000" w:sz="4" w:space="0"/>
              <w:left w:val="single" w:color="000000" w:sz="4" w:space="0"/>
              <w:bottom w:val="single" w:color="000000" w:sz="4" w:space="0"/>
              <w:right w:val="single" w:color="000000" w:sz="4" w:space="0"/>
            </w:tcBorders>
            <w:vAlign w:val="center"/>
          </w:tcPr>
          <w:p w14:paraId="58F1B2E6">
            <w:pPr>
              <w:pStyle w:val="78"/>
              <w:rPr>
                <w:rFonts w:cs="Times New Roman"/>
              </w:rPr>
            </w:pPr>
            <w:r>
              <w:rPr>
                <w:rFonts w:cs="Times New Roman"/>
              </w:rPr>
              <w:t>0.048</w:t>
            </w:r>
          </w:p>
        </w:tc>
      </w:tr>
      <w:tr w14:paraId="5CCC8128">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179AAB2F">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23A5D9BB">
            <w:pPr>
              <w:pStyle w:val="78"/>
              <w:rPr>
                <w:rFonts w:cs="Times New Roman"/>
              </w:rPr>
            </w:pPr>
            <w:r>
              <w:rPr>
                <w:rFonts w:cs="Times New Roman"/>
              </w:rPr>
              <w:t>硫酸盐</w:t>
            </w:r>
          </w:p>
        </w:tc>
        <w:tc>
          <w:tcPr>
            <w:tcW w:w="1867" w:type="pct"/>
            <w:tcBorders>
              <w:top w:val="single" w:color="000000" w:sz="4" w:space="0"/>
              <w:left w:val="single" w:color="000000" w:sz="4" w:space="0"/>
              <w:bottom w:val="single" w:color="000000" w:sz="4" w:space="0"/>
              <w:right w:val="single" w:color="000000" w:sz="4" w:space="0"/>
            </w:tcBorders>
            <w:vAlign w:val="center"/>
          </w:tcPr>
          <w:p w14:paraId="2C9EA27E">
            <w:pPr>
              <w:pStyle w:val="78"/>
              <w:rPr>
                <w:rFonts w:cs="Times New Roman"/>
              </w:rPr>
            </w:pPr>
            <w:r>
              <w:rPr>
                <w:rFonts w:cs="Times New Roman"/>
              </w:rPr>
              <w:t>0.0064</w:t>
            </w:r>
          </w:p>
        </w:tc>
      </w:tr>
      <w:tr w14:paraId="5C26F323">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2C83BD04">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54F701FE">
            <w:pPr>
              <w:pStyle w:val="78"/>
              <w:rPr>
                <w:rFonts w:cs="Times New Roman"/>
              </w:rPr>
            </w:pPr>
            <w:r>
              <w:rPr>
                <w:rFonts w:cs="Times New Roman"/>
              </w:rPr>
              <w:t>氨氮</w:t>
            </w:r>
          </w:p>
        </w:tc>
        <w:tc>
          <w:tcPr>
            <w:tcW w:w="1867" w:type="pct"/>
            <w:tcBorders>
              <w:top w:val="single" w:color="000000" w:sz="4" w:space="0"/>
              <w:left w:val="single" w:color="000000" w:sz="4" w:space="0"/>
              <w:bottom w:val="single" w:color="000000" w:sz="4" w:space="0"/>
              <w:right w:val="single" w:color="000000" w:sz="4" w:space="0"/>
            </w:tcBorders>
            <w:vAlign w:val="center"/>
          </w:tcPr>
          <w:p w14:paraId="23144850">
            <w:pPr>
              <w:pStyle w:val="78"/>
              <w:rPr>
                <w:rFonts w:cs="Times New Roman"/>
              </w:rPr>
            </w:pPr>
            <w:r>
              <w:rPr>
                <w:rFonts w:cs="Times New Roman"/>
              </w:rPr>
              <w:t>0.106</w:t>
            </w:r>
          </w:p>
        </w:tc>
      </w:tr>
      <w:tr w14:paraId="7475455A">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D4A69E4">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0ACD4A6A">
            <w:pPr>
              <w:pStyle w:val="78"/>
              <w:rPr>
                <w:rFonts w:cs="Times New Roman"/>
              </w:rPr>
            </w:pPr>
            <w:r>
              <w:rPr>
                <w:rFonts w:cs="Times New Roman"/>
              </w:rPr>
              <w:t>硝酸盐氮</w:t>
            </w:r>
          </w:p>
        </w:tc>
        <w:tc>
          <w:tcPr>
            <w:tcW w:w="1867" w:type="pct"/>
            <w:tcBorders>
              <w:top w:val="single" w:color="000000" w:sz="4" w:space="0"/>
              <w:left w:val="single" w:color="000000" w:sz="4" w:space="0"/>
              <w:bottom w:val="single" w:color="000000" w:sz="4" w:space="0"/>
              <w:right w:val="single" w:color="000000" w:sz="4" w:space="0"/>
            </w:tcBorders>
            <w:vAlign w:val="center"/>
          </w:tcPr>
          <w:p w14:paraId="00AC7E48">
            <w:pPr>
              <w:pStyle w:val="78"/>
              <w:rPr>
                <w:rFonts w:cs="Times New Roman"/>
              </w:rPr>
            </w:pPr>
            <w:r>
              <w:rPr>
                <w:rFonts w:cs="Times New Roman"/>
              </w:rPr>
              <w:t>0.0515</w:t>
            </w:r>
          </w:p>
        </w:tc>
      </w:tr>
      <w:tr w14:paraId="349C2A7F">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1F28C8D">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6106D02B">
            <w:pPr>
              <w:pStyle w:val="78"/>
              <w:rPr>
                <w:rFonts w:cs="Times New Roman"/>
              </w:rPr>
            </w:pPr>
            <w:r>
              <w:rPr>
                <w:rFonts w:cs="Times New Roman"/>
              </w:rPr>
              <w:t>亚硝酸盐氮</w:t>
            </w:r>
          </w:p>
        </w:tc>
        <w:tc>
          <w:tcPr>
            <w:tcW w:w="1867" w:type="pct"/>
            <w:tcBorders>
              <w:top w:val="single" w:color="000000" w:sz="4" w:space="0"/>
              <w:left w:val="single" w:color="000000" w:sz="4" w:space="0"/>
              <w:bottom w:val="single" w:color="000000" w:sz="4" w:space="0"/>
              <w:right w:val="single" w:color="000000" w:sz="4" w:space="0"/>
            </w:tcBorders>
            <w:vAlign w:val="center"/>
          </w:tcPr>
          <w:p w14:paraId="5D6CDE61">
            <w:pPr>
              <w:pStyle w:val="78"/>
              <w:rPr>
                <w:rFonts w:cs="Times New Roman"/>
              </w:rPr>
            </w:pPr>
            <w:r>
              <w:rPr>
                <w:rFonts w:cs="Times New Roman"/>
              </w:rPr>
              <w:t>0.008</w:t>
            </w:r>
          </w:p>
        </w:tc>
      </w:tr>
      <w:tr w14:paraId="7415FA98">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6171C42">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FA3ECD1">
            <w:pPr>
              <w:pStyle w:val="78"/>
              <w:rPr>
                <w:rFonts w:cs="Times New Roman"/>
              </w:rPr>
            </w:pPr>
            <w:r>
              <w:rPr>
                <w:rFonts w:cs="Times New Roman"/>
              </w:rPr>
              <w:t>挥发酚</w:t>
            </w:r>
          </w:p>
        </w:tc>
        <w:tc>
          <w:tcPr>
            <w:tcW w:w="1867" w:type="pct"/>
            <w:tcBorders>
              <w:top w:val="single" w:color="000000" w:sz="4" w:space="0"/>
              <w:left w:val="single" w:color="000000" w:sz="4" w:space="0"/>
              <w:bottom w:val="single" w:color="000000" w:sz="4" w:space="0"/>
              <w:right w:val="single" w:color="000000" w:sz="4" w:space="0"/>
            </w:tcBorders>
            <w:vAlign w:val="center"/>
          </w:tcPr>
          <w:p w14:paraId="6EC0C36C">
            <w:pPr>
              <w:pStyle w:val="78"/>
              <w:rPr>
                <w:rFonts w:cs="Times New Roman"/>
              </w:rPr>
            </w:pPr>
            <w:r>
              <w:rPr>
                <w:rFonts w:cs="Times New Roman"/>
              </w:rPr>
              <w:t>0.075</w:t>
            </w:r>
          </w:p>
        </w:tc>
      </w:tr>
      <w:tr w14:paraId="23346DEE">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0A3B9CDF">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2BFDD009">
            <w:pPr>
              <w:pStyle w:val="78"/>
              <w:rPr>
                <w:rFonts w:cs="Times New Roman"/>
              </w:rPr>
            </w:pPr>
            <w:r>
              <w:rPr>
                <w:rFonts w:cs="Times New Roman"/>
              </w:rPr>
              <w:t>硫化物</w:t>
            </w:r>
          </w:p>
        </w:tc>
        <w:tc>
          <w:tcPr>
            <w:tcW w:w="1867" w:type="pct"/>
            <w:tcBorders>
              <w:top w:val="single" w:color="000000" w:sz="4" w:space="0"/>
              <w:left w:val="single" w:color="000000" w:sz="4" w:space="0"/>
              <w:bottom w:val="single" w:color="000000" w:sz="4" w:space="0"/>
              <w:right w:val="single" w:color="000000" w:sz="4" w:space="0"/>
            </w:tcBorders>
            <w:vAlign w:val="center"/>
          </w:tcPr>
          <w:p w14:paraId="4322A583">
            <w:pPr>
              <w:pStyle w:val="78"/>
              <w:rPr>
                <w:rFonts w:cs="Times New Roman"/>
              </w:rPr>
            </w:pPr>
            <w:r>
              <w:rPr>
                <w:rFonts w:cs="Times New Roman"/>
              </w:rPr>
              <w:t>0.075</w:t>
            </w:r>
          </w:p>
        </w:tc>
      </w:tr>
      <w:tr w14:paraId="0F11E9E3">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2D6A070C">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579D2B0E">
            <w:pPr>
              <w:pStyle w:val="78"/>
              <w:rPr>
                <w:rFonts w:cs="Times New Roman"/>
              </w:rPr>
            </w:pPr>
            <w:r>
              <w:rPr>
                <w:rFonts w:cs="Times New Roman"/>
              </w:rPr>
              <w:t>氰化物</w:t>
            </w:r>
          </w:p>
        </w:tc>
        <w:tc>
          <w:tcPr>
            <w:tcW w:w="1867" w:type="pct"/>
            <w:tcBorders>
              <w:top w:val="single" w:color="000000" w:sz="4" w:space="0"/>
              <w:left w:val="single" w:color="000000" w:sz="4" w:space="0"/>
              <w:bottom w:val="single" w:color="000000" w:sz="4" w:space="0"/>
              <w:right w:val="single" w:color="000000" w:sz="4" w:space="0"/>
            </w:tcBorders>
            <w:vAlign w:val="center"/>
          </w:tcPr>
          <w:p w14:paraId="43898DCE">
            <w:pPr>
              <w:pStyle w:val="78"/>
              <w:rPr>
                <w:rFonts w:cs="Times New Roman"/>
              </w:rPr>
            </w:pPr>
            <w:r>
              <w:rPr>
                <w:rFonts w:cs="Times New Roman"/>
              </w:rPr>
              <w:t>0.02</w:t>
            </w:r>
          </w:p>
        </w:tc>
      </w:tr>
      <w:tr w14:paraId="38FFB990">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3D4658F8">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4ED00214">
            <w:pPr>
              <w:pStyle w:val="78"/>
              <w:rPr>
                <w:rFonts w:cs="Times New Roman"/>
              </w:rPr>
            </w:pPr>
            <w:r>
              <w:rPr>
                <w:rFonts w:cs="Times New Roman"/>
              </w:rPr>
              <w:t>氟化物</w:t>
            </w:r>
          </w:p>
        </w:tc>
        <w:tc>
          <w:tcPr>
            <w:tcW w:w="1867" w:type="pct"/>
            <w:tcBorders>
              <w:top w:val="single" w:color="000000" w:sz="4" w:space="0"/>
              <w:left w:val="single" w:color="000000" w:sz="4" w:space="0"/>
              <w:bottom w:val="single" w:color="000000" w:sz="4" w:space="0"/>
              <w:right w:val="single" w:color="000000" w:sz="4" w:space="0"/>
            </w:tcBorders>
            <w:vAlign w:val="center"/>
          </w:tcPr>
          <w:p w14:paraId="1CEC86E5">
            <w:pPr>
              <w:pStyle w:val="78"/>
              <w:rPr>
                <w:rFonts w:cs="Times New Roman"/>
              </w:rPr>
            </w:pPr>
            <w:r>
              <w:rPr>
                <w:rFonts w:cs="Times New Roman"/>
              </w:rPr>
              <w:t>0.025</w:t>
            </w:r>
          </w:p>
        </w:tc>
      </w:tr>
      <w:tr w14:paraId="1EA55F41">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457E8FE5">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23632214">
            <w:pPr>
              <w:pStyle w:val="78"/>
              <w:rPr>
                <w:rFonts w:cs="Times New Roman"/>
              </w:rPr>
            </w:pPr>
            <w:r>
              <w:rPr>
                <w:rFonts w:cs="Times New Roman"/>
              </w:rPr>
              <w:t>阴离子表面活性剂</w:t>
            </w:r>
          </w:p>
        </w:tc>
        <w:tc>
          <w:tcPr>
            <w:tcW w:w="1867" w:type="pct"/>
            <w:tcBorders>
              <w:top w:val="single" w:color="000000" w:sz="4" w:space="0"/>
              <w:left w:val="single" w:color="000000" w:sz="4" w:space="0"/>
              <w:bottom w:val="single" w:color="000000" w:sz="4" w:space="0"/>
              <w:right w:val="single" w:color="000000" w:sz="4" w:space="0"/>
            </w:tcBorders>
            <w:vAlign w:val="center"/>
          </w:tcPr>
          <w:p w14:paraId="2D1F2399">
            <w:pPr>
              <w:pStyle w:val="78"/>
              <w:rPr>
                <w:rFonts w:cs="Times New Roman"/>
              </w:rPr>
            </w:pPr>
            <w:r>
              <w:rPr>
                <w:rFonts w:cs="Times New Roman"/>
              </w:rPr>
              <w:t>0.08</w:t>
            </w:r>
          </w:p>
        </w:tc>
      </w:tr>
      <w:tr w14:paraId="196FFF5F">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4943FCB5">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50427927">
            <w:pPr>
              <w:pStyle w:val="78"/>
              <w:rPr>
                <w:rFonts w:cs="Times New Roman"/>
              </w:rPr>
            </w:pPr>
            <w:r>
              <w:rPr>
                <w:rFonts w:cs="Times New Roman"/>
              </w:rPr>
              <w:t>耗氧量</w:t>
            </w:r>
          </w:p>
        </w:tc>
        <w:tc>
          <w:tcPr>
            <w:tcW w:w="1867" w:type="pct"/>
            <w:tcBorders>
              <w:top w:val="single" w:color="000000" w:sz="4" w:space="0"/>
              <w:left w:val="single" w:color="000000" w:sz="4" w:space="0"/>
              <w:bottom w:val="single" w:color="000000" w:sz="4" w:space="0"/>
              <w:right w:val="single" w:color="000000" w:sz="4" w:space="0"/>
            </w:tcBorders>
            <w:vAlign w:val="center"/>
          </w:tcPr>
          <w:p w14:paraId="212EBF5C">
            <w:pPr>
              <w:pStyle w:val="78"/>
              <w:rPr>
                <w:rFonts w:cs="Times New Roman"/>
              </w:rPr>
            </w:pPr>
            <w:r>
              <w:rPr>
                <w:rFonts w:cs="Times New Roman"/>
              </w:rPr>
              <w:t>0.23</w:t>
            </w:r>
          </w:p>
        </w:tc>
      </w:tr>
      <w:tr w14:paraId="4763DA52">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8A495E8">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5D17E089">
            <w:pPr>
              <w:pStyle w:val="78"/>
              <w:rPr>
                <w:rFonts w:cs="Times New Roman"/>
              </w:rPr>
            </w:pPr>
            <w:r>
              <w:rPr>
                <w:rFonts w:cs="Times New Roman"/>
              </w:rPr>
              <w:t>总大肠菌群</w:t>
            </w:r>
          </w:p>
        </w:tc>
        <w:tc>
          <w:tcPr>
            <w:tcW w:w="1867" w:type="pct"/>
            <w:tcBorders>
              <w:top w:val="single" w:color="000000" w:sz="4" w:space="0"/>
              <w:left w:val="single" w:color="000000" w:sz="4" w:space="0"/>
              <w:bottom w:val="single" w:color="000000" w:sz="4" w:space="0"/>
              <w:right w:val="single" w:color="000000" w:sz="4" w:space="0"/>
            </w:tcBorders>
            <w:vAlign w:val="center"/>
          </w:tcPr>
          <w:p w14:paraId="780DE053">
            <w:pPr>
              <w:pStyle w:val="78"/>
              <w:rPr>
                <w:rFonts w:cs="Times New Roman"/>
              </w:rPr>
            </w:pPr>
            <w:r>
              <w:rPr>
                <w:rFonts w:cs="Times New Roman"/>
              </w:rPr>
              <w:t>0</w:t>
            </w:r>
          </w:p>
        </w:tc>
      </w:tr>
      <w:tr w14:paraId="4415EA11">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CBB5387">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98056C9">
            <w:pPr>
              <w:pStyle w:val="78"/>
              <w:rPr>
                <w:rFonts w:cs="Times New Roman"/>
              </w:rPr>
            </w:pPr>
            <w:r>
              <w:rPr>
                <w:rFonts w:cs="Times New Roman"/>
              </w:rPr>
              <w:t>菌落总数</w:t>
            </w:r>
          </w:p>
        </w:tc>
        <w:tc>
          <w:tcPr>
            <w:tcW w:w="1867" w:type="pct"/>
            <w:tcBorders>
              <w:top w:val="single" w:color="000000" w:sz="4" w:space="0"/>
              <w:left w:val="single" w:color="000000" w:sz="4" w:space="0"/>
              <w:bottom w:val="single" w:color="000000" w:sz="4" w:space="0"/>
              <w:right w:val="single" w:color="000000" w:sz="4" w:space="0"/>
            </w:tcBorders>
            <w:vAlign w:val="center"/>
          </w:tcPr>
          <w:p w14:paraId="6B8E1058">
            <w:pPr>
              <w:pStyle w:val="78"/>
              <w:rPr>
                <w:rFonts w:cs="Times New Roman"/>
              </w:rPr>
            </w:pPr>
            <w:r>
              <w:rPr>
                <w:rFonts w:cs="Times New Roman"/>
              </w:rPr>
              <w:t>0.96</w:t>
            </w:r>
          </w:p>
        </w:tc>
      </w:tr>
      <w:tr w14:paraId="2883F8D8">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17C16FCF">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72EB25AC">
            <w:pPr>
              <w:pStyle w:val="78"/>
              <w:rPr>
                <w:rFonts w:cs="Times New Roman"/>
              </w:rPr>
            </w:pPr>
            <w:r>
              <w:rPr>
                <w:rFonts w:cs="Times New Roman"/>
              </w:rPr>
              <w:t>六价铬</w:t>
            </w:r>
          </w:p>
        </w:tc>
        <w:tc>
          <w:tcPr>
            <w:tcW w:w="1867" w:type="pct"/>
            <w:tcBorders>
              <w:top w:val="single" w:color="000000" w:sz="4" w:space="0"/>
              <w:left w:val="single" w:color="000000" w:sz="4" w:space="0"/>
              <w:bottom w:val="single" w:color="000000" w:sz="4" w:space="0"/>
              <w:right w:val="single" w:color="000000" w:sz="4" w:space="0"/>
            </w:tcBorders>
            <w:vAlign w:val="center"/>
          </w:tcPr>
          <w:p w14:paraId="421130A5">
            <w:pPr>
              <w:pStyle w:val="78"/>
              <w:rPr>
                <w:rFonts w:cs="Times New Roman"/>
              </w:rPr>
            </w:pPr>
            <w:r>
              <w:rPr>
                <w:rFonts w:cs="Times New Roman"/>
              </w:rPr>
              <w:t>0.04</w:t>
            </w:r>
          </w:p>
        </w:tc>
      </w:tr>
      <w:tr w14:paraId="26E60942">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9EE3435">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7255C8DE">
            <w:pPr>
              <w:pStyle w:val="78"/>
              <w:rPr>
                <w:rFonts w:cs="Times New Roman"/>
              </w:rPr>
            </w:pPr>
            <w:r>
              <w:rPr>
                <w:rFonts w:cs="Times New Roman"/>
              </w:rPr>
              <w:t>铁</w:t>
            </w:r>
          </w:p>
        </w:tc>
        <w:tc>
          <w:tcPr>
            <w:tcW w:w="1867" w:type="pct"/>
            <w:tcBorders>
              <w:top w:val="single" w:color="000000" w:sz="4" w:space="0"/>
              <w:left w:val="single" w:color="000000" w:sz="4" w:space="0"/>
              <w:bottom w:val="single" w:color="000000" w:sz="4" w:space="0"/>
              <w:right w:val="single" w:color="000000" w:sz="4" w:space="0"/>
            </w:tcBorders>
            <w:vAlign w:val="center"/>
          </w:tcPr>
          <w:p w14:paraId="6007D0E7">
            <w:pPr>
              <w:pStyle w:val="78"/>
              <w:rPr>
                <w:rFonts w:cs="Times New Roman"/>
              </w:rPr>
            </w:pPr>
            <w:r>
              <w:rPr>
                <w:rFonts w:cs="Times New Roman"/>
              </w:rPr>
              <w:t>0.1</w:t>
            </w:r>
          </w:p>
        </w:tc>
      </w:tr>
      <w:tr w14:paraId="7D108575">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1FDEC8F">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65692401">
            <w:pPr>
              <w:pStyle w:val="78"/>
              <w:rPr>
                <w:rFonts w:cs="Times New Roman"/>
              </w:rPr>
            </w:pPr>
            <w:r>
              <w:rPr>
                <w:rFonts w:cs="Times New Roman"/>
              </w:rPr>
              <w:t>锰</w:t>
            </w:r>
          </w:p>
        </w:tc>
        <w:tc>
          <w:tcPr>
            <w:tcW w:w="1867" w:type="pct"/>
            <w:tcBorders>
              <w:top w:val="single" w:color="000000" w:sz="4" w:space="0"/>
              <w:left w:val="single" w:color="000000" w:sz="4" w:space="0"/>
              <w:bottom w:val="single" w:color="000000" w:sz="4" w:space="0"/>
              <w:right w:val="single" w:color="000000" w:sz="4" w:space="0"/>
            </w:tcBorders>
            <w:vAlign w:val="center"/>
          </w:tcPr>
          <w:p w14:paraId="0D973673">
            <w:pPr>
              <w:pStyle w:val="78"/>
              <w:rPr>
                <w:rFonts w:cs="Times New Roman"/>
              </w:rPr>
            </w:pPr>
            <w:r>
              <w:rPr>
                <w:rFonts w:cs="Times New Roman"/>
              </w:rPr>
              <w:t>0.05</w:t>
            </w:r>
          </w:p>
        </w:tc>
      </w:tr>
      <w:tr w14:paraId="6F84FD0A">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DDCD5BB">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C006D6F">
            <w:pPr>
              <w:pStyle w:val="78"/>
              <w:rPr>
                <w:rFonts w:cs="Times New Roman"/>
              </w:rPr>
            </w:pPr>
            <w:r>
              <w:rPr>
                <w:rFonts w:cs="Times New Roman"/>
              </w:rPr>
              <w:t>锌</w:t>
            </w:r>
          </w:p>
        </w:tc>
        <w:tc>
          <w:tcPr>
            <w:tcW w:w="1867" w:type="pct"/>
            <w:tcBorders>
              <w:top w:val="single" w:color="000000" w:sz="4" w:space="0"/>
              <w:left w:val="single" w:color="000000" w:sz="4" w:space="0"/>
              <w:bottom w:val="single" w:color="000000" w:sz="4" w:space="0"/>
              <w:right w:val="single" w:color="000000" w:sz="4" w:space="0"/>
            </w:tcBorders>
            <w:vAlign w:val="center"/>
          </w:tcPr>
          <w:p w14:paraId="5772F099">
            <w:pPr>
              <w:pStyle w:val="78"/>
              <w:rPr>
                <w:rFonts w:cs="Times New Roman"/>
              </w:rPr>
            </w:pPr>
            <w:r>
              <w:rPr>
                <w:rFonts w:cs="Times New Roman"/>
              </w:rPr>
              <w:t>0.025</w:t>
            </w:r>
          </w:p>
        </w:tc>
      </w:tr>
      <w:tr w14:paraId="4E54446F">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5BEC5235">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41A928C">
            <w:pPr>
              <w:pStyle w:val="78"/>
              <w:rPr>
                <w:rFonts w:cs="Times New Roman"/>
              </w:rPr>
            </w:pPr>
            <w:r>
              <w:rPr>
                <w:rFonts w:cs="Times New Roman"/>
              </w:rPr>
              <w:t>铜</w:t>
            </w:r>
          </w:p>
        </w:tc>
        <w:tc>
          <w:tcPr>
            <w:tcW w:w="1867" w:type="pct"/>
            <w:tcBorders>
              <w:top w:val="single" w:color="000000" w:sz="4" w:space="0"/>
              <w:left w:val="single" w:color="000000" w:sz="4" w:space="0"/>
              <w:bottom w:val="single" w:color="000000" w:sz="4" w:space="0"/>
              <w:right w:val="single" w:color="000000" w:sz="4" w:space="0"/>
            </w:tcBorders>
            <w:vAlign w:val="center"/>
          </w:tcPr>
          <w:p w14:paraId="5A74CFC9">
            <w:pPr>
              <w:pStyle w:val="78"/>
              <w:rPr>
                <w:rFonts w:cs="Times New Roman"/>
              </w:rPr>
            </w:pPr>
            <w:r>
              <w:rPr>
                <w:rFonts w:cs="Times New Roman"/>
              </w:rPr>
              <w:t>0.02</w:t>
            </w:r>
          </w:p>
        </w:tc>
      </w:tr>
      <w:tr w14:paraId="78459256">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11D23E2E">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49A814BF">
            <w:pPr>
              <w:pStyle w:val="78"/>
              <w:rPr>
                <w:rFonts w:cs="Times New Roman"/>
              </w:rPr>
            </w:pPr>
            <w:r>
              <w:rPr>
                <w:rFonts w:cs="Times New Roman"/>
              </w:rPr>
              <w:t>镍</w:t>
            </w:r>
          </w:p>
        </w:tc>
        <w:tc>
          <w:tcPr>
            <w:tcW w:w="1867" w:type="pct"/>
            <w:tcBorders>
              <w:top w:val="single" w:color="000000" w:sz="4" w:space="0"/>
              <w:left w:val="single" w:color="000000" w:sz="4" w:space="0"/>
              <w:bottom w:val="single" w:color="000000" w:sz="4" w:space="0"/>
              <w:right w:val="single" w:color="000000" w:sz="4" w:space="0"/>
            </w:tcBorders>
            <w:vAlign w:val="center"/>
          </w:tcPr>
          <w:p w14:paraId="5030B967">
            <w:pPr>
              <w:pStyle w:val="78"/>
              <w:rPr>
                <w:rFonts w:cs="Times New Roman"/>
              </w:rPr>
            </w:pPr>
            <w:r>
              <w:rPr>
                <w:rFonts w:cs="Times New Roman"/>
              </w:rPr>
              <w:t>0.175</w:t>
            </w:r>
          </w:p>
        </w:tc>
      </w:tr>
      <w:tr w14:paraId="2D0B3B41">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200BD8FE">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0190438C">
            <w:pPr>
              <w:pStyle w:val="78"/>
              <w:rPr>
                <w:rFonts w:cs="Times New Roman"/>
              </w:rPr>
            </w:pPr>
            <w:r>
              <w:rPr>
                <w:rFonts w:cs="Times New Roman"/>
              </w:rPr>
              <w:t>铝</w:t>
            </w:r>
          </w:p>
        </w:tc>
        <w:tc>
          <w:tcPr>
            <w:tcW w:w="1867" w:type="pct"/>
            <w:tcBorders>
              <w:top w:val="single" w:color="000000" w:sz="4" w:space="0"/>
              <w:left w:val="single" w:color="000000" w:sz="4" w:space="0"/>
              <w:bottom w:val="single" w:color="000000" w:sz="4" w:space="0"/>
              <w:right w:val="single" w:color="000000" w:sz="4" w:space="0"/>
            </w:tcBorders>
            <w:vAlign w:val="center"/>
          </w:tcPr>
          <w:p w14:paraId="167BF8FA">
            <w:pPr>
              <w:pStyle w:val="78"/>
              <w:rPr>
                <w:rFonts w:cs="Times New Roman"/>
              </w:rPr>
            </w:pPr>
            <w:r>
              <w:rPr>
                <w:rFonts w:cs="Times New Roman"/>
              </w:rPr>
              <w:t>0.0225</w:t>
            </w:r>
          </w:p>
        </w:tc>
      </w:tr>
      <w:tr w14:paraId="48E50539">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22ED06F1">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7A3010F8">
            <w:pPr>
              <w:pStyle w:val="78"/>
              <w:rPr>
                <w:rFonts w:cs="Times New Roman"/>
              </w:rPr>
            </w:pPr>
            <w:r>
              <w:rPr>
                <w:rFonts w:cs="Times New Roman"/>
              </w:rPr>
              <w:t>钼</w:t>
            </w:r>
          </w:p>
        </w:tc>
        <w:tc>
          <w:tcPr>
            <w:tcW w:w="1867" w:type="pct"/>
            <w:tcBorders>
              <w:top w:val="single" w:color="000000" w:sz="4" w:space="0"/>
              <w:left w:val="single" w:color="000000" w:sz="4" w:space="0"/>
              <w:bottom w:val="single" w:color="000000" w:sz="4" w:space="0"/>
              <w:right w:val="single" w:color="000000" w:sz="4" w:space="0"/>
            </w:tcBorders>
            <w:vAlign w:val="center"/>
          </w:tcPr>
          <w:p w14:paraId="2107F23E">
            <w:pPr>
              <w:pStyle w:val="78"/>
              <w:rPr>
                <w:rFonts w:cs="Times New Roman"/>
              </w:rPr>
            </w:pPr>
            <w:r>
              <w:rPr>
                <w:rFonts w:cs="Times New Roman"/>
              </w:rPr>
              <w:t>0.36</w:t>
            </w:r>
          </w:p>
        </w:tc>
      </w:tr>
      <w:tr w14:paraId="5595D09B">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1506273D">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281C063C">
            <w:pPr>
              <w:pStyle w:val="78"/>
              <w:rPr>
                <w:rFonts w:cs="Times New Roman"/>
              </w:rPr>
            </w:pPr>
            <w:r>
              <w:rPr>
                <w:rFonts w:cs="Times New Roman"/>
              </w:rPr>
              <w:t>钡</w:t>
            </w:r>
          </w:p>
        </w:tc>
        <w:tc>
          <w:tcPr>
            <w:tcW w:w="1867" w:type="pct"/>
            <w:tcBorders>
              <w:top w:val="single" w:color="000000" w:sz="4" w:space="0"/>
              <w:left w:val="single" w:color="000000" w:sz="4" w:space="0"/>
              <w:bottom w:val="single" w:color="000000" w:sz="4" w:space="0"/>
              <w:right w:val="single" w:color="000000" w:sz="4" w:space="0"/>
            </w:tcBorders>
            <w:vAlign w:val="center"/>
          </w:tcPr>
          <w:p w14:paraId="5627F2AE">
            <w:pPr>
              <w:pStyle w:val="78"/>
              <w:rPr>
                <w:rFonts w:cs="Times New Roman"/>
              </w:rPr>
            </w:pPr>
            <w:r>
              <w:rPr>
                <w:rFonts w:cs="Times New Roman"/>
              </w:rPr>
              <w:t>0.03</w:t>
            </w:r>
          </w:p>
        </w:tc>
      </w:tr>
      <w:tr w14:paraId="2F49A173">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F70AA84">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504A6C7C">
            <w:pPr>
              <w:pStyle w:val="78"/>
              <w:rPr>
                <w:rFonts w:cs="Times New Roman"/>
              </w:rPr>
            </w:pPr>
            <w:r>
              <w:rPr>
                <w:rFonts w:cs="Times New Roman"/>
              </w:rPr>
              <w:t>镉</w:t>
            </w:r>
          </w:p>
        </w:tc>
        <w:tc>
          <w:tcPr>
            <w:tcW w:w="1867" w:type="pct"/>
            <w:tcBorders>
              <w:top w:val="single" w:color="000000" w:sz="4" w:space="0"/>
              <w:left w:val="single" w:color="000000" w:sz="4" w:space="0"/>
              <w:bottom w:val="single" w:color="000000" w:sz="4" w:space="0"/>
              <w:right w:val="single" w:color="000000" w:sz="4" w:space="0"/>
            </w:tcBorders>
            <w:vAlign w:val="center"/>
          </w:tcPr>
          <w:p w14:paraId="5230A57E">
            <w:pPr>
              <w:pStyle w:val="78"/>
              <w:rPr>
                <w:rFonts w:cs="Times New Roman"/>
              </w:rPr>
            </w:pPr>
            <w:r>
              <w:rPr>
                <w:rFonts w:cs="Times New Roman"/>
              </w:rPr>
              <w:t>0.017</w:t>
            </w:r>
          </w:p>
        </w:tc>
      </w:tr>
      <w:tr w14:paraId="1E700BE5">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36C387FA">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06445B70">
            <w:pPr>
              <w:pStyle w:val="78"/>
              <w:rPr>
                <w:rFonts w:cs="Times New Roman"/>
              </w:rPr>
            </w:pPr>
            <w:r>
              <w:rPr>
                <w:rFonts w:cs="Times New Roman"/>
              </w:rPr>
              <w:t>铅</w:t>
            </w:r>
          </w:p>
        </w:tc>
        <w:tc>
          <w:tcPr>
            <w:tcW w:w="1867" w:type="pct"/>
            <w:tcBorders>
              <w:top w:val="single" w:color="000000" w:sz="4" w:space="0"/>
              <w:left w:val="single" w:color="000000" w:sz="4" w:space="0"/>
              <w:bottom w:val="single" w:color="000000" w:sz="4" w:space="0"/>
              <w:right w:val="single" w:color="000000" w:sz="4" w:space="0"/>
            </w:tcBorders>
            <w:vAlign w:val="center"/>
          </w:tcPr>
          <w:p w14:paraId="07749475">
            <w:pPr>
              <w:pStyle w:val="78"/>
              <w:rPr>
                <w:rFonts w:cs="Times New Roman"/>
              </w:rPr>
            </w:pPr>
            <w:r>
              <w:rPr>
                <w:rFonts w:cs="Times New Roman"/>
              </w:rPr>
              <w:t>0.062</w:t>
            </w:r>
          </w:p>
        </w:tc>
      </w:tr>
      <w:tr w14:paraId="2C880B4A">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4B851D4B">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4CC19C90">
            <w:pPr>
              <w:pStyle w:val="78"/>
              <w:rPr>
                <w:rFonts w:cs="Times New Roman"/>
              </w:rPr>
            </w:pPr>
            <w:r>
              <w:rPr>
                <w:rFonts w:cs="Times New Roman"/>
              </w:rPr>
              <w:t>总汞</w:t>
            </w:r>
          </w:p>
        </w:tc>
        <w:tc>
          <w:tcPr>
            <w:tcW w:w="1867" w:type="pct"/>
            <w:tcBorders>
              <w:top w:val="single" w:color="000000" w:sz="4" w:space="0"/>
              <w:left w:val="single" w:color="000000" w:sz="4" w:space="0"/>
              <w:bottom w:val="single" w:color="000000" w:sz="4" w:space="0"/>
              <w:right w:val="single" w:color="000000" w:sz="4" w:space="0"/>
            </w:tcBorders>
            <w:vAlign w:val="center"/>
          </w:tcPr>
          <w:p w14:paraId="3AA023BE">
            <w:pPr>
              <w:pStyle w:val="78"/>
              <w:rPr>
                <w:rFonts w:cs="Times New Roman"/>
              </w:rPr>
            </w:pPr>
            <w:r>
              <w:rPr>
                <w:rFonts w:cs="Times New Roman"/>
              </w:rPr>
              <w:t>0.16</w:t>
            </w:r>
          </w:p>
        </w:tc>
      </w:tr>
      <w:tr w14:paraId="176C4323">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A25D27F">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18095052">
            <w:pPr>
              <w:pStyle w:val="78"/>
              <w:rPr>
                <w:rFonts w:cs="Times New Roman"/>
              </w:rPr>
            </w:pPr>
            <w:r>
              <w:rPr>
                <w:rFonts w:cs="Times New Roman"/>
              </w:rPr>
              <w:t>砷</w:t>
            </w:r>
          </w:p>
        </w:tc>
        <w:tc>
          <w:tcPr>
            <w:tcW w:w="1867" w:type="pct"/>
            <w:tcBorders>
              <w:top w:val="single" w:color="000000" w:sz="4" w:space="0"/>
              <w:left w:val="single" w:color="000000" w:sz="4" w:space="0"/>
              <w:bottom w:val="single" w:color="000000" w:sz="4" w:space="0"/>
              <w:right w:val="single" w:color="000000" w:sz="4" w:space="0"/>
            </w:tcBorders>
            <w:vAlign w:val="center"/>
          </w:tcPr>
          <w:p w14:paraId="385B08C5">
            <w:pPr>
              <w:pStyle w:val="78"/>
              <w:rPr>
                <w:rFonts w:cs="Times New Roman"/>
              </w:rPr>
            </w:pPr>
            <w:r>
              <w:rPr>
                <w:rFonts w:cs="Times New Roman"/>
              </w:rPr>
              <w:t>0.04</w:t>
            </w:r>
          </w:p>
        </w:tc>
      </w:tr>
      <w:tr w14:paraId="37A57EA6">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2F5859D3">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6B7AD1C3">
            <w:pPr>
              <w:pStyle w:val="78"/>
              <w:rPr>
                <w:rFonts w:cs="Times New Roman"/>
              </w:rPr>
            </w:pPr>
            <w:r>
              <w:rPr>
                <w:rFonts w:cs="Times New Roman"/>
              </w:rPr>
              <w:t>甲苯（μg/L）</w:t>
            </w:r>
          </w:p>
        </w:tc>
        <w:tc>
          <w:tcPr>
            <w:tcW w:w="1867" w:type="pct"/>
            <w:tcBorders>
              <w:top w:val="single" w:color="000000" w:sz="4" w:space="0"/>
              <w:left w:val="single" w:color="000000" w:sz="4" w:space="0"/>
              <w:bottom w:val="single" w:color="000000" w:sz="4" w:space="0"/>
              <w:right w:val="single" w:color="000000" w:sz="4" w:space="0"/>
            </w:tcBorders>
            <w:vAlign w:val="center"/>
          </w:tcPr>
          <w:p w14:paraId="61CE0512">
            <w:pPr>
              <w:pStyle w:val="78"/>
              <w:rPr>
                <w:rFonts w:cs="Times New Roman"/>
              </w:rPr>
            </w:pPr>
            <w:r>
              <w:rPr>
                <w:rFonts w:cs="Times New Roman"/>
              </w:rPr>
              <w:t>0.001</w:t>
            </w:r>
          </w:p>
        </w:tc>
      </w:tr>
      <w:tr w14:paraId="0A7D19BA">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62F86A7D">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6F1A227C">
            <w:pPr>
              <w:pStyle w:val="78"/>
              <w:rPr>
                <w:rFonts w:cs="Times New Roman"/>
              </w:rPr>
            </w:pPr>
            <w:r>
              <w:rPr>
                <w:rFonts w:cs="Times New Roman"/>
              </w:rPr>
              <w:t>二甲苯（μg/L）</w:t>
            </w:r>
          </w:p>
        </w:tc>
        <w:tc>
          <w:tcPr>
            <w:tcW w:w="1867" w:type="pct"/>
            <w:tcBorders>
              <w:top w:val="single" w:color="000000" w:sz="4" w:space="0"/>
              <w:left w:val="single" w:color="000000" w:sz="4" w:space="0"/>
              <w:bottom w:val="single" w:color="000000" w:sz="4" w:space="0"/>
              <w:right w:val="single" w:color="000000" w:sz="4" w:space="0"/>
            </w:tcBorders>
            <w:vAlign w:val="center"/>
          </w:tcPr>
          <w:p w14:paraId="58A9F086">
            <w:pPr>
              <w:pStyle w:val="78"/>
              <w:rPr>
                <w:rFonts w:cs="Times New Roman"/>
              </w:rPr>
            </w:pPr>
            <w:r>
              <w:rPr>
                <w:rFonts w:cs="Times New Roman"/>
              </w:rPr>
              <w:t>0.004</w:t>
            </w:r>
          </w:p>
        </w:tc>
      </w:tr>
      <w:tr w14:paraId="6AAEC488">
        <w:tblPrEx>
          <w:tblCellMar>
            <w:top w:w="0" w:type="dxa"/>
            <w:left w:w="108" w:type="dxa"/>
            <w:bottom w:w="0" w:type="dxa"/>
            <w:right w:w="108" w:type="dxa"/>
          </w:tblCellMar>
        </w:tblPrEx>
        <w:trPr>
          <w:trHeight w:val="320" w:hRule="atLeast"/>
          <w:jc w:val="center"/>
        </w:trPr>
        <w:tc>
          <w:tcPr>
            <w:tcW w:w="1201" w:type="pct"/>
            <w:vMerge w:val="continue"/>
            <w:tcBorders>
              <w:top w:val="single" w:color="000000" w:sz="4" w:space="0"/>
              <w:left w:val="single" w:color="000000" w:sz="4" w:space="0"/>
              <w:bottom w:val="single" w:color="000000" w:sz="4" w:space="0"/>
              <w:right w:val="single" w:color="000000" w:sz="4" w:space="0"/>
            </w:tcBorders>
            <w:vAlign w:val="center"/>
          </w:tcPr>
          <w:p w14:paraId="7C50AE43">
            <w:pPr>
              <w:pStyle w:val="78"/>
              <w:rPr>
                <w:rFonts w:cs="Times New Roman"/>
              </w:rPr>
            </w:pPr>
          </w:p>
        </w:tc>
        <w:tc>
          <w:tcPr>
            <w:tcW w:w="1932" w:type="pct"/>
            <w:tcBorders>
              <w:top w:val="single" w:color="000000" w:sz="4" w:space="0"/>
              <w:left w:val="single" w:color="000000" w:sz="4" w:space="0"/>
              <w:bottom w:val="single" w:color="000000" w:sz="4" w:space="0"/>
              <w:right w:val="single" w:color="000000" w:sz="4" w:space="0"/>
            </w:tcBorders>
            <w:vAlign w:val="center"/>
          </w:tcPr>
          <w:p w14:paraId="3E3A3B4C">
            <w:pPr>
              <w:pStyle w:val="78"/>
              <w:rPr>
                <w:rFonts w:cs="Times New Roman"/>
              </w:rPr>
            </w:pPr>
            <w:r>
              <w:rPr>
                <w:rFonts w:cs="Times New Roman"/>
              </w:rPr>
              <w:t>苯乙烯（μg/L）</w:t>
            </w:r>
          </w:p>
        </w:tc>
        <w:tc>
          <w:tcPr>
            <w:tcW w:w="1867" w:type="pct"/>
            <w:tcBorders>
              <w:top w:val="single" w:color="000000" w:sz="4" w:space="0"/>
              <w:left w:val="single" w:color="000000" w:sz="4" w:space="0"/>
              <w:bottom w:val="single" w:color="000000" w:sz="4" w:space="0"/>
              <w:right w:val="single" w:color="000000" w:sz="4" w:space="0"/>
            </w:tcBorders>
            <w:vAlign w:val="center"/>
          </w:tcPr>
          <w:p w14:paraId="5B01AF4B">
            <w:pPr>
              <w:pStyle w:val="78"/>
              <w:rPr>
                <w:rFonts w:cs="Times New Roman"/>
              </w:rPr>
            </w:pPr>
            <w:r>
              <w:rPr>
                <w:rFonts w:cs="Times New Roman"/>
              </w:rPr>
              <w:t>0.015</w:t>
            </w:r>
          </w:p>
        </w:tc>
      </w:tr>
      <w:tr w14:paraId="700C598C">
        <w:tblPrEx>
          <w:tblCellMar>
            <w:top w:w="0" w:type="dxa"/>
            <w:left w:w="108" w:type="dxa"/>
            <w:bottom w:w="0" w:type="dxa"/>
            <w:right w:w="108" w:type="dxa"/>
          </w:tblCellMar>
        </w:tblPrEx>
        <w:trPr>
          <w:trHeight w:val="320"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vAlign w:val="center"/>
          </w:tcPr>
          <w:p w14:paraId="4DB69203">
            <w:pPr>
              <w:pStyle w:val="78"/>
              <w:jc w:val="left"/>
              <w:rPr>
                <w:rFonts w:cs="Times New Roman"/>
              </w:rPr>
            </w:pPr>
            <w:r>
              <w:rPr>
                <w:rFonts w:cs="Times New Roman"/>
                <w:szCs w:val="21"/>
                <w:lang w:bidi="ar"/>
              </w:rPr>
              <w:t>注：未检出的按检出限一半计。</w:t>
            </w:r>
          </w:p>
        </w:tc>
      </w:tr>
    </w:tbl>
    <w:p w14:paraId="24D4559C">
      <w:pPr>
        <w:pStyle w:val="6"/>
      </w:pPr>
      <w:r>
        <w:t>小结</w:t>
      </w:r>
    </w:p>
    <w:p w14:paraId="00E4FDFE">
      <w:pPr>
        <w:pStyle w:val="3"/>
        <w:ind w:firstLine="480"/>
      </w:pPr>
      <w:r>
        <w:t>结果表明，U1-U4浊度和肉眼可见物超标；总大肠菌群超标的点位有GW7、GW8、GW9；菌落总数超标的点位有GW6、GW7、GW8、GW9；耗氧量超标的有U1、U2；氨氮超标的点位有U1-U3、GW6；铁超标的监测点位有U1、U2、U4、GW7；锰超标的点位有U1-U4、GW6；其余因子均能满足《地下水质量标准》（GBT 14848-2017）Ⅲ类标准的要求。根据《广东省地下水功能区划》</w:t>
      </w:r>
      <w:r>
        <w:rPr>
          <w:lang w:val="zh-CN"/>
        </w:rPr>
        <w:t>（</w:t>
      </w:r>
      <w:r>
        <w:t>2009年8月）可知，</w:t>
      </w:r>
      <w:r>
        <w:rPr>
          <w:lang w:val="zh-CN"/>
        </w:rPr>
        <w:t>本公司所在区域地下水</w:t>
      </w:r>
      <w:r>
        <w:t>属于韩江及粤东诸河揭阳惠来沿海地质灾害易发区，该区域个别地段pH、Fe、Mn、氨氮超标。因此，本公司附近地下水出现铁、氨氮、锰超标可能与背景值超标有关；另外，总大肠菌群、菌落总数、色度、浊度和肉眼可见物超标可能与当地生活源、农业种植等面源有关。</w:t>
      </w:r>
    </w:p>
    <w:p w14:paraId="0C64E4D0">
      <w:pPr>
        <w:pStyle w:val="5"/>
        <w:rPr>
          <w:color w:val="auto"/>
        </w:rPr>
      </w:pPr>
      <w:r>
        <w:rPr>
          <w:color w:val="auto"/>
        </w:rPr>
        <w:t>历史土壤环境监测信息</w:t>
      </w:r>
    </w:p>
    <w:p w14:paraId="15AAB8E3">
      <w:pPr>
        <w:pStyle w:val="6"/>
      </w:pPr>
      <w:r>
        <w:t>监测点布设</w:t>
      </w:r>
    </w:p>
    <w:p w14:paraId="51838E37">
      <w:pPr>
        <w:pStyle w:val="3"/>
        <w:ind w:firstLine="480"/>
      </w:pPr>
      <w:r>
        <w:t>公司分别于2023年8月18日委托广东智环创新环境科技有限公司，2023年8月25日委托江西星辉检测技术有限公司共进行了一期土壤监测，在地块内设置7个监测点，在场地范围外布置4个监测点，共布置11个监测点，具体位置见</w:t>
      </w:r>
      <w:r>
        <w:fldChar w:fldCharType="begin"/>
      </w:r>
      <w:r>
        <w:instrText xml:space="preserve"> REF _Ref146587039 \h  \* MERGEFORMAT </w:instrText>
      </w:r>
      <w:r>
        <w:fldChar w:fldCharType="separate"/>
      </w:r>
      <w:r>
        <w:t>表 2.7</w:t>
      </w:r>
      <w:r>
        <w:noBreakHyphen/>
      </w:r>
      <w:r>
        <w:t>13</w:t>
      </w:r>
      <w:r>
        <w:fldChar w:fldCharType="end"/>
      </w:r>
      <w:r>
        <w:t>、</w:t>
      </w:r>
      <w:r>
        <w:fldChar w:fldCharType="begin"/>
      </w:r>
      <w:r>
        <w:instrText xml:space="preserve"> REF _Ref146587053 \h  \* MERGEFORMAT </w:instrText>
      </w:r>
      <w:r>
        <w:fldChar w:fldCharType="separate"/>
      </w:r>
      <w:r>
        <w:t>图 2.7</w:t>
      </w:r>
      <w:r>
        <w:noBreakHyphen/>
      </w:r>
      <w:r>
        <w:t>2</w:t>
      </w:r>
      <w:r>
        <w:fldChar w:fldCharType="end"/>
      </w:r>
      <w:r>
        <w:t>、</w:t>
      </w:r>
      <w:r>
        <w:fldChar w:fldCharType="begin"/>
      </w:r>
      <w:r>
        <w:instrText xml:space="preserve"> REF _Ref141257023 \h  \* MERGEFORMAT </w:instrText>
      </w:r>
      <w:r>
        <w:fldChar w:fldCharType="separate"/>
      </w:r>
      <w:r>
        <w:t>图 2.7</w:t>
      </w:r>
      <w:r>
        <w:noBreakHyphen/>
      </w:r>
      <w:r>
        <w:t>3</w:t>
      </w:r>
      <w:r>
        <w:fldChar w:fldCharType="end"/>
      </w:r>
      <w:r>
        <w:t>。</w:t>
      </w:r>
    </w:p>
    <w:p w14:paraId="3EF3C533">
      <w:pPr>
        <w:pStyle w:val="3"/>
        <w:ind w:firstLine="480"/>
        <w:sectPr>
          <w:pgSz w:w="11906" w:h="16838"/>
          <w:pgMar w:top="1418" w:right="1701" w:bottom="1418" w:left="1701" w:header="851" w:footer="992" w:gutter="0"/>
          <w:cols w:space="425" w:num="1"/>
          <w:docGrid w:linePitch="326" w:charSpace="0"/>
        </w:sectPr>
      </w:pPr>
    </w:p>
    <w:p w14:paraId="28E0FA9D">
      <w:pPr>
        <w:pStyle w:val="14"/>
        <w:ind w:firstLine="422"/>
        <w:rPr>
          <w:rFonts w:cs="Times New Roman"/>
          <w:color w:val="auto"/>
          <w:szCs w:val="21"/>
        </w:rPr>
      </w:pPr>
      <w:bookmarkStart w:id="54" w:name="_Ref146587039"/>
      <w:bookmarkStart w:id="55" w:name="_Ref145667021"/>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13</w:t>
      </w:r>
      <w:r>
        <w:rPr>
          <w:rFonts w:cs="Times New Roman"/>
          <w:color w:val="auto"/>
        </w:rPr>
        <w:fldChar w:fldCharType="end"/>
      </w:r>
      <w:bookmarkEnd w:id="54"/>
      <w:r>
        <w:rPr>
          <w:rFonts w:cs="Times New Roman"/>
          <w:color w:val="auto"/>
        </w:rPr>
        <w:t xml:space="preserve">  土壤监测点位列表</w:t>
      </w:r>
      <w:bookmarkEnd w:id="55"/>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62"/>
        <w:gridCol w:w="712"/>
        <w:gridCol w:w="2802"/>
        <w:gridCol w:w="1445"/>
        <w:gridCol w:w="2645"/>
        <w:gridCol w:w="1067"/>
        <w:gridCol w:w="1740"/>
        <w:gridCol w:w="1423"/>
        <w:gridCol w:w="1423"/>
      </w:tblGrid>
      <w:tr w14:paraId="7FA6E8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4" w:space="0"/>
              <w:left w:val="single" w:color="auto" w:sz="4" w:space="0"/>
              <w:bottom w:val="single" w:color="auto" w:sz="6" w:space="0"/>
              <w:right w:val="single" w:color="auto" w:sz="6" w:space="0"/>
            </w:tcBorders>
            <w:vAlign w:val="center"/>
          </w:tcPr>
          <w:p w14:paraId="59FB1EA4">
            <w:pPr>
              <w:pStyle w:val="78"/>
              <w:rPr>
                <w:rFonts w:cs="Times New Roman"/>
              </w:rPr>
            </w:pPr>
            <w:bookmarkStart w:id="56" w:name="_Hlk145669070"/>
            <w:r>
              <w:rPr>
                <w:rFonts w:cs="Times New Roman"/>
              </w:rPr>
              <w:t>编号</w:t>
            </w:r>
          </w:p>
        </w:tc>
        <w:tc>
          <w:tcPr>
            <w:tcW w:w="3504" w:type="dxa"/>
            <w:gridSpan w:val="2"/>
            <w:tcBorders>
              <w:top w:val="single" w:color="auto" w:sz="4" w:space="0"/>
              <w:left w:val="single" w:color="auto" w:sz="6" w:space="0"/>
              <w:bottom w:val="single" w:color="auto" w:sz="6" w:space="0"/>
              <w:right w:val="single" w:color="auto" w:sz="6" w:space="0"/>
            </w:tcBorders>
            <w:vAlign w:val="center"/>
          </w:tcPr>
          <w:p w14:paraId="11D36FF8">
            <w:pPr>
              <w:pStyle w:val="78"/>
              <w:rPr>
                <w:rFonts w:cs="Times New Roman"/>
              </w:rPr>
            </w:pPr>
            <w:r>
              <w:rPr>
                <w:rFonts w:cs="Times New Roman"/>
              </w:rPr>
              <w:t>监测点位置</w:t>
            </w:r>
          </w:p>
        </w:tc>
        <w:tc>
          <w:tcPr>
            <w:tcW w:w="1440" w:type="dxa"/>
            <w:tcBorders>
              <w:top w:val="single" w:color="auto" w:sz="4" w:space="0"/>
              <w:left w:val="single" w:color="auto" w:sz="6" w:space="0"/>
              <w:bottom w:val="single" w:color="auto" w:sz="6" w:space="0"/>
              <w:right w:val="single" w:color="auto" w:sz="6" w:space="0"/>
            </w:tcBorders>
            <w:vAlign w:val="center"/>
          </w:tcPr>
          <w:p w14:paraId="777B3044">
            <w:pPr>
              <w:pStyle w:val="78"/>
              <w:rPr>
                <w:rFonts w:cs="Times New Roman"/>
              </w:rPr>
            </w:pPr>
            <w:r>
              <w:rPr>
                <w:rFonts w:cs="Times New Roman"/>
              </w:rPr>
              <w:t>样点类型</w:t>
            </w:r>
          </w:p>
        </w:tc>
        <w:tc>
          <w:tcPr>
            <w:tcW w:w="2639" w:type="dxa"/>
            <w:tcBorders>
              <w:top w:val="single" w:color="auto" w:sz="4" w:space="0"/>
              <w:left w:val="single" w:color="auto" w:sz="6" w:space="0"/>
              <w:bottom w:val="single" w:color="auto" w:sz="6" w:space="0"/>
              <w:right w:val="single" w:color="auto" w:sz="6" w:space="0"/>
            </w:tcBorders>
            <w:vAlign w:val="center"/>
          </w:tcPr>
          <w:p w14:paraId="4BF7A33A">
            <w:pPr>
              <w:pStyle w:val="78"/>
              <w:rPr>
                <w:rFonts w:cs="Times New Roman"/>
              </w:rPr>
            </w:pPr>
            <w:r>
              <w:rPr>
                <w:rFonts w:cs="Times New Roman"/>
              </w:rPr>
              <w:t>采样深度</w:t>
            </w:r>
          </w:p>
        </w:tc>
        <w:tc>
          <w:tcPr>
            <w:tcW w:w="1063" w:type="dxa"/>
            <w:tcBorders>
              <w:top w:val="single" w:color="auto" w:sz="4" w:space="0"/>
              <w:left w:val="single" w:color="auto" w:sz="6" w:space="0"/>
              <w:bottom w:val="single" w:color="auto" w:sz="6" w:space="0"/>
              <w:right w:val="single" w:color="auto" w:sz="6" w:space="0"/>
            </w:tcBorders>
            <w:vAlign w:val="center"/>
          </w:tcPr>
          <w:p w14:paraId="763DD217">
            <w:pPr>
              <w:pStyle w:val="78"/>
              <w:rPr>
                <w:rFonts w:cs="Times New Roman"/>
              </w:rPr>
            </w:pPr>
            <w:r>
              <w:rPr>
                <w:rFonts w:cs="Times New Roman"/>
              </w:rPr>
              <w:t>方位</w:t>
            </w:r>
          </w:p>
        </w:tc>
        <w:tc>
          <w:tcPr>
            <w:tcW w:w="1735" w:type="dxa"/>
            <w:tcBorders>
              <w:top w:val="single" w:color="auto" w:sz="4" w:space="0"/>
              <w:left w:val="single" w:color="auto" w:sz="6" w:space="0"/>
              <w:bottom w:val="single" w:color="auto" w:sz="6" w:space="0"/>
              <w:right w:val="single" w:color="auto" w:sz="6" w:space="0"/>
            </w:tcBorders>
            <w:vAlign w:val="center"/>
          </w:tcPr>
          <w:p w14:paraId="3CB1BD62">
            <w:pPr>
              <w:pStyle w:val="78"/>
              <w:rPr>
                <w:rFonts w:cs="Times New Roman"/>
              </w:rPr>
            </w:pPr>
            <w:r>
              <w:rPr>
                <w:rFonts w:cs="Times New Roman"/>
              </w:rPr>
              <w:t>监测项目</w:t>
            </w:r>
          </w:p>
        </w:tc>
        <w:tc>
          <w:tcPr>
            <w:tcW w:w="1418" w:type="dxa"/>
            <w:tcBorders>
              <w:top w:val="single" w:color="auto" w:sz="4" w:space="0"/>
              <w:left w:val="single" w:color="auto" w:sz="6" w:space="0"/>
              <w:bottom w:val="single" w:color="auto" w:sz="6" w:space="0"/>
              <w:right w:val="single" w:color="auto" w:sz="6" w:space="0"/>
            </w:tcBorders>
            <w:vAlign w:val="center"/>
          </w:tcPr>
          <w:p w14:paraId="09BB2A5A">
            <w:pPr>
              <w:pStyle w:val="78"/>
              <w:rPr>
                <w:rFonts w:cs="Times New Roman"/>
              </w:rPr>
            </w:pPr>
            <w:r>
              <w:rPr>
                <w:rFonts w:cs="Times New Roman"/>
              </w:rPr>
              <w:t>用地类型</w:t>
            </w:r>
          </w:p>
        </w:tc>
        <w:tc>
          <w:tcPr>
            <w:tcW w:w="1418" w:type="dxa"/>
            <w:tcBorders>
              <w:top w:val="single" w:color="auto" w:sz="4" w:space="0"/>
              <w:left w:val="single" w:color="auto" w:sz="6" w:space="0"/>
              <w:bottom w:val="single" w:color="auto" w:sz="6" w:space="0"/>
              <w:right w:val="single" w:color="auto" w:sz="4" w:space="0"/>
            </w:tcBorders>
            <w:vAlign w:val="center"/>
          </w:tcPr>
          <w:p w14:paraId="6C5478B0">
            <w:pPr>
              <w:pStyle w:val="78"/>
              <w:rPr>
                <w:rFonts w:cs="Times New Roman"/>
              </w:rPr>
            </w:pPr>
            <w:r>
              <w:rPr>
                <w:rFonts w:cs="Times New Roman"/>
              </w:rPr>
              <w:t>土壤类型</w:t>
            </w:r>
          </w:p>
        </w:tc>
      </w:tr>
      <w:tr w14:paraId="68649B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412EA9FC">
            <w:pPr>
              <w:pStyle w:val="78"/>
              <w:rPr>
                <w:rFonts w:cs="Times New Roman"/>
              </w:rPr>
            </w:pPr>
            <w:r>
              <w:rPr>
                <w:rFonts w:cs="Times New Roman"/>
              </w:rPr>
              <w:t>SH-1</w:t>
            </w:r>
          </w:p>
        </w:tc>
        <w:tc>
          <w:tcPr>
            <w:tcW w:w="708" w:type="dxa"/>
            <w:vMerge w:val="restart"/>
            <w:tcBorders>
              <w:top w:val="single" w:color="auto" w:sz="6" w:space="0"/>
              <w:left w:val="single" w:color="auto" w:sz="6" w:space="0"/>
              <w:bottom w:val="single" w:color="auto" w:sz="6" w:space="0"/>
              <w:right w:val="single" w:color="auto" w:sz="6" w:space="0"/>
            </w:tcBorders>
            <w:vAlign w:val="center"/>
          </w:tcPr>
          <w:p w14:paraId="363BF80C">
            <w:pPr>
              <w:pStyle w:val="78"/>
              <w:rPr>
                <w:rFonts w:cs="Times New Roman"/>
                <w:b/>
                <w:bCs/>
              </w:rPr>
            </w:pPr>
            <w:r>
              <w:rPr>
                <w:rFonts w:cs="Times New Roman"/>
              </w:rPr>
              <w:t>占地范围内</w:t>
            </w:r>
          </w:p>
        </w:tc>
        <w:tc>
          <w:tcPr>
            <w:tcW w:w="2796" w:type="dxa"/>
            <w:tcBorders>
              <w:top w:val="single" w:color="auto" w:sz="6" w:space="0"/>
              <w:left w:val="single" w:color="auto" w:sz="6" w:space="0"/>
              <w:bottom w:val="single" w:color="auto" w:sz="6" w:space="0"/>
              <w:right w:val="single" w:color="auto" w:sz="6" w:space="0"/>
            </w:tcBorders>
            <w:vAlign w:val="center"/>
          </w:tcPr>
          <w:p w14:paraId="35A7B37C">
            <w:pPr>
              <w:pStyle w:val="78"/>
              <w:rPr>
                <w:rFonts w:cs="Times New Roman"/>
              </w:rPr>
            </w:pPr>
            <w:r>
              <w:rPr>
                <w:rFonts w:cs="Times New Roman"/>
              </w:rPr>
              <w:t>污水处理场</w:t>
            </w:r>
          </w:p>
        </w:tc>
        <w:tc>
          <w:tcPr>
            <w:tcW w:w="1440" w:type="dxa"/>
            <w:tcBorders>
              <w:top w:val="single" w:color="auto" w:sz="6" w:space="0"/>
              <w:left w:val="single" w:color="auto" w:sz="6" w:space="0"/>
              <w:bottom w:val="single" w:color="auto" w:sz="6" w:space="0"/>
              <w:right w:val="single" w:color="auto" w:sz="6" w:space="0"/>
            </w:tcBorders>
            <w:vAlign w:val="center"/>
          </w:tcPr>
          <w:p w14:paraId="7D9D6EB0">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1BAC638E">
            <w:pPr>
              <w:pStyle w:val="78"/>
              <w:rPr>
                <w:rFonts w:cs="Times New Roman"/>
                <w:spacing w:val="4"/>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3F73FDC0">
            <w:pPr>
              <w:pStyle w:val="78"/>
              <w:rPr>
                <w:rFonts w:cs="Times New Roman"/>
                <w:b/>
                <w:bCs/>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5FDA8D4F">
            <w:pPr>
              <w:pStyle w:val="78"/>
              <w:rPr>
                <w:rFonts w:cs="Times New Roman"/>
              </w:rPr>
            </w:pPr>
            <w:r>
              <w:rPr>
                <w:rFonts w:cs="Times New Roman"/>
              </w:rPr>
              <w:t>基本因子、特征因子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5E6BF261">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6E3E558B">
            <w:pPr>
              <w:pStyle w:val="78"/>
              <w:rPr>
                <w:rFonts w:cs="Times New Roman"/>
              </w:rPr>
            </w:pPr>
            <w:r>
              <w:rPr>
                <w:rFonts w:cs="Times New Roman"/>
              </w:rPr>
              <w:t>滨海风沙土</w:t>
            </w:r>
          </w:p>
        </w:tc>
      </w:tr>
      <w:tr w14:paraId="71137E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76A7934B">
            <w:pPr>
              <w:pStyle w:val="78"/>
              <w:rPr>
                <w:rFonts w:cs="Times New Roman"/>
              </w:rPr>
            </w:pPr>
            <w:r>
              <w:rPr>
                <w:rFonts w:cs="Times New Roman"/>
              </w:rPr>
              <w:t>SH-2</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15CAA3C7">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19F9C2C4">
            <w:pPr>
              <w:pStyle w:val="78"/>
              <w:rPr>
                <w:rFonts w:cs="Times New Roman"/>
              </w:rPr>
            </w:pPr>
            <w:r>
              <w:rPr>
                <w:rFonts w:cs="Times New Roman"/>
              </w:rPr>
              <w:t>球罐组</w:t>
            </w:r>
          </w:p>
        </w:tc>
        <w:tc>
          <w:tcPr>
            <w:tcW w:w="1440" w:type="dxa"/>
            <w:tcBorders>
              <w:top w:val="single" w:color="auto" w:sz="6" w:space="0"/>
              <w:left w:val="single" w:color="auto" w:sz="6" w:space="0"/>
              <w:bottom w:val="single" w:color="auto" w:sz="6" w:space="0"/>
              <w:right w:val="single" w:color="auto" w:sz="6" w:space="0"/>
            </w:tcBorders>
            <w:vAlign w:val="center"/>
          </w:tcPr>
          <w:p w14:paraId="1DB198E5">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41434BCE">
            <w:pPr>
              <w:pStyle w:val="78"/>
              <w:rPr>
                <w:rFonts w:cs="Times New Roman"/>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4DBFE3AB">
            <w:pPr>
              <w:pStyle w:val="78"/>
              <w:rPr>
                <w:rFonts w:cs="Times New Roman"/>
                <w:b/>
                <w:bCs/>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558DFC0C">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430B4BE6">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236B93D8">
            <w:pPr>
              <w:pStyle w:val="78"/>
              <w:rPr>
                <w:rFonts w:cs="Times New Roman"/>
              </w:rPr>
            </w:pPr>
            <w:r>
              <w:rPr>
                <w:rFonts w:cs="Times New Roman"/>
              </w:rPr>
              <w:t>滨海风沙土</w:t>
            </w:r>
          </w:p>
        </w:tc>
      </w:tr>
      <w:tr w14:paraId="4D1EE3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13E58426">
            <w:pPr>
              <w:pStyle w:val="78"/>
              <w:rPr>
                <w:rFonts w:cs="Times New Roman"/>
              </w:rPr>
            </w:pPr>
            <w:r>
              <w:rPr>
                <w:rFonts w:cs="Times New Roman"/>
              </w:rPr>
              <w:t>SH-3</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670B5EF9">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3A476700">
            <w:pPr>
              <w:pStyle w:val="78"/>
              <w:rPr>
                <w:rFonts w:cs="Times New Roman"/>
              </w:rPr>
            </w:pPr>
            <w:r>
              <w:rPr>
                <w:rFonts w:cs="Times New Roman"/>
              </w:rPr>
              <w:t>原料库房</w:t>
            </w:r>
          </w:p>
        </w:tc>
        <w:tc>
          <w:tcPr>
            <w:tcW w:w="1440" w:type="dxa"/>
            <w:tcBorders>
              <w:top w:val="single" w:color="auto" w:sz="6" w:space="0"/>
              <w:left w:val="single" w:color="auto" w:sz="6" w:space="0"/>
              <w:bottom w:val="single" w:color="auto" w:sz="6" w:space="0"/>
              <w:right w:val="single" w:color="auto" w:sz="6" w:space="0"/>
            </w:tcBorders>
            <w:vAlign w:val="center"/>
          </w:tcPr>
          <w:p w14:paraId="60473E18">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2826096B">
            <w:pPr>
              <w:pStyle w:val="78"/>
              <w:rPr>
                <w:rFonts w:cs="Times New Roman"/>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56441A86">
            <w:pPr>
              <w:pStyle w:val="78"/>
              <w:rPr>
                <w:rFonts w:cs="Times New Roman"/>
                <w:b/>
                <w:bCs/>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0DBA598E">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410A4C04">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43130E78">
            <w:pPr>
              <w:pStyle w:val="78"/>
              <w:rPr>
                <w:rFonts w:cs="Times New Roman"/>
              </w:rPr>
            </w:pPr>
            <w:r>
              <w:rPr>
                <w:rFonts w:cs="Times New Roman"/>
              </w:rPr>
              <w:t>滨海风沙土</w:t>
            </w:r>
          </w:p>
        </w:tc>
      </w:tr>
      <w:tr w14:paraId="710AAB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350460F7">
            <w:pPr>
              <w:pStyle w:val="78"/>
              <w:rPr>
                <w:rFonts w:cs="Times New Roman"/>
              </w:rPr>
            </w:pPr>
            <w:r>
              <w:rPr>
                <w:rFonts w:cs="Times New Roman"/>
              </w:rPr>
              <w:t>SH-4</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0408ADD7">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5C01B6DE">
            <w:pPr>
              <w:pStyle w:val="78"/>
              <w:rPr>
                <w:rFonts w:cs="Times New Roman"/>
              </w:rPr>
            </w:pPr>
            <w:r>
              <w:rPr>
                <w:rFonts w:cs="Times New Roman"/>
              </w:rPr>
              <w:t>裂解单元</w:t>
            </w:r>
          </w:p>
        </w:tc>
        <w:tc>
          <w:tcPr>
            <w:tcW w:w="1440" w:type="dxa"/>
            <w:tcBorders>
              <w:top w:val="single" w:color="auto" w:sz="6" w:space="0"/>
              <w:left w:val="single" w:color="auto" w:sz="6" w:space="0"/>
              <w:bottom w:val="single" w:color="auto" w:sz="6" w:space="0"/>
              <w:right w:val="single" w:color="auto" w:sz="6" w:space="0"/>
            </w:tcBorders>
            <w:vAlign w:val="center"/>
          </w:tcPr>
          <w:p w14:paraId="48D15178">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212F34DF">
            <w:pPr>
              <w:pStyle w:val="78"/>
              <w:rPr>
                <w:rFonts w:cs="Times New Roman"/>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2B0C2568">
            <w:pPr>
              <w:pStyle w:val="78"/>
              <w:rPr>
                <w:rFonts w:cs="Times New Roman"/>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0C03CAD2">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08888B12">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794BEE87">
            <w:pPr>
              <w:pStyle w:val="78"/>
              <w:rPr>
                <w:rFonts w:cs="Times New Roman"/>
              </w:rPr>
            </w:pPr>
            <w:r>
              <w:rPr>
                <w:rFonts w:cs="Times New Roman"/>
              </w:rPr>
              <w:t>滨海风沙土</w:t>
            </w:r>
          </w:p>
        </w:tc>
      </w:tr>
      <w:tr w14:paraId="60612D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4169D934">
            <w:pPr>
              <w:pStyle w:val="78"/>
              <w:rPr>
                <w:rFonts w:cs="Times New Roman"/>
              </w:rPr>
            </w:pPr>
            <w:r>
              <w:rPr>
                <w:rFonts w:cs="Times New Roman"/>
              </w:rPr>
              <w:t>SH-5</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14BE7E61">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6B030496">
            <w:pPr>
              <w:pStyle w:val="78"/>
              <w:rPr>
                <w:rFonts w:cs="Times New Roman"/>
              </w:rPr>
            </w:pPr>
            <w:r>
              <w:rPr>
                <w:rFonts w:cs="Times New Roman"/>
              </w:rPr>
              <w:t>废盐分解单元</w:t>
            </w:r>
          </w:p>
        </w:tc>
        <w:tc>
          <w:tcPr>
            <w:tcW w:w="1440" w:type="dxa"/>
            <w:tcBorders>
              <w:top w:val="single" w:color="auto" w:sz="6" w:space="0"/>
              <w:left w:val="single" w:color="auto" w:sz="6" w:space="0"/>
              <w:bottom w:val="single" w:color="auto" w:sz="6" w:space="0"/>
              <w:right w:val="single" w:color="auto" w:sz="6" w:space="0"/>
            </w:tcBorders>
            <w:vAlign w:val="center"/>
          </w:tcPr>
          <w:p w14:paraId="6DD3D4EB">
            <w:pPr>
              <w:pStyle w:val="78"/>
              <w:rPr>
                <w:rFonts w:cs="Times New Roman"/>
              </w:rPr>
            </w:pPr>
            <w:r>
              <w:rPr>
                <w:rFonts w:cs="Times New Roman"/>
              </w:rPr>
              <w:t>柱状样点</w:t>
            </w:r>
          </w:p>
        </w:tc>
        <w:tc>
          <w:tcPr>
            <w:tcW w:w="2639" w:type="dxa"/>
            <w:tcBorders>
              <w:top w:val="single" w:color="auto" w:sz="6" w:space="0"/>
              <w:left w:val="single" w:color="auto" w:sz="6" w:space="0"/>
              <w:bottom w:val="single" w:color="auto" w:sz="6" w:space="0"/>
              <w:right w:val="single" w:color="auto" w:sz="6" w:space="0"/>
            </w:tcBorders>
            <w:vAlign w:val="center"/>
          </w:tcPr>
          <w:p w14:paraId="729C20E5">
            <w:pPr>
              <w:pStyle w:val="78"/>
              <w:rPr>
                <w:rFonts w:cs="Times New Roman"/>
              </w:rPr>
            </w:pPr>
            <w:r>
              <w:rPr>
                <w:rFonts w:cs="Times New Roman"/>
                <w:spacing w:val="4"/>
              </w:rPr>
              <w:t>0~0.5m、0.5~1.5m、1.5~3m、3~6m</w:t>
            </w:r>
          </w:p>
        </w:tc>
        <w:tc>
          <w:tcPr>
            <w:tcW w:w="1063" w:type="dxa"/>
            <w:tcBorders>
              <w:top w:val="single" w:color="auto" w:sz="6" w:space="0"/>
              <w:left w:val="single" w:color="auto" w:sz="6" w:space="0"/>
              <w:bottom w:val="single" w:color="auto" w:sz="6" w:space="0"/>
              <w:right w:val="single" w:color="auto" w:sz="6" w:space="0"/>
            </w:tcBorders>
            <w:vAlign w:val="center"/>
          </w:tcPr>
          <w:p w14:paraId="6AA6F630">
            <w:pPr>
              <w:pStyle w:val="78"/>
              <w:rPr>
                <w:rFonts w:cs="Times New Roman"/>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223F792A">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7817FF0B">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4BA05171">
            <w:pPr>
              <w:pStyle w:val="78"/>
              <w:rPr>
                <w:rFonts w:cs="Times New Roman"/>
              </w:rPr>
            </w:pPr>
            <w:r>
              <w:rPr>
                <w:rFonts w:cs="Times New Roman"/>
              </w:rPr>
              <w:t>滨海风沙土</w:t>
            </w:r>
          </w:p>
        </w:tc>
      </w:tr>
      <w:tr w14:paraId="145ECA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0B0A0CC4">
            <w:pPr>
              <w:pStyle w:val="78"/>
              <w:rPr>
                <w:rFonts w:cs="Times New Roman"/>
              </w:rPr>
            </w:pPr>
            <w:r>
              <w:rPr>
                <w:rFonts w:cs="Times New Roman"/>
              </w:rPr>
              <w:t>SH-6</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1B9861CB">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3FEC7121">
            <w:pPr>
              <w:pStyle w:val="78"/>
              <w:rPr>
                <w:rFonts w:cs="Times New Roman"/>
              </w:rPr>
            </w:pPr>
            <w:r>
              <w:rPr>
                <w:rFonts w:cs="Times New Roman"/>
              </w:rPr>
              <w:t>原料化单元</w:t>
            </w:r>
          </w:p>
        </w:tc>
        <w:tc>
          <w:tcPr>
            <w:tcW w:w="1440" w:type="dxa"/>
            <w:tcBorders>
              <w:top w:val="single" w:color="auto" w:sz="6" w:space="0"/>
              <w:left w:val="single" w:color="auto" w:sz="6" w:space="0"/>
              <w:bottom w:val="single" w:color="auto" w:sz="6" w:space="0"/>
              <w:right w:val="single" w:color="auto" w:sz="6" w:space="0"/>
            </w:tcBorders>
            <w:vAlign w:val="center"/>
          </w:tcPr>
          <w:p w14:paraId="6CBCC44B">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20C37220">
            <w:pPr>
              <w:pStyle w:val="78"/>
              <w:rPr>
                <w:rFonts w:cs="Times New Roman"/>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04FDF94A">
            <w:pPr>
              <w:pStyle w:val="78"/>
              <w:rPr>
                <w:rFonts w:cs="Times New Roman"/>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1E51402F">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2E181CAC">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6E10C4E7">
            <w:pPr>
              <w:pStyle w:val="78"/>
              <w:rPr>
                <w:rFonts w:cs="Times New Roman"/>
              </w:rPr>
            </w:pPr>
            <w:r>
              <w:rPr>
                <w:rFonts w:cs="Times New Roman"/>
              </w:rPr>
              <w:t>滨海风沙土</w:t>
            </w:r>
          </w:p>
        </w:tc>
      </w:tr>
      <w:tr w14:paraId="782FEE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13904DF2">
            <w:pPr>
              <w:pStyle w:val="78"/>
              <w:rPr>
                <w:rFonts w:cs="Times New Roman"/>
              </w:rPr>
            </w:pPr>
            <w:r>
              <w:rPr>
                <w:rFonts w:cs="Times New Roman"/>
              </w:rPr>
              <w:t>SH-7</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220AED05">
            <w:pPr>
              <w:pStyle w:val="78"/>
              <w:rPr>
                <w:rFonts w:cs="Times New Roman"/>
                <w:b/>
                <w:bCs/>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1833A3D3">
            <w:pPr>
              <w:pStyle w:val="78"/>
              <w:rPr>
                <w:rFonts w:cs="Times New Roman"/>
              </w:rPr>
            </w:pPr>
            <w:r>
              <w:rPr>
                <w:rFonts w:cs="Times New Roman"/>
              </w:rPr>
              <w:t>循环水场</w:t>
            </w:r>
          </w:p>
        </w:tc>
        <w:tc>
          <w:tcPr>
            <w:tcW w:w="1440" w:type="dxa"/>
            <w:tcBorders>
              <w:top w:val="single" w:color="auto" w:sz="6" w:space="0"/>
              <w:left w:val="single" w:color="auto" w:sz="6" w:space="0"/>
              <w:bottom w:val="single" w:color="auto" w:sz="6" w:space="0"/>
              <w:right w:val="single" w:color="auto" w:sz="6" w:space="0"/>
            </w:tcBorders>
            <w:vAlign w:val="center"/>
          </w:tcPr>
          <w:p w14:paraId="10208250">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4A33F46E">
            <w:pPr>
              <w:pStyle w:val="78"/>
              <w:rPr>
                <w:rFonts w:cs="Times New Roman"/>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4634F0BC">
            <w:pPr>
              <w:pStyle w:val="78"/>
              <w:rPr>
                <w:rFonts w:cs="Times New Roman"/>
              </w:rPr>
            </w:pPr>
            <w:r>
              <w:rPr>
                <w:rFonts w:cs="Times New Roman"/>
              </w:rPr>
              <w:t>——</w:t>
            </w:r>
          </w:p>
        </w:tc>
        <w:tc>
          <w:tcPr>
            <w:tcW w:w="1735" w:type="dxa"/>
            <w:tcBorders>
              <w:top w:val="single" w:color="auto" w:sz="6" w:space="0"/>
              <w:left w:val="single" w:color="auto" w:sz="6" w:space="0"/>
              <w:bottom w:val="single" w:color="auto" w:sz="6" w:space="0"/>
              <w:right w:val="single" w:color="auto" w:sz="6" w:space="0"/>
            </w:tcBorders>
            <w:vAlign w:val="center"/>
          </w:tcPr>
          <w:p w14:paraId="78042ECA">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5383FB0F">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09435C13">
            <w:pPr>
              <w:pStyle w:val="78"/>
              <w:rPr>
                <w:rFonts w:cs="Times New Roman"/>
              </w:rPr>
            </w:pPr>
            <w:r>
              <w:rPr>
                <w:rFonts w:cs="Times New Roman"/>
              </w:rPr>
              <w:t>滨海风沙土</w:t>
            </w:r>
          </w:p>
        </w:tc>
      </w:tr>
      <w:tr w14:paraId="3C5BE5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61DA241C">
            <w:pPr>
              <w:pStyle w:val="78"/>
              <w:rPr>
                <w:rFonts w:cs="Times New Roman"/>
              </w:rPr>
            </w:pPr>
            <w:r>
              <w:rPr>
                <w:rFonts w:cs="Times New Roman"/>
              </w:rPr>
              <w:t>SH-8</w:t>
            </w:r>
          </w:p>
        </w:tc>
        <w:tc>
          <w:tcPr>
            <w:tcW w:w="708" w:type="dxa"/>
            <w:vMerge w:val="restart"/>
            <w:tcBorders>
              <w:top w:val="single" w:color="auto" w:sz="6" w:space="0"/>
              <w:left w:val="single" w:color="auto" w:sz="6" w:space="0"/>
              <w:bottom w:val="single" w:color="auto" w:sz="6" w:space="0"/>
              <w:right w:val="single" w:color="auto" w:sz="6" w:space="0"/>
            </w:tcBorders>
            <w:vAlign w:val="center"/>
          </w:tcPr>
          <w:p w14:paraId="08A82AA8">
            <w:pPr>
              <w:pStyle w:val="78"/>
              <w:rPr>
                <w:rFonts w:cs="Times New Roman"/>
              </w:rPr>
            </w:pPr>
            <w:r>
              <w:rPr>
                <w:rFonts w:cs="Times New Roman"/>
              </w:rPr>
              <w:t>占地范围外</w:t>
            </w:r>
          </w:p>
        </w:tc>
        <w:tc>
          <w:tcPr>
            <w:tcW w:w="2796" w:type="dxa"/>
            <w:tcBorders>
              <w:top w:val="single" w:color="auto" w:sz="6" w:space="0"/>
              <w:left w:val="single" w:color="auto" w:sz="6" w:space="0"/>
              <w:bottom w:val="single" w:color="auto" w:sz="6" w:space="0"/>
              <w:right w:val="single" w:color="auto" w:sz="6" w:space="0"/>
            </w:tcBorders>
            <w:vAlign w:val="center"/>
          </w:tcPr>
          <w:p w14:paraId="36791266">
            <w:pPr>
              <w:pStyle w:val="78"/>
              <w:rPr>
                <w:rFonts w:cs="Times New Roman"/>
              </w:rPr>
            </w:pPr>
            <w:r>
              <w:rPr>
                <w:rFonts w:cs="Times New Roman"/>
              </w:rPr>
              <w:t>西北面农田</w:t>
            </w:r>
          </w:p>
        </w:tc>
        <w:tc>
          <w:tcPr>
            <w:tcW w:w="1440" w:type="dxa"/>
            <w:tcBorders>
              <w:top w:val="single" w:color="auto" w:sz="6" w:space="0"/>
              <w:left w:val="single" w:color="auto" w:sz="6" w:space="0"/>
              <w:bottom w:val="single" w:color="auto" w:sz="6" w:space="0"/>
              <w:right w:val="single" w:color="auto" w:sz="6" w:space="0"/>
            </w:tcBorders>
            <w:vAlign w:val="center"/>
          </w:tcPr>
          <w:p w14:paraId="5DC3A2B4">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3545B074">
            <w:pPr>
              <w:pStyle w:val="78"/>
              <w:rPr>
                <w:rFonts w:cs="Times New Roman"/>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4D8F1C8B">
            <w:pPr>
              <w:pStyle w:val="78"/>
              <w:rPr>
                <w:rFonts w:cs="Times New Roman"/>
              </w:rPr>
            </w:pPr>
            <w:r>
              <w:rPr>
                <w:rFonts w:cs="Times New Roman"/>
              </w:rPr>
              <w:t>西北</w:t>
            </w:r>
          </w:p>
        </w:tc>
        <w:tc>
          <w:tcPr>
            <w:tcW w:w="1735" w:type="dxa"/>
            <w:tcBorders>
              <w:top w:val="single" w:color="auto" w:sz="6" w:space="0"/>
              <w:left w:val="single" w:color="auto" w:sz="6" w:space="0"/>
              <w:bottom w:val="single" w:color="auto" w:sz="6" w:space="0"/>
              <w:right w:val="single" w:color="auto" w:sz="6" w:space="0"/>
            </w:tcBorders>
            <w:vAlign w:val="center"/>
          </w:tcPr>
          <w:p w14:paraId="0646E880">
            <w:pPr>
              <w:pStyle w:val="78"/>
              <w:rPr>
                <w:rFonts w:cs="Times New Roman"/>
              </w:rPr>
            </w:pPr>
            <w:r>
              <w:rPr>
                <w:rFonts w:cs="Times New Roman"/>
              </w:rPr>
              <w:t>基本因子、特征因子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69522E78">
            <w:pPr>
              <w:pStyle w:val="78"/>
              <w:rPr>
                <w:rFonts w:cs="Times New Roman"/>
              </w:rPr>
            </w:pPr>
            <w:r>
              <w:rPr>
                <w:rFonts w:cs="Times New Roman"/>
              </w:rPr>
              <w:t>农用地</w:t>
            </w:r>
          </w:p>
        </w:tc>
        <w:tc>
          <w:tcPr>
            <w:tcW w:w="1418" w:type="dxa"/>
            <w:tcBorders>
              <w:top w:val="single" w:color="auto" w:sz="6" w:space="0"/>
              <w:left w:val="single" w:color="auto" w:sz="6" w:space="0"/>
              <w:bottom w:val="single" w:color="auto" w:sz="6" w:space="0"/>
              <w:right w:val="single" w:color="auto" w:sz="4" w:space="0"/>
            </w:tcBorders>
            <w:vAlign w:val="center"/>
          </w:tcPr>
          <w:p w14:paraId="10CDA5BC">
            <w:pPr>
              <w:pStyle w:val="78"/>
              <w:rPr>
                <w:rFonts w:cs="Times New Roman"/>
              </w:rPr>
            </w:pPr>
            <w:r>
              <w:rPr>
                <w:rFonts w:cs="Times New Roman"/>
              </w:rPr>
              <w:t>滨海风沙土</w:t>
            </w:r>
          </w:p>
        </w:tc>
      </w:tr>
      <w:tr w14:paraId="5A16D5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2C8429A7">
            <w:pPr>
              <w:pStyle w:val="78"/>
              <w:rPr>
                <w:rFonts w:cs="Times New Roman"/>
              </w:rPr>
            </w:pPr>
            <w:r>
              <w:rPr>
                <w:rFonts w:cs="Times New Roman"/>
              </w:rPr>
              <w:t>SH-9</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653EA3F0">
            <w:pPr>
              <w:pStyle w:val="78"/>
              <w:rPr>
                <w:rFonts w:cs="Times New Roman"/>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2F2417D6">
            <w:pPr>
              <w:pStyle w:val="78"/>
              <w:rPr>
                <w:rFonts w:cs="Times New Roman"/>
              </w:rPr>
            </w:pPr>
            <w:r>
              <w:rPr>
                <w:rFonts w:cs="Times New Roman"/>
              </w:rPr>
              <w:t>主导风向上风向点</w:t>
            </w:r>
          </w:p>
        </w:tc>
        <w:tc>
          <w:tcPr>
            <w:tcW w:w="1440" w:type="dxa"/>
            <w:tcBorders>
              <w:top w:val="single" w:color="auto" w:sz="6" w:space="0"/>
              <w:left w:val="single" w:color="auto" w:sz="6" w:space="0"/>
              <w:bottom w:val="single" w:color="auto" w:sz="6" w:space="0"/>
              <w:right w:val="single" w:color="auto" w:sz="6" w:space="0"/>
            </w:tcBorders>
            <w:vAlign w:val="center"/>
          </w:tcPr>
          <w:p w14:paraId="16B34AEE">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774E4C4C">
            <w:pPr>
              <w:pStyle w:val="78"/>
              <w:rPr>
                <w:rFonts w:cs="Times New Roman"/>
                <w:spacing w:val="4"/>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11D1F686">
            <w:pPr>
              <w:pStyle w:val="78"/>
              <w:rPr>
                <w:rFonts w:cs="Times New Roman"/>
              </w:rPr>
            </w:pPr>
            <w:r>
              <w:rPr>
                <w:rFonts w:cs="Times New Roman"/>
              </w:rPr>
              <w:t>东北</w:t>
            </w:r>
          </w:p>
        </w:tc>
        <w:tc>
          <w:tcPr>
            <w:tcW w:w="1735" w:type="dxa"/>
            <w:tcBorders>
              <w:top w:val="single" w:color="auto" w:sz="6" w:space="0"/>
              <w:left w:val="single" w:color="auto" w:sz="6" w:space="0"/>
              <w:bottom w:val="single" w:color="auto" w:sz="6" w:space="0"/>
              <w:right w:val="single" w:color="auto" w:sz="6" w:space="0"/>
            </w:tcBorders>
            <w:vAlign w:val="center"/>
          </w:tcPr>
          <w:p w14:paraId="3EEB3059">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5FAA8C9D">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2CE14B69">
            <w:pPr>
              <w:pStyle w:val="78"/>
              <w:rPr>
                <w:rFonts w:cs="Times New Roman"/>
              </w:rPr>
            </w:pPr>
            <w:r>
              <w:rPr>
                <w:rFonts w:cs="Times New Roman"/>
              </w:rPr>
              <w:t>滨海风沙土</w:t>
            </w:r>
          </w:p>
        </w:tc>
      </w:tr>
      <w:tr w14:paraId="1D5A46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6" w:space="0"/>
              <w:right w:val="single" w:color="auto" w:sz="6" w:space="0"/>
            </w:tcBorders>
            <w:vAlign w:val="center"/>
          </w:tcPr>
          <w:p w14:paraId="391AF78A">
            <w:pPr>
              <w:pStyle w:val="78"/>
              <w:rPr>
                <w:rFonts w:cs="Times New Roman"/>
              </w:rPr>
            </w:pPr>
            <w:r>
              <w:rPr>
                <w:rFonts w:cs="Times New Roman"/>
              </w:rPr>
              <w:t>SH-10</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5A97334F">
            <w:pPr>
              <w:pStyle w:val="78"/>
              <w:rPr>
                <w:rFonts w:cs="Times New Roman"/>
                <w:szCs w:val="21"/>
              </w:rPr>
            </w:pPr>
          </w:p>
        </w:tc>
        <w:tc>
          <w:tcPr>
            <w:tcW w:w="2796" w:type="dxa"/>
            <w:tcBorders>
              <w:top w:val="single" w:color="auto" w:sz="6" w:space="0"/>
              <w:left w:val="single" w:color="auto" w:sz="6" w:space="0"/>
              <w:bottom w:val="single" w:color="auto" w:sz="6" w:space="0"/>
              <w:right w:val="single" w:color="auto" w:sz="6" w:space="0"/>
            </w:tcBorders>
            <w:vAlign w:val="center"/>
          </w:tcPr>
          <w:p w14:paraId="75985728">
            <w:pPr>
              <w:pStyle w:val="78"/>
              <w:rPr>
                <w:rFonts w:cs="Times New Roman"/>
              </w:rPr>
            </w:pPr>
            <w:r>
              <w:rPr>
                <w:rFonts w:cs="Times New Roman"/>
              </w:rPr>
              <w:t>主导风向下风向点1</w:t>
            </w:r>
          </w:p>
        </w:tc>
        <w:tc>
          <w:tcPr>
            <w:tcW w:w="1440" w:type="dxa"/>
            <w:tcBorders>
              <w:top w:val="single" w:color="auto" w:sz="6" w:space="0"/>
              <w:left w:val="single" w:color="auto" w:sz="6" w:space="0"/>
              <w:bottom w:val="single" w:color="auto" w:sz="6" w:space="0"/>
              <w:right w:val="single" w:color="auto" w:sz="6" w:space="0"/>
            </w:tcBorders>
            <w:vAlign w:val="center"/>
          </w:tcPr>
          <w:p w14:paraId="7054843A">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6" w:space="0"/>
              <w:right w:val="single" w:color="auto" w:sz="6" w:space="0"/>
            </w:tcBorders>
            <w:vAlign w:val="center"/>
          </w:tcPr>
          <w:p w14:paraId="75619815">
            <w:pPr>
              <w:pStyle w:val="78"/>
              <w:rPr>
                <w:rFonts w:cs="Times New Roman"/>
                <w:spacing w:val="4"/>
              </w:rPr>
            </w:pPr>
            <w:r>
              <w:rPr>
                <w:rFonts w:cs="Times New Roman"/>
                <w:spacing w:val="4"/>
              </w:rPr>
              <w:t>0~0.2m</w:t>
            </w:r>
          </w:p>
        </w:tc>
        <w:tc>
          <w:tcPr>
            <w:tcW w:w="1063" w:type="dxa"/>
            <w:tcBorders>
              <w:top w:val="single" w:color="auto" w:sz="6" w:space="0"/>
              <w:left w:val="single" w:color="auto" w:sz="6" w:space="0"/>
              <w:bottom w:val="single" w:color="auto" w:sz="6" w:space="0"/>
              <w:right w:val="single" w:color="auto" w:sz="6" w:space="0"/>
            </w:tcBorders>
            <w:vAlign w:val="center"/>
          </w:tcPr>
          <w:p w14:paraId="3C1456F0">
            <w:pPr>
              <w:pStyle w:val="78"/>
              <w:rPr>
                <w:rFonts w:cs="Times New Roman"/>
              </w:rPr>
            </w:pPr>
            <w:r>
              <w:rPr>
                <w:rFonts w:cs="Times New Roman"/>
              </w:rPr>
              <w:t>西北</w:t>
            </w:r>
          </w:p>
        </w:tc>
        <w:tc>
          <w:tcPr>
            <w:tcW w:w="1735" w:type="dxa"/>
            <w:tcBorders>
              <w:top w:val="single" w:color="auto" w:sz="6" w:space="0"/>
              <w:left w:val="single" w:color="auto" w:sz="6" w:space="0"/>
              <w:bottom w:val="single" w:color="auto" w:sz="6" w:space="0"/>
              <w:right w:val="single" w:color="auto" w:sz="6" w:space="0"/>
            </w:tcBorders>
            <w:vAlign w:val="center"/>
          </w:tcPr>
          <w:p w14:paraId="73581205">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6" w:space="0"/>
              <w:right w:val="single" w:color="auto" w:sz="6" w:space="0"/>
            </w:tcBorders>
            <w:vAlign w:val="center"/>
          </w:tcPr>
          <w:p w14:paraId="14B84C0B">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6" w:space="0"/>
              <w:right w:val="single" w:color="auto" w:sz="4" w:space="0"/>
            </w:tcBorders>
            <w:vAlign w:val="center"/>
          </w:tcPr>
          <w:p w14:paraId="7D4A1025">
            <w:pPr>
              <w:pStyle w:val="78"/>
              <w:rPr>
                <w:rFonts w:cs="Times New Roman"/>
              </w:rPr>
            </w:pPr>
            <w:r>
              <w:rPr>
                <w:rFonts w:cs="Times New Roman"/>
              </w:rPr>
              <w:t>滨海风沙土</w:t>
            </w:r>
          </w:p>
        </w:tc>
      </w:tr>
      <w:tr w14:paraId="3BE88C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58" w:type="dxa"/>
            <w:tcBorders>
              <w:top w:val="single" w:color="auto" w:sz="6" w:space="0"/>
              <w:left w:val="single" w:color="auto" w:sz="4" w:space="0"/>
              <w:bottom w:val="single" w:color="auto" w:sz="4" w:space="0"/>
              <w:right w:val="single" w:color="auto" w:sz="6" w:space="0"/>
            </w:tcBorders>
            <w:vAlign w:val="center"/>
          </w:tcPr>
          <w:p w14:paraId="2B52DF1B">
            <w:pPr>
              <w:pStyle w:val="78"/>
              <w:rPr>
                <w:rFonts w:cs="Times New Roman"/>
              </w:rPr>
            </w:pPr>
            <w:r>
              <w:rPr>
                <w:rFonts w:cs="Times New Roman"/>
              </w:rPr>
              <w:t>SH-11</w:t>
            </w:r>
          </w:p>
        </w:tc>
        <w:tc>
          <w:tcPr>
            <w:tcW w:w="3504" w:type="dxa"/>
            <w:vMerge w:val="continue"/>
            <w:tcBorders>
              <w:top w:val="single" w:color="auto" w:sz="6" w:space="0"/>
              <w:left w:val="single" w:color="auto" w:sz="6" w:space="0"/>
              <w:bottom w:val="single" w:color="auto" w:sz="6" w:space="0"/>
              <w:right w:val="single" w:color="auto" w:sz="6" w:space="0"/>
            </w:tcBorders>
            <w:vAlign w:val="center"/>
          </w:tcPr>
          <w:p w14:paraId="2545D6E4">
            <w:pPr>
              <w:pStyle w:val="78"/>
              <w:rPr>
                <w:rFonts w:cs="Times New Roman"/>
                <w:szCs w:val="21"/>
              </w:rPr>
            </w:pPr>
          </w:p>
        </w:tc>
        <w:tc>
          <w:tcPr>
            <w:tcW w:w="2796" w:type="dxa"/>
            <w:tcBorders>
              <w:top w:val="single" w:color="auto" w:sz="6" w:space="0"/>
              <w:left w:val="single" w:color="auto" w:sz="6" w:space="0"/>
              <w:bottom w:val="single" w:color="auto" w:sz="4" w:space="0"/>
              <w:right w:val="single" w:color="auto" w:sz="6" w:space="0"/>
            </w:tcBorders>
            <w:vAlign w:val="center"/>
          </w:tcPr>
          <w:p w14:paraId="0351B8A1">
            <w:pPr>
              <w:pStyle w:val="78"/>
              <w:rPr>
                <w:rFonts w:cs="Times New Roman"/>
              </w:rPr>
            </w:pPr>
            <w:r>
              <w:rPr>
                <w:rFonts w:cs="Times New Roman"/>
              </w:rPr>
              <w:t>主导风向下风向点2</w:t>
            </w:r>
          </w:p>
        </w:tc>
        <w:tc>
          <w:tcPr>
            <w:tcW w:w="1440" w:type="dxa"/>
            <w:tcBorders>
              <w:top w:val="single" w:color="auto" w:sz="6" w:space="0"/>
              <w:left w:val="single" w:color="auto" w:sz="6" w:space="0"/>
              <w:bottom w:val="single" w:color="auto" w:sz="4" w:space="0"/>
              <w:right w:val="single" w:color="auto" w:sz="6" w:space="0"/>
            </w:tcBorders>
            <w:vAlign w:val="center"/>
          </w:tcPr>
          <w:p w14:paraId="7124BD1F">
            <w:pPr>
              <w:pStyle w:val="78"/>
              <w:rPr>
                <w:rFonts w:cs="Times New Roman"/>
              </w:rPr>
            </w:pPr>
            <w:r>
              <w:rPr>
                <w:rFonts w:cs="Times New Roman"/>
              </w:rPr>
              <w:t>表层样点</w:t>
            </w:r>
          </w:p>
        </w:tc>
        <w:tc>
          <w:tcPr>
            <w:tcW w:w="2639" w:type="dxa"/>
            <w:tcBorders>
              <w:top w:val="single" w:color="auto" w:sz="6" w:space="0"/>
              <w:left w:val="single" w:color="auto" w:sz="6" w:space="0"/>
              <w:bottom w:val="single" w:color="auto" w:sz="4" w:space="0"/>
              <w:right w:val="single" w:color="auto" w:sz="6" w:space="0"/>
            </w:tcBorders>
            <w:vAlign w:val="center"/>
          </w:tcPr>
          <w:p w14:paraId="297836CA">
            <w:pPr>
              <w:pStyle w:val="78"/>
              <w:rPr>
                <w:rFonts w:cs="Times New Roman"/>
                <w:spacing w:val="4"/>
              </w:rPr>
            </w:pPr>
            <w:r>
              <w:rPr>
                <w:rFonts w:cs="Times New Roman"/>
                <w:spacing w:val="4"/>
              </w:rPr>
              <w:t>0~0.2m</w:t>
            </w:r>
          </w:p>
        </w:tc>
        <w:tc>
          <w:tcPr>
            <w:tcW w:w="1063" w:type="dxa"/>
            <w:tcBorders>
              <w:top w:val="single" w:color="auto" w:sz="6" w:space="0"/>
              <w:left w:val="single" w:color="auto" w:sz="6" w:space="0"/>
              <w:bottom w:val="single" w:color="auto" w:sz="4" w:space="0"/>
              <w:right w:val="single" w:color="auto" w:sz="6" w:space="0"/>
            </w:tcBorders>
            <w:vAlign w:val="center"/>
          </w:tcPr>
          <w:p w14:paraId="03DABCC7">
            <w:pPr>
              <w:pStyle w:val="78"/>
              <w:rPr>
                <w:rFonts w:cs="Times New Roman"/>
              </w:rPr>
            </w:pPr>
            <w:r>
              <w:rPr>
                <w:rFonts w:cs="Times New Roman"/>
              </w:rPr>
              <w:t>西北</w:t>
            </w:r>
          </w:p>
        </w:tc>
        <w:tc>
          <w:tcPr>
            <w:tcW w:w="1735" w:type="dxa"/>
            <w:tcBorders>
              <w:top w:val="single" w:color="auto" w:sz="6" w:space="0"/>
              <w:left w:val="single" w:color="auto" w:sz="6" w:space="0"/>
              <w:bottom w:val="single" w:color="auto" w:sz="4" w:space="0"/>
              <w:right w:val="single" w:color="auto" w:sz="6" w:space="0"/>
            </w:tcBorders>
            <w:vAlign w:val="center"/>
          </w:tcPr>
          <w:p w14:paraId="7988C627">
            <w:pPr>
              <w:pStyle w:val="78"/>
              <w:rPr>
                <w:rFonts w:cs="Times New Roman"/>
              </w:rPr>
            </w:pPr>
            <w:r>
              <w:rPr>
                <w:rFonts w:cs="Times New Roman"/>
              </w:rPr>
              <w:t>特征因子</w:t>
            </w:r>
          </w:p>
        </w:tc>
        <w:tc>
          <w:tcPr>
            <w:tcW w:w="1418" w:type="dxa"/>
            <w:tcBorders>
              <w:top w:val="single" w:color="auto" w:sz="6" w:space="0"/>
              <w:left w:val="single" w:color="auto" w:sz="6" w:space="0"/>
              <w:bottom w:val="single" w:color="auto" w:sz="4" w:space="0"/>
              <w:right w:val="single" w:color="auto" w:sz="6" w:space="0"/>
            </w:tcBorders>
            <w:vAlign w:val="center"/>
          </w:tcPr>
          <w:p w14:paraId="0F26B849">
            <w:pPr>
              <w:pStyle w:val="78"/>
              <w:rPr>
                <w:rFonts w:cs="Times New Roman"/>
              </w:rPr>
            </w:pPr>
            <w:r>
              <w:rPr>
                <w:rFonts w:cs="Times New Roman"/>
              </w:rPr>
              <w:t>建设用地</w:t>
            </w:r>
          </w:p>
        </w:tc>
        <w:tc>
          <w:tcPr>
            <w:tcW w:w="1418" w:type="dxa"/>
            <w:tcBorders>
              <w:top w:val="single" w:color="auto" w:sz="6" w:space="0"/>
              <w:left w:val="single" w:color="auto" w:sz="6" w:space="0"/>
              <w:bottom w:val="single" w:color="auto" w:sz="4" w:space="0"/>
              <w:right w:val="single" w:color="auto" w:sz="4" w:space="0"/>
            </w:tcBorders>
            <w:vAlign w:val="center"/>
          </w:tcPr>
          <w:p w14:paraId="5B789492">
            <w:pPr>
              <w:pStyle w:val="78"/>
              <w:rPr>
                <w:rFonts w:cs="Times New Roman"/>
              </w:rPr>
            </w:pPr>
            <w:r>
              <w:rPr>
                <w:rFonts w:cs="Times New Roman"/>
              </w:rPr>
              <w:t>滨海风沙土</w:t>
            </w:r>
          </w:p>
        </w:tc>
      </w:tr>
      <w:bookmarkEnd w:id="56"/>
    </w:tbl>
    <w:p w14:paraId="6371D739">
      <w:pPr>
        <w:pStyle w:val="3"/>
        <w:ind w:firstLine="0" w:firstLineChars="0"/>
      </w:pPr>
    </w:p>
    <w:p w14:paraId="215AA217">
      <w:pPr>
        <w:pStyle w:val="3"/>
        <w:ind w:firstLine="0" w:firstLineChars="0"/>
        <w:sectPr>
          <w:pgSz w:w="16838" w:h="11906" w:orient="landscape"/>
          <w:pgMar w:top="1701" w:right="1418" w:bottom="1701" w:left="1418" w:header="851" w:footer="992" w:gutter="0"/>
          <w:cols w:space="425" w:num="1"/>
          <w:docGrid w:linePitch="326" w:charSpace="0"/>
        </w:sectPr>
      </w:pPr>
    </w:p>
    <w:p w14:paraId="2D0913EA">
      <w:pPr>
        <w:pStyle w:val="3"/>
        <w:ind w:firstLine="480"/>
        <w:jc w:val="center"/>
      </w:pPr>
      <w:r>
        <mc:AlternateContent>
          <mc:Choice Requires="wpg">
            <w:drawing>
              <wp:anchor distT="0" distB="0" distL="114300" distR="114300" simplePos="0" relativeHeight="251661312" behindDoc="0" locked="0" layoutInCell="1" allowOverlap="1">
                <wp:simplePos x="0" y="0"/>
                <wp:positionH relativeFrom="column">
                  <wp:posOffset>2019935</wp:posOffset>
                </wp:positionH>
                <wp:positionV relativeFrom="paragraph">
                  <wp:posOffset>7603490</wp:posOffset>
                </wp:positionV>
                <wp:extent cx="1495425" cy="1052195"/>
                <wp:effectExtent l="0" t="0" r="28575" b="14605"/>
                <wp:wrapNone/>
                <wp:docPr id="168875961" name="组合 7"/>
                <wp:cNvGraphicFramePr/>
                <a:graphic xmlns:a="http://schemas.openxmlformats.org/drawingml/2006/main">
                  <a:graphicData uri="http://schemas.microsoft.com/office/word/2010/wordprocessingGroup">
                    <wpg:wgp>
                      <wpg:cNvGrpSpPr/>
                      <wpg:grpSpPr>
                        <a:xfrm>
                          <a:off x="0" y="0"/>
                          <a:ext cx="1495425" cy="1052195"/>
                          <a:chOff x="0" y="0"/>
                          <a:chExt cx="1495425" cy="1052195"/>
                        </a:xfrm>
                      </wpg:grpSpPr>
                      <wps:wsp>
                        <wps:cNvPr id="1872952217" name="文本框 5"/>
                        <wps:cNvSpPr txBox="1"/>
                        <wps:spPr>
                          <a:xfrm>
                            <a:off x="0" y="0"/>
                            <a:ext cx="1495425" cy="1052195"/>
                          </a:xfrm>
                          <a:prstGeom prst="rect">
                            <a:avLst/>
                          </a:prstGeom>
                          <a:solidFill>
                            <a:sysClr val="window" lastClr="FFFFFF"/>
                          </a:solidFill>
                          <a:ln w="6350">
                            <a:solidFill>
                              <a:schemeClr val="bg1">
                                <a:lumMod val="85000"/>
                              </a:schemeClr>
                            </a:solidFill>
                          </a:ln>
                        </wps:spPr>
                        <wps:txbx>
                          <w:txbxContent>
                            <w:p w14:paraId="7AC87E04">
                              <w:pPr>
                                <w:pStyle w:val="78"/>
                                <w:spacing w:line="276" w:lineRule="auto"/>
                                <w:rPr>
                                  <w:b/>
                                  <w:bCs/>
                                </w:rPr>
                              </w:pPr>
                              <w:r>
                                <w:rPr>
                                  <w:rFonts w:hint="eastAsia"/>
                                  <w:b/>
                                  <w:bCs/>
                                </w:rPr>
                                <w:t>图例</w:t>
                              </w:r>
                            </w:p>
                            <w:p w14:paraId="78976B57">
                              <w:pPr>
                                <w:pStyle w:val="78"/>
                                <w:spacing w:line="276" w:lineRule="auto"/>
                                <w:ind w:firstLine="735" w:firstLineChars="350"/>
                                <w:jc w:val="both"/>
                              </w:pPr>
                              <w:r>
                                <w:rPr>
                                  <w:rFonts w:hint="eastAsia"/>
                                </w:rPr>
                                <w:t>本公司位置</w:t>
                              </w:r>
                            </w:p>
                            <w:p w14:paraId="63FDED9A">
                              <w:pPr>
                                <w:pStyle w:val="78"/>
                                <w:spacing w:line="276" w:lineRule="auto"/>
                                <w:ind w:firstLine="525" w:firstLineChars="250"/>
                                <w:jc w:val="both"/>
                              </w:pPr>
                              <w:r>
                                <w:rPr>
                                  <w:rFonts w:hint="eastAsia"/>
                                </w:rPr>
                                <w:t>土壤监测柱状样</w:t>
                              </w:r>
                            </w:p>
                            <w:p w14:paraId="1F9116AC">
                              <w:pPr>
                                <w:pStyle w:val="78"/>
                                <w:spacing w:line="276" w:lineRule="auto"/>
                                <w:ind w:firstLine="525" w:firstLineChars="250"/>
                                <w:jc w:val="both"/>
                              </w:pPr>
                              <w:r>
                                <w:rPr>
                                  <w:rFonts w:hint="eastAsia"/>
                                </w:rPr>
                                <w:t>土壤监测表层样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6572143" name="矩形 6"/>
                        <wps:cNvSpPr/>
                        <wps:spPr>
                          <a:xfrm>
                            <a:off x="85061" y="297712"/>
                            <a:ext cx="265430" cy="107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41441590" name="等腰三角形 9"/>
                        <wps:cNvSpPr/>
                        <wps:spPr>
                          <a:xfrm>
                            <a:off x="146641" y="486883"/>
                            <a:ext cx="127000" cy="107950"/>
                          </a:xfrm>
                          <a:prstGeom prst="triangle">
                            <a:avLst/>
                          </a:prstGeom>
                          <a:solidFill>
                            <a:srgbClr val="0000FF"/>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9579751" name="等腰三角形 9"/>
                        <wps:cNvSpPr/>
                        <wps:spPr>
                          <a:xfrm>
                            <a:off x="146641" y="667637"/>
                            <a:ext cx="127000" cy="107950"/>
                          </a:xfrm>
                          <a:prstGeom prst="triangle">
                            <a:avLst/>
                          </a:prstGeom>
                          <a:solidFill>
                            <a:srgbClr val="FF0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 o:spid="_x0000_s1026" o:spt="203" style="position:absolute;left:0pt;margin-left:159.05pt;margin-top:598.7pt;height:82.85pt;width:117.75pt;z-index:251661312;mso-width-relative:page;mso-height-relative:page;" coordsize="1495425,1052195" o:gfxdata="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D59DwG3AAA&#10;AA0BAAAPAAAAAAAAAAEAIAAAACIAAABkcnMvZG93bnJldi54bWxQSwECFAAUAAAACACHTuJAeshd&#10;3hsEAACJDwAADgAAAAAAAAABACAAAAArAQAAZHJzL2Uyb0RvYy54bWxQSwUGAAAAAAYABgBZAQAA&#10;uAcAAAAA&#10;">
                <o:lock v:ext="edit" aspectratio="f"/>
                <v:shape id="文本框 5" o:spid="_x0000_s1026" o:spt="202" type="#_x0000_t202" style="position:absolute;left:0;top:0;height:1052195;width:1495425;" fillcolor="#FFFFFF" filled="t" stroked="t" coordsize="21600,21600" o:gfxdata="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q4x&#10;osEAAADjAAAADwAAAAAAAAABACAAAAAiAAAAZHJzL2Rvd25yZXYueG1sUEsBAhQAFAAAAAgAh07i&#10;QDMvBZ47AAAAOQAAABAAAAAAAAAAAQAgAAAAEAEAAGRycy9zaGFwZXhtbC54bWxQSwUGAAAAAAYA&#10;BgBbAQAAugMAAAAA&#10;">
                  <v:fill on="t" focussize="0,0"/>
                  <v:stroke weight="0.5pt" color="#D9D9D9 [2732]" joinstyle="round"/>
                  <v:imagedata o:title=""/>
                  <o:lock v:ext="edit" aspectratio="f"/>
                  <v:textbox>
                    <w:txbxContent>
                      <w:p w14:paraId="7AC87E04">
                        <w:pPr>
                          <w:pStyle w:val="78"/>
                          <w:spacing w:line="276" w:lineRule="auto"/>
                          <w:rPr>
                            <w:b/>
                            <w:bCs/>
                          </w:rPr>
                        </w:pPr>
                        <w:r>
                          <w:rPr>
                            <w:rFonts w:hint="eastAsia"/>
                            <w:b/>
                            <w:bCs/>
                          </w:rPr>
                          <w:t>图例</w:t>
                        </w:r>
                      </w:p>
                      <w:p w14:paraId="78976B57">
                        <w:pPr>
                          <w:pStyle w:val="78"/>
                          <w:spacing w:line="276" w:lineRule="auto"/>
                          <w:ind w:firstLine="735" w:firstLineChars="350"/>
                          <w:jc w:val="both"/>
                        </w:pPr>
                        <w:r>
                          <w:rPr>
                            <w:rFonts w:hint="eastAsia"/>
                          </w:rPr>
                          <w:t>本公司位置</w:t>
                        </w:r>
                      </w:p>
                      <w:p w14:paraId="63FDED9A">
                        <w:pPr>
                          <w:pStyle w:val="78"/>
                          <w:spacing w:line="276" w:lineRule="auto"/>
                          <w:ind w:firstLine="525" w:firstLineChars="250"/>
                          <w:jc w:val="both"/>
                        </w:pPr>
                        <w:r>
                          <w:rPr>
                            <w:rFonts w:hint="eastAsia"/>
                          </w:rPr>
                          <w:t>土壤监测柱状样</w:t>
                        </w:r>
                      </w:p>
                      <w:p w14:paraId="1F9116AC">
                        <w:pPr>
                          <w:pStyle w:val="78"/>
                          <w:spacing w:line="276" w:lineRule="auto"/>
                          <w:ind w:firstLine="525" w:firstLineChars="250"/>
                          <w:jc w:val="both"/>
                        </w:pPr>
                        <w:r>
                          <w:rPr>
                            <w:rFonts w:hint="eastAsia"/>
                          </w:rPr>
                          <w:t>土壤监测表层样</w:t>
                        </w:r>
                      </w:p>
                    </w:txbxContent>
                  </v:textbox>
                </v:shape>
                <v:rect id="矩形 6" o:spid="_x0000_s1026" o:spt="1" style="position:absolute;left:85061;top:297712;height:107950;width:265430;v-text-anchor:middle;" filled="f" stroked="t" coordsize="21600,21600" o:gfxdata="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MvIisQAAADiAAAADwAAAAAAAAABACAAAAAiAAAAZHJzL2Rvd25yZXYueG1sUEsBAhQAFAAAAAgA&#10;h07iQDMvBZ47AAAAOQAAABAAAAAAAAAAAQAgAAAAEwEAAGRycy9zaGFwZXhtbC54bWxQSwUGAAAA&#10;AAYABgBbAQAAvQMAAAAA&#10;">
                  <v:fill on="f" focussize="0,0"/>
                  <v:stroke weight="2pt" color="#FF0000" joinstyle="round"/>
                  <v:imagedata o:title=""/>
                  <o:lock v:ext="edit" aspectratio="f"/>
                </v:rect>
                <v:shape id="等腰三角形 9" o:spid="_x0000_s1026" o:spt="5" type="#_x0000_t5" style="position:absolute;left:146641;top:486883;height:107950;width:127000;v-text-anchor:middle;" fillcolor="#0000FF" filled="t" stroked="t" coordsize="21600,21600" o:gfxdata="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UNPi3FAAAA4wAAAA8AAAAAAAAAAQAgAAAAIgAAAGRycy9kb3ducmV2LnhtbFBLAQIUABQAAAAI&#10;AIdO4kAzLwWeOwAAADkAAAAQAAAAAAAAAAEAIAAAABQBAABkcnMvc2hhcGV4bWwueG1sUEsFBgAA&#10;AAAGAAYAWwEAAL4DAAAAAA==&#10;" adj="10800">
                  <v:fill on="t" focussize="0,0"/>
                  <v:stroke color="#000000 [3213]" miterlimit="8" joinstyle="miter"/>
                  <v:imagedata o:title=""/>
                  <o:lock v:ext="edit" aspectratio="f"/>
                </v:shape>
                <v:shape id="等腰三角形 9" o:spid="_x0000_s1026" o:spt="5" type="#_x0000_t5" style="position:absolute;left:146641;top:667637;height:107950;width:127000;v-text-anchor:middle;" fillcolor="#FF0000" filled="t" stroked="t" coordsize="21600,21600" o:gfxdata="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HSKLwwAAAOMAAAAPAAAAAAAAAAEAIAAAACIAAABkcnMvZG93bnJldi54bWxQSwECFAAUAAAACACH&#10;TuJAMy8FnjsAAAA5AAAAEAAAAAAAAAABACAAAAASAQAAZHJzL3NoYXBleG1sLnhtbFBLBQYAAAAA&#10;BgAGAFsBAAC8AwAAAAA=&#10;" adj="10800">
                  <v:fill on="t" focussize="0,0"/>
                  <v:stroke color="#000000 [3213]" miterlimit="8" joinstyle="miter"/>
                  <v:imagedata o:title=""/>
                  <o:lock v:ext="edit" aspectratio="f"/>
                </v:shape>
              </v:group>
            </w:pict>
          </mc:Fallback>
        </mc:AlternateContent>
      </w:r>
      <w:r>
        <w:drawing>
          <wp:anchor distT="0" distB="0" distL="114300" distR="114300" simplePos="0" relativeHeight="251660288" behindDoc="0" locked="0" layoutInCell="1" allowOverlap="1">
            <wp:simplePos x="0" y="0"/>
            <wp:positionH relativeFrom="column">
              <wp:posOffset>11314430</wp:posOffset>
            </wp:positionH>
            <wp:positionV relativeFrom="paragraph">
              <wp:posOffset>22225</wp:posOffset>
            </wp:positionV>
            <wp:extent cx="1187450" cy="1198880"/>
            <wp:effectExtent l="0" t="0" r="0" b="1270"/>
            <wp:wrapNone/>
            <wp:docPr id="1969626952" name="图片 196962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26952" name="图片 1969626952"/>
                    <pic:cNvPicPr>
                      <a:picLocks noChangeAspect="1" noChangeArrowheads="1"/>
                    </pic:cNvPicPr>
                  </pic:nvPicPr>
                  <pic:blipFill>
                    <a:blip r:embed="rId34" cstate="screen"/>
                    <a:srcRect/>
                    <a:stretch>
                      <a:fillRect/>
                    </a:stretch>
                  </pic:blipFill>
                  <pic:spPr>
                    <a:xfrm>
                      <a:off x="0" y="0"/>
                      <a:ext cx="1187450" cy="1198880"/>
                    </a:xfrm>
                    <a:prstGeom prst="rect">
                      <a:avLst/>
                    </a:prstGeom>
                    <a:noFill/>
                    <a:ln>
                      <a:noFill/>
                    </a:ln>
                  </pic:spPr>
                </pic:pic>
              </a:graphicData>
            </a:graphic>
          </wp:anchor>
        </w:drawing>
      </w:r>
      <w:r>
        <w:drawing>
          <wp:inline distT="0" distB="0" distL="0" distR="0">
            <wp:extent cx="10480675" cy="8639810"/>
            <wp:effectExtent l="19050" t="19050" r="15875" b="27940"/>
            <wp:docPr id="19740109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0909" name="图片 7"/>
                    <pic:cNvPicPr>
                      <a:picLocks noChangeAspect="1" noChangeArrowheads="1"/>
                    </pic:cNvPicPr>
                  </pic:nvPicPr>
                  <pic:blipFill>
                    <a:blip r:embed="rId35"/>
                    <a:srcRect/>
                    <a:stretch>
                      <a:fillRect/>
                    </a:stretch>
                  </pic:blipFill>
                  <pic:spPr>
                    <a:xfrm>
                      <a:off x="0" y="0"/>
                      <a:ext cx="10480933" cy="8640000"/>
                    </a:xfrm>
                    <a:prstGeom prst="rect">
                      <a:avLst/>
                    </a:prstGeom>
                    <a:noFill/>
                    <a:ln>
                      <a:solidFill>
                        <a:schemeClr val="bg1">
                          <a:lumMod val="75000"/>
                        </a:schemeClr>
                      </a:solidFill>
                    </a:ln>
                  </pic:spPr>
                </pic:pic>
              </a:graphicData>
            </a:graphic>
          </wp:inline>
        </w:drawing>
      </w:r>
    </w:p>
    <w:p w14:paraId="504DBD64">
      <w:pPr>
        <w:pStyle w:val="14"/>
        <w:rPr>
          <w:rFonts w:cs="Times New Roman"/>
          <w:color w:val="auto"/>
        </w:rPr>
      </w:pPr>
      <w:bookmarkStart w:id="57" w:name="_Ref146587053"/>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2</w:t>
      </w:r>
      <w:r>
        <w:rPr>
          <w:rFonts w:cs="Times New Roman"/>
          <w:color w:val="auto"/>
        </w:rPr>
        <w:fldChar w:fldCharType="end"/>
      </w:r>
      <w:bookmarkEnd w:id="57"/>
      <w:r>
        <w:rPr>
          <w:rFonts w:cs="Times New Roman"/>
          <w:color w:val="auto"/>
        </w:rPr>
        <w:t xml:space="preserve">  厂界内土壤监测点位布置图</w:t>
      </w:r>
    </w:p>
    <w:p w14:paraId="516786CF">
      <w:pPr>
        <w:pStyle w:val="3"/>
        <w:ind w:firstLine="480"/>
        <w:jc w:val="center"/>
      </w:pPr>
      <w:r>
        <w:drawing>
          <wp:anchor distT="0" distB="0" distL="114300" distR="114300" simplePos="0" relativeHeight="251662336" behindDoc="0" locked="0" layoutInCell="1" allowOverlap="1">
            <wp:simplePos x="0" y="0"/>
            <wp:positionH relativeFrom="column">
              <wp:posOffset>11040745</wp:posOffset>
            </wp:positionH>
            <wp:positionV relativeFrom="paragraph">
              <wp:posOffset>18415</wp:posOffset>
            </wp:positionV>
            <wp:extent cx="1419225" cy="1433195"/>
            <wp:effectExtent l="0" t="0" r="9525" b="0"/>
            <wp:wrapNone/>
            <wp:docPr id="1444160365" name="图片 144416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60365" name="图片 1444160365"/>
                    <pic:cNvPicPr>
                      <a:picLocks noChangeAspect="1" noChangeArrowheads="1"/>
                    </pic:cNvPicPr>
                  </pic:nvPicPr>
                  <pic:blipFill>
                    <a:blip r:embed="rId34" cstate="screen"/>
                    <a:srcRect/>
                    <a:stretch>
                      <a:fillRect/>
                    </a:stretch>
                  </pic:blipFill>
                  <pic:spPr>
                    <a:xfrm>
                      <a:off x="0" y="0"/>
                      <a:ext cx="1419225" cy="1433195"/>
                    </a:xfrm>
                    <a:prstGeom prst="rect">
                      <a:avLst/>
                    </a:prstGeom>
                    <a:noFill/>
                    <a:ln>
                      <a:noFill/>
                    </a:ln>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column">
                  <wp:posOffset>2073275</wp:posOffset>
                </wp:positionH>
                <wp:positionV relativeFrom="paragraph">
                  <wp:posOffset>7348220</wp:posOffset>
                </wp:positionV>
                <wp:extent cx="1733550" cy="1298575"/>
                <wp:effectExtent l="0" t="0" r="19050" b="15875"/>
                <wp:wrapNone/>
                <wp:docPr id="1014609758" name="组合 8"/>
                <wp:cNvGraphicFramePr/>
                <a:graphic xmlns:a="http://schemas.openxmlformats.org/drawingml/2006/main">
                  <a:graphicData uri="http://schemas.microsoft.com/office/word/2010/wordprocessingGroup">
                    <wpg:wgp>
                      <wpg:cNvGrpSpPr/>
                      <wpg:grpSpPr>
                        <a:xfrm>
                          <a:off x="0" y="0"/>
                          <a:ext cx="1733550" cy="1298575"/>
                          <a:chOff x="0" y="0"/>
                          <a:chExt cx="1733550" cy="1298575"/>
                        </a:xfrm>
                      </wpg:grpSpPr>
                      <wps:wsp>
                        <wps:cNvPr id="900247062" name="文本框 5"/>
                        <wps:cNvSpPr txBox="1"/>
                        <wps:spPr>
                          <a:xfrm>
                            <a:off x="0" y="0"/>
                            <a:ext cx="1733550" cy="1298575"/>
                          </a:xfrm>
                          <a:prstGeom prst="rect">
                            <a:avLst/>
                          </a:prstGeom>
                          <a:solidFill>
                            <a:schemeClr val="lt1"/>
                          </a:solidFill>
                          <a:ln w="6350">
                            <a:solidFill>
                              <a:prstClr val="black"/>
                            </a:solidFill>
                          </a:ln>
                        </wps:spPr>
                        <wps:txbx>
                          <w:txbxContent>
                            <w:p w14:paraId="1C1F8347">
                              <w:pPr>
                                <w:pStyle w:val="78"/>
                                <w:spacing w:line="360" w:lineRule="auto"/>
                                <w:rPr>
                                  <w:b/>
                                  <w:bCs/>
                                </w:rPr>
                              </w:pPr>
                              <w:r>
                                <w:rPr>
                                  <w:rFonts w:hint="eastAsia"/>
                                  <w:b/>
                                  <w:bCs/>
                                </w:rPr>
                                <w:t>图例</w:t>
                              </w:r>
                            </w:p>
                            <w:p w14:paraId="7FFBF682">
                              <w:pPr>
                                <w:pStyle w:val="78"/>
                                <w:spacing w:line="360" w:lineRule="auto"/>
                                <w:ind w:firstLine="1050" w:firstLineChars="500"/>
                                <w:jc w:val="both"/>
                              </w:pPr>
                              <w:r>
                                <w:rPr>
                                  <w:rFonts w:hint="eastAsia"/>
                                </w:rPr>
                                <w:t>原项目位置</w:t>
                              </w:r>
                            </w:p>
                            <w:p w14:paraId="002CD084">
                              <w:pPr>
                                <w:pStyle w:val="78"/>
                                <w:spacing w:line="360" w:lineRule="auto"/>
                                <w:ind w:firstLine="735" w:firstLineChars="350"/>
                                <w:jc w:val="both"/>
                              </w:pPr>
                              <w:r>
                                <w:rPr>
                                  <w:rFonts w:hint="eastAsia"/>
                                </w:rPr>
                                <w:t>厂界外1</w:t>
                              </w:r>
                              <w:r>
                                <w:t>000m</w:t>
                              </w:r>
                              <w:r>
                                <w:rPr>
                                  <w:rFonts w:hint="eastAsia"/>
                                </w:rPr>
                                <w:t>范围</w:t>
                              </w:r>
                            </w:p>
                            <w:p w14:paraId="52481206">
                              <w:pPr>
                                <w:pStyle w:val="78"/>
                                <w:spacing w:line="360" w:lineRule="auto"/>
                                <w:ind w:firstLine="735" w:firstLineChars="350"/>
                                <w:jc w:val="both"/>
                              </w:pPr>
                              <w:r>
                                <w:rPr>
                                  <w:rFonts w:hint="eastAsia"/>
                                </w:rPr>
                                <w:t>大南海工业区边界</w:t>
                              </w:r>
                            </w:p>
                            <w:p w14:paraId="31E84141">
                              <w:pPr>
                                <w:pStyle w:val="78"/>
                                <w:spacing w:line="360" w:lineRule="auto"/>
                                <w:ind w:firstLine="840" w:firstLineChars="400"/>
                                <w:jc w:val="both"/>
                              </w:pPr>
                              <w:r>
                                <w:rPr>
                                  <w:rFonts w:hint="eastAsia"/>
                                </w:rPr>
                                <w:t>土壤监测表层样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9287654" name="矩形 6"/>
                        <wps:cNvSpPr/>
                        <wps:spPr>
                          <a:xfrm>
                            <a:off x="74428" y="350874"/>
                            <a:ext cx="265430" cy="1079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74240" name="矩形 6"/>
                        <wps:cNvSpPr/>
                        <wps:spPr>
                          <a:xfrm>
                            <a:off x="74428" y="606055"/>
                            <a:ext cx="265430" cy="107950"/>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5913945" name="矩形 6"/>
                        <wps:cNvSpPr/>
                        <wps:spPr>
                          <a:xfrm>
                            <a:off x="74428" y="861237"/>
                            <a:ext cx="265430" cy="107950"/>
                          </a:xfrm>
                          <a:prstGeom prst="rect">
                            <a:avLst/>
                          </a:prstGeom>
                          <a:noFill/>
                          <a:ln>
                            <a:solidFill>
                              <a:srgbClr val="FF33C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0759807" name="等腰三角形 9"/>
                        <wps:cNvSpPr/>
                        <wps:spPr>
                          <a:xfrm>
                            <a:off x="157273" y="1103571"/>
                            <a:ext cx="127000" cy="107950"/>
                          </a:xfrm>
                          <a:prstGeom prst="triangle">
                            <a:avLst/>
                          </a:prstGeom>
                          <a:solidFill>
                            <a:srgbClr val="FF00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8" o:spid="_x0000_s1026" o:spt="203" style="position:absolute;left:0pt;margin-left:163.25pt;margin-top:578.6pt;height:102.25pt;width:136.5pt;z-index:251663360;mso-width-relative:page;mso-height-relative:page;" coordsize="1733550,1298575" o:gfxdata="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7QEjXNwAAAAN&#10;AQAADwAAAAAAAAABACAAAAAiAAAAZHJzL2Rvd25yZXYueG1sUEsBAhQAFAAAAAgAh07iQNebZ+0Z&#10;BAAAJhIAAA4AAAAAAAAAAQAgAAAAKwEAAGRycy9lMm9Eb2MueG1sUEsFBgAAAAAGAAYAWQEAALYH&#10;AAAAAA==&#10;">
                <o:lock v:ext="edit" aspectratio="f"/>
                <v:shape id="文本框 5" o:spid="_x0000_s1026" o:spt="202" type="#_x0000_t202" style="position:absolute;left:0;top:0;height:1298575;width:1733550;" fillcolor="#FFFFFF [3201]" filled="t" stroked="t" coordsize="21600,21600" o:gfxdata="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I6Vy&#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14:paraId="1C1F8347">
                        <w:pPr>
                          <w:pStyle w:val="78"/>
                          <w:spacing w:line="360" w:lineRule="auto"/>
                          <w:rPr>
                            <w:b/>
                            <w:bCs/>
                          </w:rPr>
                        </w:pPr>
                        <w:r>
                          <w:rPr>
                            <w:rFonts w:hint="eastAsia"/>
                            <w:b/>
                            <w:bCs/>
                          </w:rPr>
                          <w:t>图例</w:t>
                        </w:r>
                      </w:p>
                      <w:p w14:paraId="7FFBF682">
                        <w:pPr>
                          <w:pStyle w:val="78"/>
                          <w:spacing w:line="360" w:lineRule="auto"/>
                          <w:ind w:firstLine="1050" w:firstLineChars="500"/>
                          <w:jc w:val="both"/>
                        </w:pPr>
                        <w:r>
                          <w:rPr>
                            <w:rFonts w:hint="eastAsia"/>
                          </w:rPr>
                          <w:t>原项目位置</w:t>
                        </w:r>
                      </w:p>
                      <w:p w14:paraId="002CD084">
                        <w:pPr>
                          <w:pStyle w:val="78"/>
                          <w:spacing w:line="360" w:lineRule="auto"/>
                          <w:ind w:firstLine="735" w:firstLineChars="350"/>
                          <w:jc w:val="both"/>
                        </w:pPr>
                        <w:r>
                          <w:rPr>
                            <w:rFonts w:hint="eastAsia"/>
                          </w:rPr>
                          <w:t>厂界外1</w:t>
                        </w:r>
                        <w:r>
                          <w:t>000m</w:t>
                        </w:r>
                        <w:r>
                          <w:rPr>
                            <w:rFonts w:hint="eastAsia"/>
                          </w:rPr>
                          <w:t>范围</w:t>
                        </w:r>
                      </w:p>
                      <w:p w14:paraId="52481206">
                        <w:pPr>
                          <w:pStyle w:val="78"/>
                          <w:spacing w:line="360" w:lineRule="auto"/>
                          <w:ind w:firstLine="735" w:firstLineChars="350"/>
                          <w:jc w:val="both"/>
                        </w:pPr>
                        <w:r>
                          <w:rPr>
                            <w:rFonts w:hint="eastAsia"/>
                          </w:rPr>
                          <w:t>大南海工业区边界</w:t>
                        </w:r>
                      </w:p>
                      <w:p w14:paraId="31E84141">
                        <w:pPr>
                          <w:pStyle w:val="78"/>
                          <w:spacing w:line="360" w:lineRule="auto"/>
                          <w:ind w:firstLine="840" w:firstLineChars="400"/>
                          <w:jc w:val="both"/>
                        </w:pPr>
                        <w:r>
                          <w:rPr>
                            <w:rFonts w:hint="eastAsia"/>
                          </w:rPr>
                          <w:t>土壤监测表层样</w:t>
                        </w:r>
                      </w:p>
                    </w:txbxContent>
                  </v:textbox>
                </v:shape>
                <v:rect id="矩形 6" o:spid="_x0000_s1026" o:spt="1" style="position:absolute;left:74428;top:350874;height:107950;width:265430;v-text-anchor:middle;" filled="f" stroked="t" coordsize="21600,21600" o:gfxdata="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Rf34sQAAADjAAAADwAAAAAAAAABACAAAAAiAAAAZHJzL2Rvd25yZXYueG1sUEsBAhQAFAAAAAgA&#10;h07iQDMvBZ47AAAAOQAAABAAAAAAAAAAAQAgAAAAEwEAAGRycy9zaGFwZXhtbC54bWxQSwUGAAAA&#10;AAYABgBbAQAAvQMAAAAA&#10;">
                  <v:fill on="f" focussize="0,0"/>
                  <v:stroke weight="1pt" color="#FF0000 [3204]" miterlimit="8" joinstyle="miter"/>
                  <v:imagedata o:title=""/>
                  <o:lock v:ext="edit" aspectratio="f"/>
                </v:rect>
                <v:rect id="矩形 6" o:spid="_x0000_s1026" o:spt="1" style="position:absolute;left:74428;top:606055;height:107950;width:265430;v-text-anchor:middle;" filled="f" stroked="t" coordsize="21600,21600" o:gfxdata="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8&#10;7U9xwwAAAOEAAAAPAAAAAAAAAAEAIAAAACIAAABkcnMvZG93bnJldi54bWxQSwECFAAUAAAACACH&#10;TuJAMy8FnjsAAAA5AAAAEAAAAAAAAAABACAAAAASAQAAZHJzL3NoYXBleG1sLnhtbFBLBQYAAAAA&#10;BgAGAFsBAAC8AwAAAAA=&#10;">
                  <v:fill on="f" focussize="0,0"/>
                  <v:stroke weight="1pt" color="#FFFF00 [3204]" miterlimit="8" joinstyle="miter"/>
                  <v:imagedata o:title=""/>
                  <o:lock v:ext="edit" aspectratio="f"/>
                </v:rect>
                <v:rect id="矩形 6" o:spid="_x0000_s1026" o:spt="1" style="position:absolute;left:74428;top:861237;height:107950;width:265430;v-text-anchor:middle;" filled="f" stroked="t" coordsize="21600,21600" o:gfxdata="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9&#10;UtbCAAAA4gAAAA8AAAAAAAAAAQAgAAAAIgAAAGRycy9kb3ducmV2LnhtbFBLAQIUABQAAAAIAIdO&#10;4kAzLwWeOwAAADkAAAAQAAAAAAAAAAEAIAAAABEBAABkcnMvc2hhcGV4bWwueG1sUEsFBgAAAAAG&#10;AAYAWwEAALsDAAAAAA==&#10;">
                  <v:fill on="f" focussize="0,0"/>
                  <v:stroke weight="1pt" color="#FF33CC [3204]" miterlimit="8" joinstyle="miter"/>
                  <v:imagedata o:title=""/>
                  <o:lock v:ext="edit" aspectratio="f"/>
                </v:rect>
                <v:shape id="等腰三角形 9" o:spid="_x0000_s1026" o:spt="5" type="#_x0000_t5" style="position:absolute;left:157273;top:1103571;height:107950;width:127000;v-text-anchor:middle;" fillcolor="#FF0000" filled="t" stroked="t" coordsize="21600,21600" o:gfxdata="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U&#10;rGHCAAAA4wAAAA8AAAAAAAAAAQAgAAAAIgAAAGRycy9kb3ducmV2LnhtbFBLAQIUABQAAAAIAIdO&#10;4kAzLwWeOwAAADkAAAAQAAAAAAAAAAEAIAAAABEBAABkcnMvc2hhcGV4bWwueG1sUEsFBgAAAAAG&#10;AAYAWwEAALsDAAAAAA==&#10;" adj="10800">
                  <v:fill on="t" focussize="0,0"/>
                  <v:stroke color="#000000 [3213]" miterlimit="8" joinstyle="miter"/>
                  <v:imagedata o:title=""/>
                  <o:lock v:ext="edit" aspectratio="f"/>
                </v:shape>
              </v:group>
            </w:pict>
          </mc:Fallback>
        </mc:AlternateContent>
      </w:r>
      <w:r>
        <w:drawing>
          <wp:inline distT="0" distB="0" distL="0" distR="0">
            <wp:extent cx="10364470" cy="8639810"/>
            <wp:effectExtent l="19050" t="19050" r="17780" b="27940"/>
            <wp:docPr id="16067740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74033" name="图片 8"/>
                    <pic:cNvPicPr>
                      <a:picLocks noChangeAspect="1" noChangeArrowheads="1"/>
                    </pic:cNvPicPr>
                  </pic:nvPicPr>
                  <pic:blipFill>
                    <a:blip r:embed="rId36"/>
                    <a:srcRect/>
                    <a:stretch>
                      <a:fillRect/>
                    </a:stretch>
                  </pic:blipFill>
                  <pic:spPr>
                    <a:xfrm>
                      <a:off x="0" y="0"/>
                      <a:ext cx="10364533" cy="8640000"/>
                    </a:xfrm>
                    <a:prstGeom prst="rect">
                      <a:avLst/>
                    </a:prstGeom>
                    <a:noFill/>
                    <a:ln>
                      <a:solidFill>
                        <a:schemeClr val="tx1"/>
                      </a:solidFill>
                    </a:ln>
                  </pic:spPr>
                </pic:pic>
              </a:graphicData>
            </a:graphic>
          </wp:inline>
        </w:drawing>
      </w:r>
    </w:p>
    <w:p w14:paraId="0BAB991B">
      <w:pPr>
        <w:pStyle w:val="14"/>
        <w:rPr>
          <w:rFonts w:cs="Times New Roman"/>
          <w:color w:val="auto"/>
        </w:rPr>
      </w:pPr>
      <w:bookmarkStart w:id="58" w:name="_Ref141257023"/>
      <w:r>
        <w:rPr>
          <w:rFonts w:cs="Times New Roman"/>
          <w:color w:val="auto"/>
        </w:rPr>
        <w:t xml:space="preserve">图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图 \* ARABIC \s 2 </w:instrText>
      </w:r>
      <w:r>
        <w:rPr>
          <w:rFonts w:cs="Times New Roman"/>
          <w:color w:val="auto"/>
        </w:rPr>
        <w:fldChar w:fldCharType="separate"/>
      </w:r>
      <w:r>
        <w:rPr>
          <w:rFonts w:cs="Times New Roman"/>
          <w:color w:val="auto"/>
        </w:rPr>
        <w:t>3</w:t>
      </w:r>
      <w:r>
        <w:rPr>
          <w:rFonts w:cs="Times New Roman"/>
          <w:color w:val="auto"/>
        </w:rPr>
        <w:fldChar w:fldCharType="end"/>
      </w:r>
      <w:bookmarkEnd w:id="58"/>
      <w:r>
        <w:rPr>
          <w:rFonts w:cs="Times New Roman"/>
          <w:color w:val="auto"/>
        </w:rPr>
        <w:t xml:space="preserve">  厂界外土壤监测点位布置图</w:t>
      </w:r>
    </w:p>
    <w:p w14:paraId="511D557C">
      <w:pPr>
        <w:pStyle w:val="3"/>
        <w:ind w:firstLine="0" w:firstLineChars="0"/>
        <w:sectPr>
          <w:pgSz w:w="23811" w:h="16838" w:orient="landscape"/>
          <w:pgMar w:top="720" w:right="720" w:bottom="720" w:left="720" w:header="851" w:footer="992" w:gutter="0"/>
          <w:cols w:space="425" w:num="1"/>
          <w:docGrid w:linePitch="326" w:charSpace="0"/>
        </w:sectPr>
      </w:pPr>
    </w:p>
    <w:p w14:paraId="6D65441F">
      <w:pPr>
        <w:pStyle w:val="6"/>
      </w:pPr>
      <w:r>
        <w:t>监测项目</w:t>
      </w:r>
    </w:p>
    <w:p w14:paraId="60F33D70">
      <w:pPr>
        <w:pStyle w:val="3"/>
        <w:ind w:firstLine="480"/>
      </w:pPr>
      <w:r>
        <w:rPr>
          <w:rStyle w:val="263"/>
          <w:rFonts w:ascii="Times New Roman" w:hAnsi="Times New Roman" w:cs="Times New Roman"/>
          <w:color w:val="auto"/>
        </w:rPr>
        <w:t>各监测点土壤监测项目如</w:t>
      </w:r>
      <w:r>
        <w:t>下：</w:t>
      </w:r>
    </w:p>
    <w:p w14:paraId="6E88EC58">
      <w:pPr>
        <w:pStyle w:val="14"/>
        <w:ind w:firstLine="422"/>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14</w:t>
      </w:r>
      <w:r>
        <w:rPr>
          <w:rFonts w:cs="Times New Roman"/>
          <w:color w:val="auto"/>
        </w:rPr>
        <w:fldChar w:fldCharType="end"/>
      </w:r>
      <w:r>
        <w:rPr>
          <w:rFonts w:cs="Times New Roman"/>
          <w:color w:val="auto"/>
        </w:rPr>
        <w:t>历史土壤监测因子</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3638"/>
        <w:gridCol w:w="2904"/>
      </w:tblGrid>
      <w:tr w14:paraId="0330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249" w:type="pct"/>
            <w:tcBorders>
              <w:tl2br w:val="single" w:color="auto" w:sz="4" w:space="0"/>
            </w:tcBorders>
            <w:vAlign w:val="center"/>
          </w:tcPr>
          <w:p w14:paraId="15DFD313">
            <w:pPr>
              <w:pStyle w:val="78"/>
              <w:rPr>
                <w:rFonts w:cs="Times New Roman"/>
              </w:rPr>
            </w:pPr>
            <w:r>
              <w:rPr>
                <w:rFonts w:cs="Times New Roman"/>
              </w:rPr>
              <w:t xml:space="preserve">     用地类型</w:t>
            </w:r>
          </w:p>
          <w:p w14:paraId="46B130FB">
            <w:pPr>
              <w:pStyle w:val="78"/>
              <w:rPr>
                <w:rFonts w:cs="Times New Roman"/>
              </w:rPr>
            </w:pPr>
          </w:p>
          <w:p w14:paraId="16B0E60D">
            <w:pPr>
              <w:pStyle w:val="78"/>
              <w:jc w:val="both"/>
              <w:rPr>
                <w:rFonts w:cs="Times New Roman"/>
              </w:rPr>
            </w:pPr>
            <w:r>
              <w:rPr>
                <w:rFonts w:cs="Times New Roman"/>
              </w:rPr>
              <w:t>因子类型</w:t>
            </w:r>
          </w:p>
        </w:tc>
        <w:tc>
          <w:tcPr>
            <w:tcW w:w="2086" w:type="pct"/>
            <w:vAlign w:val="center"/>
          </w:tcPr>
          <w:p w14:paraId="1B764489">
            <w:pPr>
              <w:pStyle w:val="78"/>
              <w:rPr>
                <w:rFonts w:cs="Times New Roman"/>
              </w:rPr>
            </w:pPr>
            <w:r>
              <w:rPr>
                <w:rFonts w:cs="Times New Roman"/>
              </w:rPr>
              <w:t>建设用地</w:t>
            </w:r>
          </w:p>
        </w:tc>
        <w:tc>
          <w:tcPr>
            <w:tcW w:w="1665" w:type="pct"/>
            <w:vAlign w:val="center"/>
          </w:tcPr>
          <w:p w14:paraId="232FFE02">
            <w:pPr>
              <w:pStyle w:val="78"/>
              <w:rPr>
                <w:rFonts w:cs="Times New Roman"/>
              </w:rPr>
            </w:pPr>
            <w:r>
              <w:rPr>
                <w:rFonts w:cs="Times New Roman"/>
              </w:rPr>
              <w:t>农用地</w:t>
            </w:r>
          </w:p>
        </w:tc>
      </w:tr>
      <w:tr w14:paraId="7A64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714964CC">
            <w:pPr>
              <w:pStyle w:val="78"/>
              <w:rPr>
                <w:rFonts w:cs="Times New Roman"/>
              </w:rPr>
            </w:pPr>
            <w:r>
              <w:rPr>
                <w:rFonts w:cs="Times New Roman"/>
              </w:rPr>
              <w:t>基本因子</w:t>
            </w:r>
          </w:p>
        </w:tc>
        <w:tc>
          <w:tcPr>
            <w:tcW w:w="2086" w:type="pct"/>
            <w:vAlign w:val="center"/>
          </w:tcPr>
          <w:p w14:paraId="27ACD7C8">
            <w:pPr>
              <w:pStyle w:val="78"/>
              <w:rPr>
                <w:rFonts w:cs="Times New Roman"/>
              </w:rPr>
            </w:pPr>
            <w:r>
              <w:rPr>
                <w:rFonts w:cs="Times New Roman"/>
              </w:rPr>
              <w:t>四氯化碳、氯仿、氯甲烷、1,1-二氯乙烷、1,2-二氯乙烷、1,1-二氯乙烯、顺-1,2二氯乙烯、反-1,2-二氯乙烯、1,2-二氯丙烷、1,1,1,2-四氯乙烷、1,1,2,2-四氯乙烷、四氯乙稀、1,1,1-三氯乙烷、1,1,2-三氯乙烷、三氯乙烯、1,2,3-三氯丙烷、三氯乙烯、1,2,3-三氯丙烷、氯乙烯、苯、氯苯、1,2-二氯苯、1,4-二氯苯、乙苯、间二甲苯+对二甲苯、邻二甲苯、硝基苯、2-氯酚、苯并[a]蒽、苯并[a]芘、苯并[b]萤蒽、苯并[k]萤蒽、䓛、茚并[1,2,3-cd]芘、萘。</w:t>
            </w:r>
          </w:p>
        </w:tc>
        <w:tc>
          <w:tcPr>
            <w:tcW w:w="1665" w:type="pct"/>
            <w:vAlign w:val="center"/>
          </w:tcPr>
          <w:p w14:paraId="2CDECCD4">
            <w:pPr>
              <w:pStyle w:val="78"/>
              <w:rPr>
                <w:rFonts w:cs="Times New Roman"/>
              </w:rPr>
            </w:pPr>
            <w:r>
              <w:rPr>
                <w:rFonts w:cs="Times New Roman"/>
              </w:rPr>
              <w:t>/</w:t>
            </w:r>
          </w:p>
        </w:tc>
      </w:tr>
      <w:tr w14:paraId="6995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03087043">
            <w:pPr>
              <w:pStyle w:val="78"/>
              <w:rPr>
                <w:rFonts w:cs="Times New Roman"/>
              </w:rPr>
            </w:pPr>
            <w:r>
              <w:rPr>
                <w:rFonts w:cs="Times New Roman"/>
              </w:rPr>
              <w:t>特征因子</w:t>
            </w:r>
          </w:p>
        </w:tc>
        <w:tc>
          <w:tcPr>
            <w:tcW w:w="2086" w:type="pct"/>
            <w:vAlign w:val="center"/>
          </w:tcPr>
          <w:p w14:paraId="75C77EBF">
            <w:pPr>
              <w:pStyle w:val="78"/>
              <w:rPr>
                <w:rFonts w:cs="Times New Roman"/>
              </w:rPr>
            </w:pPr>
            <w:r>
              <w:rPr>
                <w:rFonts w:cs="Times New Roman"/>
              </w:rPr>
              <w:t>pH、镉、汞、砷、铅、六价铬、铜、镍、锌、二噁英类、石油烃（C10-C40）、钒、钴、苯乙烯、甲苯、间二甲苯+对二甲苯、邻二甲苯、二噁英</w:t>
            </w:r>
          </w:p>
        </w:tc>
        <w:tc>
          <w:tcPr>
            <w:tcW w:w="1665" w:type="pct"/>
            <w:vAlign w:val="center"/>
          </w:tcPr>
          <w:p w14:paraId="01565F60">
            <w:pPr>
              <w:pStyle w:val="78"/>
              <w:rPr>
                <w:rFonts w:cs="Times New Roman"/>
              </w:rPr>
            </w:pPr>
            <w:r>
              <w:rPr>
                <w:rFonts w:cs="Times New Roman"/>
              </w:rPr>
              <w:t>pH、镉、汞、砷、铅、铬、铜、镍、锌、二噁英类、石油烃（C10-C40）、钒、钴、苯乙烯、甲苯、间二甲苯+对二甲苯、邻二甲苯、二噁英</w:t>
            </w:r>
          </w:p>
        </w:tc>
      </w:tr>
    </w:tbl>
    <w:p w14:paraId="2CF4CEAD">
      <w:pPr>
        <w:pStyle w:val="3"/>
        <w:ind w:firstLine="482"/>
        <w:rPr>
          <w:b/>
          <w:bCs/>
        </w:rPr>
      </w:pPr>
      <w:r>
        <w:rPr>
          <w:b/>
          <w:bCs/>
        </w:rPr>
        <w:t>土壤理化性质调查项目如下：</w:t>
      </w:r>
    </w:p>
    <w:p w14:paraId="46A9A082">
      <w:pPr>
        <w:pStyle w:val="3"/>
        <w:ind w:firstLine="482"/>
      </w:pPr>
      <w:r>
        <w:rPr>
          <w:b/>
          <w:bCs/>
        </w:rPr>
        <w:t>调查点位：</w:t>
      </w:r>
      <w:r>
        <w:t>本公司场地内只涉及1种土壤类型，因子在土壤监测点SH-4处附近，开展一次土壤理化性质调查。</w:t>
      </w:r>
    </w:p>
    <w:p w14:paraId="747F7703">
      <w:pPr>
        <w:pStyle w:val="3"/>
        <w:ind w:firstLine="482"/>
      </w:pPr>
      <w:r>
        <w:rPr>
          <w:b/>
          <w:bCs/>
        </w:rPr>
        <w:t>调查内容：</w:t>
      </w:r>
      <w:r>
        <w:t>pH、阳离子交换量、氧化还原电位、土壤容重、孔隙度、土体构型（土壤剖面，宽×长×深为0.8m×1.5m×1.2m）。</w:t>
      </w:r>
    </w:p>
    <w:p w14:paraId="59059B7C">
      <w:pPr>
        <w:pStyle w:val="6"/>
      </w:pPr>
      <w:r>
        <w:t>监测时间及频率</w:t>
      </w:r>
    </w:p>
    <w:p w14:paraId="472AC561">
      <w:pPr>
        <w:pStyle w:val="3"/>
        <w:ind w:firstLine="480"/>
      </w:pPr>
      <w:r>
        <w:t>由广东智环创新环境科技有限公司于2023年8月18日对土壤进行采样监测，采样1天，采样1次。其中二噁英委托江西星辉检测技术有限公司于2023年8月25日对土壤进行采样监测，采样1天，采样1次。</w:t>
      </w:r>
    </w:p>
    <w:p w14:paraId="4EE2F234">
      <w:pPr>
        <w:pStyle w:val="6"/>
      </w:pPr>
      <w:r>
        <w:t>评价标准</w:t>
      </w:r>
    </w:p>
    <w:p w14:paraId="7372982B">
      <w:pPr>
        <w:pStyle w:val="3"/>
        <w:ind w:firstLine="480"/>
        <w:rPr>
          <w:bCs/>
        </w:rPr>
      </w:pPr>
      <w:r>
        <w:t>SH-1~SH-7、SH-9~SH-11</w:t>
      </w:r>
      <w:r>
        <w:rPr>
          <w:spacing w:val="4"/>
        </w:rPr>
        <w:t>建设用地</w:t>
      </w:r>
      <w:r>
        <w:t>执行《土壤环境质量 建设用地土壤污染风险管控标准（试行）》（GB36600-2018）二类用地筛选值；SH8</w:t>
      </w:r>
      <w:r>
        <w:rPr>
          <w:spacing w:val="4"/>
        </w:rPr>
        <w:t>农用地</w:t>
      </w:r>
      <w:r>
        <w:rPr>
          <w:bCs/>
        </w:rPr>
        <w:t>执行《土壤环境质量农用地土壤污染风险管控标准（试行）》</w:t>
      </w:r>
      <w:r>
        <w:t>（GB 15618-2018）</w:t>
      </w:r>
      <w:r>
        <w:rPr>
          <w:bCs/>
        </w:rPr>
        <w:t>。</w:t>
      </w:r>
    </w:p>
    <w:p w14:paraId="0E449D50">
      <w:pPr>
        <w:pStyle w:val="6"/>
      </w:pPr>
      <w:r>
        <w:t>土壤理化特性调查结果</w:t>
      </w:r>
    </w:p>
    <w:p w14:paraId="7953CAEB">
      <w:pPr>
        <w:pStyle w:val="262"/>
        <w:rPr>
          <w:rFonts w:ascii="Times New Roman" w:hAnsi="Times New Roman" w:cs="Times New Roman"/>
          <w:color w:val="auto"/>
        </w:rPr>
      </w:pPr>
      <w:r>
        <w:rPr>
          <w:rFonts w:ascii="Times New Roman" w:hAnsi="Times New Roman" w:cs="Times New Roman"/>
          <w:color w:val="auto"/>
        </w:rPr>
        <w:t>土壤理化性质调查如下表：</w:t>
      </w:r>
    </w:p>
    <w:p w14:paraId="1E9C96CE">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15</w:t>
      </w:r>
      <w:r>
        <w:rPr>
          <w:rFonts w:cs="Times New Roman"/>
          <w:color w:val="auto"/>
        </w:rPr>
        <w:fldChar w:fldCharType="end"/>
      </w:r>
      <w:r>
        <w:rPr>
          <w:rFonts w:cs="Times New Roman"/>
          <w:color w:val="auto"/>
        </w:rPr>
        <w:t>项目区域土壤理化性质一览表</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515"/>
        <w:gridCol w:w="1030"/>
        <w:gridCol w:w="947"/>
        <w:gridCol w:w="1089"/>
        <w:gridCol w:w="952"/>
        <w:gridCol w:w="999"/>
        <w:gridCol w:w="1321"/>
        <w:gridCol w:w="1085"/>
      </w:tblGrid>
      <w:tr w14:paraId="7537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445" w:type="pct"/>
            <w:vMerge w:val="restart"/>
            <w:vAlign w:val="center"/>
          </w:tcPr>
          <w:p w14:paraId="78521302">
            <w:pPr>
              <w:pStyle w:val="78"/>
              <w:rPr>
                <w:rFonts w:cs="Times New Roman"/>
                <w:sz w:val="18"/>
                <w:szCs w:val="18"/>
              </w:rPr>
            </w:pPr>
            <w:r>
              <w:rPr>
                <w:rFonts w:cs="Times New Roman"/>
                <w:sz w:val="18"/>
                <w:szCs w:val="18"/>
              </w:rPr>
              <w:t>采样日期</w:t>
            </w:r>
          </w:p>
        </w:tc>
        <w:tc>
          <w:tcPr>
            <w:tcW w:w="887" w:type="pct"/>
            <w:gridSpan w:val="2"/>
            <w:vMerge w:val="restart"/>
            <w:vAlign w:val="center"/>
          </w:tcPr>
          <w:p w14:paraId="7FB01A13">
            <w:pPr>
              <w:pStyle w:val="78"/>
              <w:rPr>
                <w:rFonts w:cs="Times New Roman"/>
                <w:sz w:val="18"/>
                <w:szCs w:val="18"/>
              </w:rPr>
            </w:pPr>
            <w:r>
              <w:rPr>
                <w:rFonts w:cs="Times New Roman"/>
                <w:sz w:val="18"/>
                <w:szCs w:val="18"/>
              </w:rPr>
              <w:t>采样点位</w:t>
            </w:r>
          </w:p>
        </w:tc>
        <w:tc>
          <w:tcPr>
            <w:tcW w:w="3668" w:type="pct"/>
            <w:gridSpan w:val="6"/>
            <w:vAlign w:val="center"/>
          </w:tcPr>
          <w:p w14:paraId="21E54FE7">
            <w:pPr>
              <w:pStyle w:val="78"/>
              <w:rPr>
                <w:rFonts w:cs="Times New Roman"/>
                <w:sz w:val="18"/>
                <w:szCs w:val="18"/>
              </w:rPr>
            </w:pPr>
            <w:r>
              <w:rPr>
                <w:rFonts w:cs="Times New Roman"/>
                <w:sz w:val="18"/>
                <w:szCs w:val="18"/>
              </w:rPr>
              <w:t>检测结果</w:t>
            </w:r>
          </w:p>
        </w:tc>
      </w:tr>
      <w:tr w14:paraId="1F97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445" w:type="pct"/>
            <w:vMerge w:val="continue"/>
            <w:vAlign w:val="center"/>
          </w:tcPr>
          <w:p w14:paraId="5D11CCF2">
            <w:pPr>
              <w:pStyle w:val="78"/>
              <w:rPr>
                <w:rFonts w:cs="Times New Roman"/>
                <w:sz w:val="18"/>
                <w:szCs w:val="18"/>
              </w:rPr>
            </w:pPr>
          </w:p>
        </w:tc>
        <w:tc>
          <w:tcPr>
            <w:tcW w:w="887" w:type="pct"/>
            <w:gridSpan w:val="2"/>
            <w:vMerge w:val="continue"/>
            <w:vAlign w:val="center"/>
          </w:tcPr>
          <w:p w14:paraId="0EF04226">
            <w:pPr>
              <w:pStyle w:val="78"/>
              <w:rPr>
                <w:rFonts w:cs="Times New Roman"/>
                <w:sz w:val="18"/>
                <w:szCs w:val="18"/>
              </w:rPr>
            </w:pPr>
          </w:p>
        </w:tc>
        <w:tc>
          <w:tcPr>
            <w:tcW w:w="543" w:type="pct"/>
            <w:vAlign w:val="center"/>
          </w:tcPr>
          <w:p w14:paraId="3226644D">
            <w:pPr>
              <w:pStyle w:val="78"/>
              <w:rPr>
                <w:rFonts w:cs="Times New Roman"/>
                <w:sz w:val="18"/>
                <w:szCs w:val="18"/>
              </w:rPr>
            </w:pPr>
            <w:r>
              <w:rPr>
                <w:rFonts w:cs="Times New Roman"/>
                <w:sz w:val="18"/>
                <w:szCs w:val="18"/>
              </w:rPr>
              <w:t>pH值</w:t>
            </w:r>
          </w:p>
          <w:p w14:paraId="05E2B62B">
            <w:pPr>
              <w:pStyle w:val="78"/>
              <w:rPr>
                <w:rFonts w:cs="Times New Roman"/>
                <w:sz w:val="18"/>
                <w:szCs w:val="18"/>
              </w:rPr>
            </w:pPr>
            <w:r>
              <w:rPr>
                <w:rFonts w:cs="Times New Roman"/>
                <w:sz w:val="18"/>
                <w:szCs w:val="18"/>
              </w:rPr>
              <w:t>（无量纲）</w:t>
            </w:r>
          </w:p>
        </w:tc>
        <w:tc>
          <w:tcPr>
            <w:tcW w:w="625" w:type="pct"/>
            <w:vAlign w:val="center"/>
          </w:tcPr>
          <w:p w14:paraId="65733B14">
            <w:pPr>
              <w:pStyle w:val="78"/>
              <w:rPr>
                <w:rFonts w:cs="Times New Roman"/>
                <w:sz w:val="18"/>
                <w:szCs w:val="18"/>
              </w:rPr>
            </w:pPr>
            <w:r>
              <w:rPr>
                <w:rFonts w:cs="Times New Roman"/>
                <w:sz w:val="18"/>
                <w:szCs w:val="18"/>
              </w:rPr>
              <w:t>土壤容重（g/cm</w:t>
            </w:r>
            <w:r>
              <w:rPr>
                <w:rFonts w:cs="Times New Roman"/>
                <w:sz w:val="18"/>
                <w:szCs w:val="18"/>
                <w:vertAlign w:val="superscript"/>
              </w:rPr>
              <w:t>3</w:t>
            </w:r>
            <w:r>
              <w:rPr>
                <w:rFonts w:cs="Times New Roman"/>
                <w:sz w:val="18"/>
                <w:szCs w:val="18"/>
              </w:rPr>
              <w:t>）</w:t>
            </w:r>
          </w:p>
        </w:tc>
        <w:tc>
          <w:tcPr>
            <w:tcW w:w="546" w:type="pct"/>
            <w:vAlign w:val="center"/>
          </w:tcPr>
          <w:p w14:paraId="10AE5598">
            <w:pPr>
              <w:pStyle w:val="78"/>
              <w:rPr>
                <w:rFonts w:cs="Times New Roman"/>
                <w:sz w:val="18"/>
                <w:szCs w:val="18"/>
              </w:rPr>
            </w:pPr>
            <w:r>
              <w:rPr>
                <w:rFonts w:cs="Times New Roman"/>
                <w:sz w:val="18"/>
                <w:szCs w:val="18"/>
              </w:rPr>
              <w:t>总孔隙度（%）</w:t>
            </w:r>
          </w:p>
        </w:tc>
        <w:tc>
          <w:tcPr>
            <w:tcW w:w="573" w:type="pct"/>
            <w:vAlign w:val="center"/>
          </w:tcPr>
          <w:p w14:paraId="0B166E35">
            <w:pPr>
              <w:pStyle w:val="78"/>
              <w:rPr>
                <w:rFonts w:cs="Times New Roman"/>
                <w:sz w:val="18"/>
                <w:szCs w:val="18"/>
              </w:rPr>
            </w:pPr>
            <w:r>
              <w:rPr>
                <w:rFonts w:cs="Times New Roman"/>
                <w:sz w:val="18"/>
                <w:szCs w:val="18"/>
              </w:rPr>
              <w:t>渗滤率（mm/min）</w:t>
            </w:r>
          </w:p>
        </w:tc>
        <w:tc>
          <w:tcPr>
            <w:tcW w:w="758" w:type="pct"/>
            <w:vAlign w:val="center"/>
          </w:tcPr>
          <w:p w14:paraId="768E8D64">
            <w:pPr>
              <w:pStyle w:val="78"/>
              <w:rPr>
                <w:rFonts w:cs="Times New Roman"/>
                <w:sz w:val="18"/>
                <w:szCs w:val="18"/>
              </w:rPr>
            </w:pPr>
            <w:r>
              <w:rPr>
                <w:rFonts w:cs="Times New Roman"/>
                <w:sz w:val="18"/>
                <w:szCs w:val="18"/>
              </w:rPr>
              <w:t>阳离子交换量（cmol</w:t>
            </w:r>
            <w:r>
              <w:rPr>
                <w:rFonts w:cs="Times New Roman"/>
                <w:sz w:val="18"/>
                <w:szCs w:val="18"/>
                <w:vertAlign w:val="superscript"/>
              </w:rPr>
              <w:t>+</w:t>
            </w:r>
            <w:r>
              <w:rPr>
                <w:rFonts w:cs="Times New Roman"/>
                <w:sz w:val="18"/>
                <w:szCs w:val="18"/>
              </w:rPr>
              <w:t>/kg）</w:t>
            </w:r>
          </w:p>
        </w:tc>
        <w:tc>
          <w:tcPr>
            <w:tcW w:w="622" w:type="pct"/>
            <w:vAlign w:val="center"/>
          </w:tcPr>
          <w:p w14:paraId="55D320A0">
            <w:pPr>
              <w:pStyle w:val="78"/>
              <w:rPr>
                <w:rFonts w:cs="Times New Roman"/>
                <w:sz w:val="18"/>
                <w:szCs w:val="18"/>
              </w:rPr>
            </w:pPr>
            <w:r>
              <w:rPr>
                <w:rFonts w:cs="Times New Roman"/>
                <w:sz w:val="18"/>
                <w:szCs w:val="18"/>
              </w:rPr>
              <w:t>氧化还原电位（mV）</w:t>
            </w:r>
          </w:p>
        </w:tc>
      </w:tr>
      <w:tr w14:paraId="20FA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445" w:type="pct"/>
            <w:vMerge w:val="restart"/>
            <w:vAlign w:val="center"/>
          </w:tcPr>
          <w:p w14:paraId="10E9952A">
            <w:pPr>
              <w:pStyle w:val="78"/>
              <w:rPr>
                <w:rFonts w:cs="Times New Roman"/>
                <w:sz w:val="18"/>
                <w:szCs w:val="18"/>
              </w:rPr>
            </w:pPr>
            <w:r>
              <w:rPr>
                <w:rFonts w:cs="Times New Roman"/>
                <w:sz w:val="18"/>
                <w:szCs w:val="18"/>
              </w:rPr>
              <w:t>2023.08.18</w:t>
            </w:r>
          </w:p>
        </w:tc>
        <w:tc>
          <w:tcPr>
            <w:tcW w:w="296" w:type="pct"/>
            <w:vMerge w:val="restart"/>
            <w:vAlign w:val="center"/>
          </w:tcPr>
          <w:p w14:paraId="6C0C1EAF">
            <w:pPr>
              <w:pStyle w:val="78"/>
              <w:rPr>
                <w:rFonts w:cs="Times New Roman"/>
                <w:sz w:val="18"/>
                <w:szCs w:val="18"/>
              </w:rPr>
            </w:pPr>
            <w:r>
              <w:rPr>
                <w:rFonts w:cs="Times New Roman"/>
                <w:sz w:val="18"/>
                <w:szCs w:val="18"/>
              </w:rPr>
              <w:t>SH-4剖面</w:t>
            </w:r>
          </w:p>
        </w:tc>
        <w:tc>
          <w:tcPr>
            <w:tcW w:w="591" w:type="pct"/>
            <w:vAlign w:val="center"/>
          </w:tcPr>
          <w:p w14:paraId="280202C8">
            <w:pPr>
              <w:pStyle w:val="78"/>
              <w:rPr>
                <w:rFonts w:cs="Times New Roman"/>
                <w:sz w:val="18"/>
                <w:szCs w:val="18"/>
              </w:rPr>
            </w:pPr>
            <w:r>
              <w:rPr>
                <w:rFonts w:cs="Times New Roman"/>
                <w:sz w:val="18"/>
                <w:szCs w:val="18"/>
              </w:rPr>
              <w:t>0~0.3m</w:t>
            </w:r>
          </w:p>
        </w:tc>
        <w:tc>
          <w:tcPr>
            <w:tcW w:w="543" w:type="pct"/>
            <w:vAlign w:val="center"/>
          </w:tcPr>
          <w:p w14:paraId="70317903">
            <w:pPr>
              <w:pStyle w:val="78"/>
              <w:rPr>
                <w:rFonts w:cs="Times New Roman"/>
                <w:sz w:val="18"/>
                <w:szCs w:val="18"/>
              </w:rPr>
            </w:pPr>
            <w:r>
              <w:rPr>
                <w:rFonts w:cs="Times New Roman"/>
                <w:sz w:val="18"/>
                <w:szCs w:val="18"/>
              </w:rPr>
              <w:t>7.65</w:t>
            </w:r>
          </w:p>
        </w:tc>
        <w:tc>
          <w:tcPr>
            <w:tcW w:w="625" w:type="pct"/>
            <w:vAlign w:val="center"/>
          </w:tcPr>
          <w:p w14:paraId="34FC576F">
            <w:pPr>
              <w:pStyle w:val="78"/>
              <w:rPr>
                <w:rFonts w:cs="Times New Roman"/>
                <w:sz w:val="18"/>
                <w:szCs w:val="18"/>
              </w:rPr>
            </w:pPr>
            <w:r>
              <w:rPr>
                <w:rFonts w:cs="Times New Roman"/>
                <w:sz w:val="18"/>
                <w:szCs w:val="18"/>
              </w:rPr>
              <w:t>1.35</w:t>
            </w:r>
          </w:p>
        </w:tc>
        <w:tc>
          <w:tcPr>
            <w:tcW w:w="546" w:type="pct"/>
            <w:vAlign w:val="center"/>
          </w:tcPr>
          <w:p w14:paraId="4FB3142A">
            <w:pPr>
              <w:pStyle w:val="78"/>
              <w:rPr>
                <w:rFonts w:cs="Times New Roman"/>
                <w:sz w:val="18"/>
                <w:szCs w:val="18"/>
              </w:rPr>
            </w:pPr>
            <w:r>
              <w:rPr>
                <w:rFonts w:cs="Times New Roman"/>
                <w:sz w:val="18"/>
                <w:szCs w:val="18"/>
              </w:rPr>
              <w:t>57.0</w:t>
            </w:r>
          </w:p>
        </w:tc>
        <w:tc>
          <w:tcPr>
            <w:tcW w:w="573" w:type="pct"/>
            <w:vAlign w:val="center"/>
          </w:tcPr>
          <w:p w14:paraId="24197D1B">
            <w:pPr>
              <w:pStyle w:val="78"/>
              <w:rPr>
                <w:rFonts w:cs="Times New Roman"/>
                <w:sz w:val="18"/>
                <w:szCs w:val="18"/>
              </w:rPr>
            </w:pPr>
            <w:r>
              <w:rPr>
                <w:rFonts w:cs="Times New Roman"/>
                <w:sz w:val="18"/>
                <w:szCs w:val="18"/>
              </w:rPr>
              <w:t>1.66</w:t>
            </w:r>
          </w:p>
        </w:tc>
        <w:tc>
          <w:tcPr>
            <w:tcW w:w="758" w:type="pct"/>
            <w:vAlign w:val="center"/>
          </w:tcPr>
          <w:p w14:paraId="00E1333A">
            <w:pPr>
              <w:pStyle w:val="78"/>
              <w:rPr>
                <w:rFonts w:cs="Times New Roman"/>
                <w:sz w:val="18"/>
                <w:szCs w:val="18"/>
              </w:rPr>
            </w:pPr>
            <w:r>
              <w:rPr>
                <w:rFonts w:cs="Times New Roman"/>
                <w:sz w:val="18"/>
                <w:szCs w:val="18"/>
              </w:rPr>
              <w:t>3.6</w:t>
            </w:r>
          </w:p>
        </w:tc>
        <w:tc>
          <w:tcPr>
            <w:tcW w:w="622" w:type="pct"/>
            <w:vMerge w:val="restart"/>
            <w:vAlign w:val="center"/>
          </w:tcPr>
          <w:p w14:paraId="5A76F74F">
            <w:pPr>
              <w:pStyle w:val="78"/>
              <w:rPr>
                <w:rFonts w:cs="Times New Roman"/>
                <w:sz w:val="18"/>
                <w:szCs w:val="18"/>
              </w:rPr>
            </w:pPr>
            <w:r>
              <w:rPr>
                <w:rFonts w:cs="Times New Roman"/>
                <w:sz w:val="18"/>
                <w:szCs w:val="18"/>
              </w:rPr>
              <w:t>560</w:t>
            </w:r>
          </w:p>
        </w:tc>
      </w:tr>
      <w:tr w14:paraId="1C5D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45" w:type="pct"/>
            <w:vMerge w:val="continue"/>
            <w:vAlign w:val="center"/>
          </w:tcPr>
          <w:p w14:paraId="43BCD618">
            <w:pPr>
              <w:pStyle w:val="78"/>
              <w:rPr>
                <w:rFonts w:cs="Times New Roman"/>
                <w:sz w:val="18"/>
                <w:szCs w:val="18"/>
              </w:rPr>
            </w:pPr>
          </w:p>
        </w:tc>
        <w:tc>
          <w:tcPr>
            <w:tcW w:w="296" w:type="pct"/>
            <w:vMerge w:val="continue"/>
            <w:vAlign w:val="center"/>
          </w:tcPr>
          <w:p w14:paraId="3E6E3162">
            <w:pPr>
              <w:pStyle w:val="78"/>
              <w:rPr>
                <w:rFonts w:cs="Times New Roman"/>
                <w:sz w:val="18"/>
                <w:szCs w:val="18"/>
              </w:rPr>
            </w:pPr>
          </w:p>
        </w:tc>
        <w:tc>
          <w:tcPr>
            <w:tcW w:w="591" w:type="pct"/>
            <w:vAlign w:val="center"/>
          </w:tcPr>
          <w:p w14:paraId="24694E33">
            <w:pPr>
              <w:pStyle w:val="78"/>
              <w:rPr>
                <w:rFonts w:cs="Times New Roman"/>
                <w:sz w:val="18"/>
                <w:szCs w:val="18"/>
              </w:rPr>
            </w:pPr>
            <w:r>
              <w:rPr>
                <w:rFonts w:cs="Times New Roman"/>
                <w:sz w:val="18"/>
                <w:szCs w:val="18"/>
              </w:rPr>
              <w:t>0.3~0.5m</w:t>
            </w:r>
          </w:p>
        </w:tc>
        <w:tc>
          <w:tcPr>
            <w:tcW w:w="543" w:type="pct"/>
            <w:vAlign w:val="center"/>
          </w:tcPr>
          <w:p w14:paraId="76E9CCF2">
            <w:pPr>
              <w:pStyle w:val="78"/>
              <w:rPr>
                <w:rFonts w:cs="Times New Roman"/>
                <w:sz w:val="18"/>
                <w:szCs w:val="18"/>
              </w:rPr>
            </w:pPr>
            <w:r>
              <w:rPr>
                <w:rFonts w:cs="Times New Roman"/>
                <w:sz w:val="18"/>
                <w:szCs w:val="18"/>
              </w:rPr>
              <w:t>6.53</w:t>
            </w:r>
          </w:p>
        </w:tc>
        <w:tc>
          <w:tcPr>
            <w:tcW w:w="625" w:type="pct"/>
            <w:vAlign w:val="center"/>
          </w:tcPr>
          <w:p w14:paraId="026858A1">
            <w:pPr>
              <w:pStyle w:val="78"/>
              <w:rPr>
                <w:rFonts w:cs="Times New Roman"/>
                <w:sz w:val="18"/>
                <w:szCs w:val="18"/>
              </w:rPr>
            </w:pPr>
            <w:r>
              <w:rPr>
                <w:rFonts w:cs="Times New Roman"/>
                <w:sz w:val="18"/>
                <w:szCs w:val="18"/>
              </w:rPr>
              <w:t>1.41</w:t>
            </w:r>
          </w:p>
        </w:tc>
        <w:tc>
          <w:tcPr>
            <w:tcW w:w="546" w:type="pct"/>
            <w:vAlign w:val="center"/>
          </w:tcPr>
          <w:p w14:paraId="781CBD93">
            <w:pPr>
              <w:pStyle w:val="78"/>
              <w:rPr>
                <w:rFonts w:cs="Times New Roman"/>
                <w:sz w:val="18"/>
                <w:szCs w:val="18"/>
              </w:rPr>
            </w:pPr>
            <w:r>
              <w:rPr>
                <w:rFonts w:cs="Times New Roman"/>
                <w:sz w:val="18"/>
                <w:szCs w:val="18"/>
              </w:rPr>
              <w:t>30.4</w:t>
            </w:r>
          </w:p>
        </w:tc>
        <w:tc>
          <w:tcPr>
            <w:tcW w:w="573" w:type="pct"/>
            <w:vAlign w:val="center"/>
          </w:tcPr>
          <w:p w14:paraId="01A1AD3D">
            <w:pPr>
              <w:pStyle w:val="78"/>
              <w:rPr>
                <w:rFonts w:cs="Times New Roman"/>
                <w:sz w:val="18"/>
                <w:szCs w:val="18"/>
              </w:rPr>
            </w:pPr>
            <w:r>
              <w:rPr>
                <w:rFonts w:cs="Times New Roman"/>
                <w:sz w:val="18"/>
                <w:szCs w:val="18"/>
              </w:rPr>
              <w:t>1.98</w:t>
            </w:r>
          </w:p>
        </w:tc>
        <w:tc>
          <w:tcPr>
            <w:tcW w:w="758" w:type="pct"/>
            <w:vAlign w:val="center"/>
          </w:tcPr>
          <w:p w14:paraId="327FB8E1">
            <w:pPr>
              <w:pStyle w:val="78"/>
              <w:rPr>
                <w:rFonts w:cs="Times New Roman"/>
                <w:sz w:val="18"/>
                <w:szCs w:val="18"/>
              </w:rPr>
            </w:pPr>
            <w:r>
              <w:rPr>
                <w:rFonts w:cs="Times New Roman"/>
                <w:sz w:val="18"/>
                <w:szCs w:val="18"/>
              </w:rPr>
              <w:t>3.8</w:t>
            </w:r>
          </w:p>
        </w:tc>
        <w:tc>
          <w:tcPr>
            <w:tcW w:w="622" w:type="pct"/>
            <w:vMerge w:val="continue"/>
            <w:vAlign w:val="center"/>
          </w:tcPr>
          <w:p w14:paraId="68E460A9">
            <w:pPr>
              <w:pStyle w:val="78"/>
              <w:rPr>
                <w:rFonts w:cs="Times New Roman"/>
                <w:sz w:val="18"/>
                <w:szCs w:val="18"/>
              </w:rPr>
            </w:pPr>
          </w:p>
        </w:tc>
      </w:tr>
      <w:tr w14:paraId="5071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45" w:type="pct"/>
            <w:vMerge w:val="continue"/>
            <w:vAlign w:val="center"/>
          </w:tcPr>
          <w:p w14:paraId="3B87B946">
            <w:pPr>
              <w:pStyle w:val="78"/>
              <w:rPr>
                <w:rFonts w:cs="Times New Roman"/>
                <w:sz w:val="18"/>
                <w:szCs w:val="18"/>
              </w:rPr>
            </w:pPr>
          </w:p>
        </w:tc>
        <w:tc>
          <w:tcPr>
            <w:tcW w:w="296" w:type="pct"/>
            <w:vMerge w:val="continue"/>
            <w:vAlign w:val="center"/>
          </w:tcPr>
          <w:p w14:paraId="60DB9183">
            <w:pPr>
              <w:pStyle w:val="78"/>
              <w:rPr>
                <w:rFonts w:cs="Times New Roman"/>
                <w:sz w:val="18"/>
                <w:szCs w:val="18"/>
              </w:rPr>
            </w:pPr>
          </w:p>
        </w:tc>
        <w:tc>
          <w:tcPr>
            <w:tcW w:w="591" w:type="pct"/>
            <w:vAlign w:val="center"/>
          </w:tcPr>
          <w:p w14:paraId="626A3BAF">
            <w:pPr>
              <w:pStyle w:val="78"/>
              <w:rPr>
                <w:rFonts w:cs="Times New Roman"/>
                <w:sz w:val="18"/>
                <w:szCs w:val="18"/>
              </w:rPr>
            </w:pPr>
            <w:r>
              <w:rPr>
                <w:rFonts w:cs="Times New Roman"/>
                <w:sz w:val="18"/>
                <w:szCs w:val="18"/>
              </w:rPr>
              <w:t>0.5~0.9m</w:t>
            </w:r>
          </w:p>
        </w:tc>
        <w:tc>
          <w:tcPr>
            <w:tcW w:w="543" w:type="pct"/>
            <w:vAlign w:val="center"/>
          </w:tcPr>
          <w:p w14:paraId="20809466">
            <w:pPr>
              <w:pStyle w:val="78"/>
              <w:rPr>
                <w:rFonts w:cs="Times New Roman"/>
                <w:sz w:val="18"/>
                <w:szCs w:val="18"/>
              </w:rPr>
            </w:pPr>
            <w:r>
              <w:rPr>
                <w:rFonts w:cs="Times New Roman"/>
                <w:sz w:val="18"/>
                <w:szCs w:val="18"/>
              </w:rPr>
              <w:t>4.92</w:t>
            </w:r>
          </w:p>
        </w:tc>
        <w:tc>
          <w:tcPr>
            <w:tcW w:w="625" w:type="pct"/>
            <w:vAlign w:val="center"/>
          </w:tcPr>
          <w:p w14:paraId="7FC9CF23">
            <w:pPr>
              <w:pStyle w:val="78"/>
              <w:rPr>
                <w:rFonts w:cs="Times New Roman"/>
                <w:sz w:val="18"/>
                <w:szCs w:val="18"/>
              </w:rPr>
            </w:pPr>
            <w:r>
              <w:rPr>
                <w:rFonts w:cs="Times New Roman"/>
                <w:sz w:val="18"/>
                <w:szCs w:val="18"/>
              </w:rPr>
              <w:t>1.27</w:t>
            </w:r>
          </w:p>
        </w:tc>
        <w:tc>
          <w:tcPr>
            <w:tcW w:w="546" w:type="pct"/>
            <w:vAlign w:val="center"/>
          </w:tcPr>
          <w:p w14:paraId="7C1C79DB">
            <w:pPr>
              <w:pStyle w:val="78"/>
              <w:rPr>
                <w:rFonts w:cs="Times New Roman"/>
                <w:sz w:val="18"/>
                <w:szCs w:val="18"/>
              </w:rPr>
            </w:pPr>
            <w:r>
              <w:rPr>
                <w:rFonts w:cs="Times New Roman"/>
                <w:sz w:val="18"/>
                <w:szCs w:val="18"/>
              </w:rPr>
              <w:t>39.9</w:t>
            </w:r>
          </w:p>
        </w:tc>
        <w:tc>
          <w:tcPr>
            <w:tcW w:w="573" w:type="pct"/>
            <w:vAlign w:val="center"/>
          </w:tcPr>
          <w:p w14:paraId="6B7BC868">
            <w:pPr>
              <w:pStyle w:val="78"/>
              <w:rPr>
                <w:rFonts w:cs="Times New Roman"/>
                <w:sz w:val="18"/>
                <w:szCs w:val="18"/>
              </w:rPr>
            </w:pPr>
            <w:r>
              <w:rPr>
                <w:rFonts w:cs="Times New Roman"/>
                <w:sz w:val="18"/>
                <w:szCs w:val="18"/>
              </w:rPr>
              <w:t>2.75</w:t>
            </w:r>
          </w:p>
        </w:tc>
        <w:tc>
          <w:tcPr>
            <w:tcW w:w="758" w:type="pct"/>
            <w:vAlign w:val="center"/>
          </w:tcPr>
          <w:p w14:paraId="06C435BF">
            <w:pPr>
              <w:pStyle w:val="78"/>
              <w:rPr>
                <w:rFonts w:cs="Times New Roman"/>
                <w:sz w:val="18"/>
                <w:szCs w:val="18"/>
              </w:rPr>
            </w:pPr>
            <w:r>
              <w:rPr>
                <w:rFonts w:cs="Times New Roman"/>
                <w:sz w:val="18"/>
                <w:szCs w:val="18"/>
              </w:rPr>
              <w:t>3.2</w:t>
            </w:r>
          </w:p>
        </w:tc>
        <w:tc>
          <w:tcPr>
            <w:tcW w:w="622" w:type="pct"/>
            <w:vMerge w:val="continue"/>
            <w:vAlign w:val="center"/>
          </w:tcPr>
          <w:p w14:paraId="304E8C85">
            <w:pPr>
              <w:pStyle w:val="78"/>
              <w:rPr>
                <w:rFonts w:cs="Times New Roman"/>
                <w:sz w:val="18"/>
                <w:szCs w:val="18"/>
              </w:rPr>
            </w:pPr>
          </w:p>
        </w:tc>
      </w:tr>
      <w:tr w14:paraId="376A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45" w:type="pct"/>
            <w:vMerge w:val="continue"/>
            <w:vAlign w:val="center"/>
          </w:tcPr>
          <w:p w14:paraId="329F451C">
            <w:pPr>
              <w:pStyle w:val="78"/>
              <w:rPr>
                <w:rFonts w:cs="Times New Roman"/>
                <w:sz w:val="18"/>
                <w:szCs w:val="18"/>
              </w:rPr>
            </w:pPr>
          </w:p>
        </w:tc>
        <w:tc>
          <w:tcPr>
            <w:tcW w:w="296" w:type="pct"/>
            <w:vMerge w:val="continue"/>
            <w:vAlign w:val="center"/>
          </w:tcPr>
          <w:p w14:paraId="232B130C">
            <w:pPr>
              <w:pStyle w:val="78"/>
              <w:rPr>
                <w:rFonts w:cs="Times New Roman"/>
                <w:sz w:val="18"/>
                <w:szCs w:val="18"/>
              </w:rPr>
            </w:pPr>
          </w:p>
        </w:tc>
        <w:tc>
          <w:tcPr>
            <w:tcW w:w="591" w:type="pct"/>
            <w:vAlign w:val="center"/>
          </w:tcPr>
          <w:p w14:paraId="46867EF6">
            <w:pPr>
              <w:pStyle w:val="78"/>
              <w:rPr>
                <w:rFonts w:cs="Times New Roman"/>
                <w:sz w:val="18"/>
                <w:szCs w:val="18"/>
              </w:rPr>
            </w:pPr>
            <w:r>
              <w:rPr>
                <w:rFonts w:cs="Times New Roman"/>
                <w:sz w:val="18"/>
                <w:szCs w:val="18"/>
              </w:rPr>
              <w:t>0.9~1.2m</w:t>
            </w:r>
          </w:p>
        </w:tc>
        <w:tc>
          <w:tcPr>
            <w:tcW w:w="543" w:type="pct"/>
            <w:vAlign w:val="center"/>
          </w:tcPr>
          <w:p w14:paraId="30C187C6">
            <w:pPr>
              <w:pStyle w:val="78"/>
              <w:rPr>
                <w:rFonts w:cs="Times New Roman"/>
                <w:sz w:val="18"/>
                <w:szCs w:val="18"/>
              </w:rPr>
            </w:pPr>
            <w:r>
              <w:rPr>
                <w:rFonts w:cs="Times New Roman"/>
                <w:sz w:val="18"/>
                <w:szCs w:val="18"/>
              </w:rPr>
              <w:t>4.73</w:t>
            </w:r>
          </w:p>
        </w:tc>
        <w:tc>
          <w:tcPr>
            <w:tcW w:w="625" w:type="pct"/>
            <w:vAlign w:val="center"/>
          </w:tcPr>
          <w:p w14:paraId="0B8279B2">
            <w:pPr>
              <w:pStyle w:val="78"/>
              <w:rPr>
                <w:rFonts w:cs="Times New Roman"/>
                <w:sz w:val="18"/>
                <w:szCs w:val="18"/>
              </w:rPr>
            </w:pPr>
            <w:r>
              <w:rPr>
                <w:rFonts w:cs="Times New Roman"/>
                <w:sz w:val="18"/>
                <w:szCs w:val="18"/>
              </w:rPr>
              <w:t>1.22</w:t>
            </w:r>
          </w:p>
        </w:tc>
        <w:tc>
          <w:tcPr>
            <w:tcW w:w="546" w:type="pct"/>
            <w:vAlign w:val="center"/>
          </w:tcPr>
          <w:p w14:paraId="27834F13">
            <w:pPr>
              <w:pStyle w:val="78"/>
              <w:rPr>
                <w:rFonts w:cs="Times New Roman"/>
                <w:sz w:val="18"/>
                <w:szCs w:val="18"/>
              </w:rPr>
            </w:pPr>
            <w:r>
              <w:rPr>
                <w:rFonts w:cs="Times New Roman"/>
                <w:sz w:val="18"/>
                <w:szCs w:val="18"/>
              </w:rPr>
              <w:t>30.2</w:t>
            </w:r>
          </w:p>
        </w:tc>
        <w:tc>
          <w:tcPr>
            <w:tcW w:w="573" w:type="pct"/>
            <w:vAlign w:val="center"/>
          </w:tcPr>
          <w:p w14:paraId="737D4239">
            <w:pPr>
              <w:pStyle w:val="78"/>
              <w:rPr>
                <w:rFonts w:cs="Times New Roman"/>
                <w:sz w:val="18"/>
                <w:szCs w:val="18"/>
              </w:rPr>
            </w:pPr>
            <w:r>
              <w:rPr>
                <w:rFonts w:cs="Times New Roman"/>
                <w:sz w:val="18"/>
                <w:szCs w:val="18"/>
              </w:rPr>
              <w:t>2.47</w:t>
            </w:r>
          </w:p>
        </w:tc>
        <w:tc>
          <w:tcPr>
            <w:tcW w:w="758" w:type="pct"/>
            <w:vAlign w:val="center"/>
          </w:tcPr>
          <w:p w14:paraId="276278FF">
            <w:pPr>
              <w:pStyle w:val="78"/>
              <w:rPr>
                <w:rFonts w:cs="Times New Roman"/>
                <w:sz w:val="18"/>
                <w:szCs w:val="18"/>
              </w:rPr>
            </w:pPr>
            <w:r>
              <w:rPr>
                <w:rFonts w:cs="Times New Roman"/>
                <w:sz w:val="18"/>
                <w:szCs w:val="18"/>
              </w:rPr>
              <w:t>3.6</w:t>
            </w:r>
          </w:p>
        </w:tc>
        <w:tc>
          <w:tcPr>
            <w:tcW w:w="622" w:type="pct"/>
            <w:vMerge w:val="continue"/>
            <w:vAlign w:val="center"/>
          </w:tcPr>
          <w:p w14:paraId="07C8A4E2">
            <w:pPr>
              <w:pStyle w:val="78"/>
              <w:rPr>
                <w:rFonts w:cs="Times New Roman"/>
                <w:sz w:val="18"/>
                <w:szCs w:val="18"/>
              </w:rPr>
            </w:pPr>
          </w:p>
        </w:tc>
      </w:tr>
    </w:tbl>
    <w:p w14:paraId="7E950BE8">
      <w:pPr>
        <w:pStyle w:val="3"/>
        <w:ind w:firstLine="480"/>
      </w:pPr>
    </w:p>
    <w:p w14:paraId="36F6CC40">
      <w:pPr>
        <w:pStyle w:val="6"/>
        <w:numPr>
          <w:ilvl w:val="3"/>
          <w:numId w:val="1"/>
        </w:numPr>
        <w:ind w:left="0"/>
      </w:pPr>
      <w:r>
        <w:t>土壤质量调查结果</w:t>
      </w:r>
    </w:p>
    <w:p w14:paraId="35068E97">
      <w:pPr>
        <w:pStyle w:val="3"/>
        <w:ind w:firstLine="480"/>
      </w:pPr>
      <w:r>
        <w:t>项目所在区域土壤构型件表4.6-5，土壤环境质量现状监测结果见表4.6-6至4.6-11。</w:t>
      </w:r>
    </w:p>
    <w:p w14:paraId="5798FA71">
      <w:pPr>
        <w:pStyle w:val="3"/>
        <w:ind w:firstLine="480"/>
      </w:pPr>
      <w:r>
        <w:t>监测结果表明，本公司厂区及周边建设用地的各采样点的各项监测指标均能满足相应的要求。其中SH-1~SH-7、SH-9~SH-11采样点的各项监测指标均能满足《土壤环境质量 建设用地土壤污染风险管控标准（试行）》（GN 36600-2018）第二类用地筛选值标准限值；SH-8采样点的各项监测指标均能满足《土壤环境质量 农用地土壤污染风险管控标准（试行）》（GB 15168-2018）中表1农用地土壤污染风险筛选值。</w:t>
      </w:r>
    </w:p>
    <w:p w14:paraId="22CC94BF">
      <w:pPr>
        <w:pStyle w:val="6"/>
      </w:pPr>
      <w:r>
        <w:t>小结</w:t>
      </w:r>
    </w:p>
    <w:p w14:paraId="1D73391B">
      <w:pPr>
        <w:pStyle w:val="3"/>
        <w:ind w:firstLine="480"/>
      </w:pPr>
      <w:r>
        <w:t>东粤化学厂区及周边建设用地的各采样点的各项监测指标均能满足土壤环境质量要求，其中SH-1~SH-7、SH-9~SH-11采样点的各项监测指标均能满足《土壤环境质量 建设用地土壤污染风险管控标准（试行）》（GB 36600-2018）第二类用地筛选值标准限值；SH-8采样点的各项监测指标均能满足《土壤环境质量 农用地土壤污染风险管控标准（试行）》（GB 15168-2018）中表1农用地土壤污染风险筛选值。本公司所在区域土壤环境质量良好。</w:t>
      </w:r>
    </w:p>
    <w:p w14:paraId="686292DA">
      <w:pPr>
        <w:pStyle w:val="3"/>
        <w:ind w:firstLine="480"/>
      </w:pPr>
    </w:p>
    <w:p w14:paraId="28A8B16E">
      <w:pPr>
        <w:pStyle w:val="3"/>
        <w:ind w:firstLine="480"/>
        <w:sectPr>
          <w:pgSz w:w="11906" w:h="16838"/>
          <w:pgMar w:top="1418" w:right="1701" w:bottom="1418" w:left="1701" w:header="851" w:footer="992" w:gutter="0"/>
          <w:cols w:space="425" w:num="1"/>
          <w:docGrid w:linePitch="312" w:charSpace="0"/>
        </w:sectPr>
      </w:pPr>
    </w:p>
    <w:p w14:paraId="6AAB8294">
      <w:pPr>
        <w:pStyle w:val="14"/>
        <w:rPr>
          <w:rFonts w:cs="Times New Roman"/>
          <w:color w:val="auto"/>
        </w:rPr>
      </w:pPr>
      <w:bookmarkStart w:id="59" w:name="_Ref145670913"/>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16</w:t>
      </w:r>
      <w:r>
        <w:rPr>
          <w:rFonts w:cs="Times New Roman"/>
          <w:color w:val="auto"/>
        </w:rPr>
        <w:fldChar w:fldCharType="end"/>
      </w:r>
      <w:r>
        <w:rPr>
          <w:rFonts w:cs="Times New Roman"/>
          <w:color w:val="auto"/>
        </w:rPr>
        <w:t xml:space="preserve">  土壤构型</w:t>
      </w:r>
    </w:p>
    <w:tbl>
      <w:tblPr>
        <w:tblStyle w:val="41"/>
        <w:tblW w:w="5000" w:type="pct"/>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4779"/>
        <w:gridCol w:w="4125"/>
        <w:gridCol w:w="1864"/>
        <w:gridCol w:w="2341"/>
      </w:tblGrid>
      <w:tr w14:paraId="3E82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pct"/>
            <w:tcBorders>
              <w:top w:val="single" w:color="auto" w:sz="4" w:space="0"/>
              <w:left w:val="single" w:color="auto" w:sz="4" w:space="0"/>
              <w:bottom w:val="single" w:color="auto" w:sz="4" w:space="0"/>
              <w:right w:val="single" w:color="auto" w:sz="4" w:space="0"/>
            </w:tcBorders>
            <w:vAlign w:val="center"/>
          </w:tcPr>
          <w:p w14:paraId="50BD5BC1">
            <w:pPr>
              <w:pStyle w:val="78"/>
              <w:rPr>
                <w:rFonts w:cs="Times New Roman"/>
                <w:szCs w:val="21"/>
              </w:rPr>
            </w:pPr>
            <w:r>
              <w:rPr>
                <w:rFonts w:cs="Times New Roman"/>
              </w:rPr>
              <w:t>点位</w:t>
            </w:r>
          </w:p>
        </w:tc>
        <w:tc>
          <w:tcPr>
            <w:tcW w:w="1564" w:type="pct"/>
            <w:tcBorders>
              <w:top w:val="single" w:color="auto" w:sz="4" w:space="0"/>
              <w:left w:val="nil"/>
              <w:bottom w:val="single" w:color="auto" w:sz="4" w:space="0"/>
              <w:right w:val="single" w:color="auto" w:sz="4" w:space="0"/>
            </w:tcBorders>
            <w:vAlign w:val="center"/>
          </w:tcPr>
          <w:p w14:paraId="0B75DBD9">
            <w:pPr>
              <w:pStyle w:val="78"/>
              <w:rPr>
                <w:rFonts w:cs="Times New Roman"/>
              </w:rPr>
            </w:pPr>
            <w:r>
              <w:rPr>
                <w:rFonts w:cs="Times New Roman"/>
              </w:rPr>
              <w:t>景观照片</w:t>
            </w:r>
          </w:p>
        </w:tc>
        <w:tc>
          <w:tcPr>
            <w:tcW w:w="1366" w:type="pct"/>
            <w:tcBorders>
              <w:top w:val="single" w:color="auto" w:sz="4" w:space="0"/>
              <w:left w:val="nil"/>
              <w:bottom w:val="single" w:color="auto" w:sz="4" w:space="0"/>
              <w:right w:val="single" w:color="auto" w:sz="4" w:space="0"/>
            </w:tcBorders>
            <w:vAlign w:val="center"/>
          </w:tcPr>
          <w:p w14:paraId="437FDA6A">
            <w:pPr>
              <w:pStyle w:val="78"/>
              <w:rPr>
                <w:rFonts w:cs="Times New Roman"/>
              </w:rPr>
            </w:pPr>
            <w:r>
              <w:rPr>
                <w:rFonts w:cs="Times New Roman"/>
              </w:rPr>
              <w:t>土壤剖面照片</w:t>
            </w:r>
          </w:p>
        </w:tc>
        <w:tc>
          <w:tcPr>
            <w:tcW w:w="722" w:type="pct"/>
            <w:tcBorders>
              <w:top w:val="single" w:color="auto" w:sz="4" w:space="0"/>
              <w:left w:val="nil"/>
              <w:bottom w:val="single" w:color="auto" w:sz="4" w:space="0"/>
              <w:right w:val="single" w:color="auto" w:sz="4" w:space="0"/>
            </w:tcBorders>
            <w:vAlign w:val="center"/>
          </w:tcPr>
          <w:p w14:paraId="1AEAF265">
            <w:pPr>
              <w:pStyle w:val="78"/>
              <w:rPr>
                <w:rFonts w:cs="Times New Roman"/>
              </w:rPr>
            </w:pPr>
            <w:r>
              <w:rPr>
                <w:rFonts w:cs="Times New Roman"/>
              </w:rPr>
              <w:t>层次</w:t>
            </w:r>
          </w:p>
        </w:tc>
        <w:tc>
          <w:tcPr>
            <w:tcW w:w="890" w:type="pct"/>
            <w:tcBorders>
              <w:top w:val="single" w:color="auto" w:sz="4" w:space="0"/>
              <w:left w:val="nil"/>
              <w:bottom w:val="single" w:color="auto" w:sz="4" w:space="0"/>
              <w:right w:val="single" w:color="auto" w:sz="4" w:space="0"/>
            </w:tcBorders>
            <w:vAlign w:val="center"/>
          </w:tcPr>
          <w:p w14:paraId="4261D705">
            <w:pPr>
              <w:pStyle w:val="78"/>
              <w:rPr>
                <w:rFonts w:cs="Times New Roman"/>
              </w:rPr>
            </w:pPr>
            <w:r>
              <w:rPr>
                <w:rFonts w:cs="Times New Roman"/>
              </w:rPr>
              <w:t>土壤颜色、结构、质地、砂砾含量、其他异物等</w:t>
            </w:r>
          </w:p>
        </w:tc>
      </w:tr>
      <w:tr w14:paraId="5C6F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7" w:type="pct"/>
            <w:vMerge w:val="restart"/>
            <w:tcBorders>
              <w:top w:val="nil"/>
              <w:left w:val="single" w:color="auto" w:sz="4" w:space="0"/>
              <w:bottom w:val="single" w:color="auto" w:sz="4" w:space="0"/>
              <w:right w:val="single" w:color="auto" w:sz="4" w:space="0"/>
            </w:tcBorders>
            <w:vAlign w:val="center"/>
          </w:tcPr>
          <w:p w14:paraId="386D564A">
            <w:pPr>
              <w:pStyle w:val="78"/>
              <w:rPr>
                <w:rFonts w:cs="Times New Roman"/>
              </w:rPr>
            </w:pPr>
            <w:r>
              <w:rPr>
                <w:rFonts w:cs="Times New Roman"/>
              </w:rPr>
              <w:t>SH-4剖面</w:t>
            </w:r>
          </w:p>
        </w:tc>
        <w:tc>
          <w:tcPr>
            <w:tcW w:w="1564" w:type="pct"/>
            <w:vMerge w:val="restart"/>
            <w:tcBorders>
              <w:top w:val="nil"/>
              <w:left w:val="nil"/>
              <w:bottom w:val="single" w:color="auto" w:sz="4" w:space="0"/>
              <w:right w:val="single" w:color="auto" w:sz="4" w:space="0"/>
            </w:tcBorders>
            <w:vAlign w:val="center"/>
          </w:tcPr>
          <w:p w14:paraId="55942248">
            <w:pPr>
              <w:pStyle w:val="78"/>
              <w:rPr>
                <w:rFonts w:cs="Times New Roman"/>
              </w:rPr>
            </w:pPr>
            <w:r>
              <w:rPr>
                <w:rFonts w:cs="Times New Roman"/>
              </w:rPr>
              <w:drawing>
                <wp:inline distT="0" distB="0" distL="0" distR="0">
                  <wp:extent cx="2897505" cy="2197100"/>
                  <wp:effectExtent l="0" t="0" r="0" b="0"/>
                  <wp:docPr id="2988216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21678" name="图片 2"/>
                          <pic:cNvPicPr>
                            <a:picLocks noChangeAspect="1" noChangeArrowheads="1"/>
                          </pic:cNvPicPr>
                        </pic:nvPicPr>
                        <pic:blipFill>
                          <a:blip r:embed="rId37"/>
                          <a:srcRect/>
                          <a:stretch>
                            <a:fillRect/>
                          </a:stretch>
                        </pic:blipFill>
                        <pic:spPr>
                          <a:xfrm>
                            <a:off x="0" y="0"/>
                            <a:ext cx="2897505" cy="2197100"/>
                          </a:xfrm>
                          <a:prstGeom prst="rect">
                            <a:avLst/>
                          </a:prstGeom>
                          <a:noFill/>
                          <a:ln>
                            <a:noFill/>
                          </a:ln>
                        </pic:spPr>
                      </pic:pic>
                    </a:graphicData>
                  </a:graphic>
                </wp:inline>
              </w:drawing>
            </w:r>
          </w:p>
        </w:tc>
        <w:tc>
          <w:tcPr>
            <w:tcW w:w="1366" w:type="pct"/>
            <w:vMerge w:val="restart"/>
            <w:tcBorders>
              <w:top w:val="nil"/>
              <w:left w:val="nil"/>
              <w:bottom w:val="single" w:color="auto" w:sz="4" w:space="0"/>
              <w:right w:val="single" w:color="auto" w:sz="4" w:space="0"/>
            </w:tcBorders>
            <w:vAlign w:val="center"/>
          </w:tcPr>
          <w:p w14:paraId="2EF41659">
            <w:pPr>
              <w:pStyle w:val="78"/>
              <w:rPr>
                <w:rFonts w:cs="Times New Roman"/>
              </w:rPr>
            </w:pPr>
            <w:r>
              <w:rPr>
                <w:rFonts w:cs="Times New Roman"/>
              </w:rPr>
              <w:drawing>
                <wp:inline distT="0" distB="0" distL="0" distR="0">
                  <wp:extent cx="2482215" cy="3313430"/>
                  <wp:effectExtent l="0" t="0" r="0" b="1270"/>
                  <wp:docPr id="1619226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26156" name="图片 1"/>
                          <pic:cNvPicPr>
                            <a:picLocks noChangeAspect="1" noChangeArrowheads="1"/>
                          </pic:cNvPicPr>
                        </pic:nvPicPr>
                        <pic:blipFill>
                          <a:blip r:embed="rId38"/>
                          <a:srcRect/>
                          <a:stretch>
                            <a:fillRect/>
                          </a:stretch>
                        </pic:blipFill>
                        <pic:spPr>
                          <a:xfrm>
                            <a:off x="0" y="0"/>
                            <a:ext cx="2482215" cy="3313430"/>
                          </a:xfrm>
                          <a:prstGeom prst="rect">
                            <a:avLst/>
                          </a:prstGeom>
                          <a:noFill/>
                          <a:ln>
                            <a:noFill/>
                          </a:ln>
                        </pic:spPr>
                      </pic:pic>
                    </a:graphicData>
                  </a:graphic>
                </wp:inline>
              </w:drawing>
            </w:r>
          </w:p>
        </w:tc>
        <w:tc>
          <w:tcPr>
            <w:tcW w:w="722" w:type="pct"/>
            <w:tcBorders>
              <w:top w:val="single" w:color="auto" w:sz="4" w:space="0"/>
              <w:left w:val="nil"/>
              <w:bottom w:val="single" w:color="auto" w:sz="4" w:space="0"/>
              <w:right w:val="single" w:color="auto" w:sz="4" w:space="0"/>
            </w:tcBorders>
            <w:vAlign w:val="center"/>
          </w:tcPr>
          <w:p w14:paraId="650A2747">
            <w:pPr>
              <w:pStyle w:val="78"/>
              <w:rPr>
                <w:rFonts w:cs="Times New Roman"/>
              </w:rPr>
            </w:pPr>
            <w:r>
              <w:rPr>
                <w:rFonts w:cs="Times New Roman"/>
              </w:rPr>
              <w:t>0~0.3m</w:t>
            </w:r>
          </w:p>
        </w:tc>
        <w:tc>
          <w:tcPr>
            <w:tcW w:w="890" w:type="pct"/>
            <w:tcBorders>
              <w:top w:val="single" w:color="auto" w:sz="4" w:space="0"/>
              <w:left w:val="nil"/>
              <w:bottom w:val="single" w:color="auto" w:sz="4" w:space="0"/>
              <w:right w:val="single" w:color="auto" w:sz="4" w:space="0"/>
            </w:tcBorders>
            <w:vAlign w:val="center"/>
          </w:tcPr>
          <w:p w14:paraId="5191AB8E">
            <w:pPr>
              <w:pStyle w:val="78"/>
              <w:rPr>
                <w:rFonts w:cs="Times New Roman"/>
              </w:rPr>
            </w:pPr>
            <w:r>
              <w:rPr>
                <w:rFonts w:cs="Times New Roman"/>
              </w:rPr>
              <w:t>棕色、团粒结构、质地为砂土、砂砾含量约19%、无其他异物</w:t>
            </w:r>
          </w:p>
        </w:tc>
      </w:tr>
      <w:tr w14:paraId="3053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tcBorders>
              <w:top w:val="nil"/>
              <w:left w:val="single" w:color="auto" w:sz="4" w:space="0"/>
              <w:bottom w:val="single" w:color="auto" w:sz="4" w:space="0"/>
              <w:right w:val="single" w:color="auto" w:sz="4" w:space="0"/>
            </w:tcBorders>
            <w:vAlign w:val="center"/>
          </w:tcPr>
          <w:p w14:paraId="3249AFCE">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4FEA4EAC">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6AD8F858">
            <w:pPr>
              <w:pStyle w:val="78"/>
              <w:rPr>
                <w:rFonts w:cs="Times New Roman"/>
                <w:szCs w:val="21"/>
              </w:rPr>
            </w:pPr>
          </w:p>
        </w:tc>
        <w:tc>
          <w:tcPr>
            <w:tcW w:w="722" w:type="pct"/>
            <w:tcBorders>
              <w:top w:val="single" w:color="auto" w:sz="4" w:space="0"/>
              <w:left w:val="nil"/>
              <w:bottom w:val="single" w:color="auto" w:sz="4" w:space="0"/>
              <w:right w:val="single" w:color="auto" w:sz="4" w:space="0"/>
            </w:tcBorders>
            <w:vAlign w:val="center"/>
          </w:tcPr>
          <w:p w14:paraId="20BC3C56">
            <w:pPr>
              <w:pStyle w:val="78"/>
              <w:rPr>
                <w:rFonts w:cs="Times New Roman"/>
              </w:rPr>
            </w:pPr>
            <w:r>
              <w:rPr>
                <w:rFonts w:cs="Times New Roman"/>
              </w:rPr>
              <w:t>0.3~0.5m</w:t>
            </w:r>
          </w:p>
        </w:tc>
        <w:tc>
          <w:tcPr>
            <w:tcW w:w="890" w:type="pct"/>
            <w:tcBorders>
              <w:top w:val="single" w:color="auto" w:sz="4" w:space="0"/>
              <w:left w:val="nil"/>
              <w:bottom w:val="single" w:color="auto" w:sz="4" w:space="0"/>
              <w:right w:val="single" w:color="auto" w:sz="4" w:space="0"/>
            </w:tcBorders>
            <w:vAlign w:val="center"/>
          </w:tcPr>
          <w:p w14:paraId="70636629">
            <w:pPr>
              <w:pStyle w:val="78"/>
              <w:rPr>
                <w:rFonts w:cs="Times New Roman"/>
              </w:rPr>
            </w:pPr>
            <w:r>
              <w:rPr>
                <w:rFonts w:cs="Times New Roman"/>
              </w:rPr>
              <w:t>黄棕色、团粒结构、质地为砂土、砂砾含量约20%、无其他异物</w:t>
            </w:r>
          </w:p>
        </w:tc>
      </w:tr>
      <w:tr w14:paraId="0E5F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tcBorders>
              <w:top w:val="nil"/>
              <w:left w:val="single" w:color="auto" w:sz="4" w:space="0"/>
              <w:bottom w:val="single" w:color="auto" w:sz="4" w:space="0"/>
              <w:right w:val="single" w:color="auto" w:sz="4" w:space="0"/>
            </w:tcBorders>
            <w:vAlign w:val="center"/>
          </w:tcPr>
          <w:p w14:paraId="03ADEE51">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429C5285">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0216A1E5">
            <w:pPr>
              <w:pStyle w:val="78"/>
              <w:rPr>
                <w:rFonts w:cs="Times New Roman"/>
                <w:szCs w:val="21"/>
              </w:rPr>
            </w:pPr>
          </w:p>
        </w:tc>
        <w:tc>
          <w:tcPr>
            <w:tcW w:w="722" w:type="pct"/>
            <w:tcBorders>
              <w:top w:val="single" w:color="auto" w:sz="4" w:space="0"/>
              <w:left w:val="nil"/>
              <w:bottom w:val="single" w:color="auto" w:sz="4" w:space="0"/>
              <w:right w:val="single" w:color="auto" w:sz="4" w:space="0"/>
            </w:tcBorders>
            <w:vAlign w:val="center"/>
          </w:tcPr>
          <w:p w14:paraId="394D7F0C">
            <w:pPr>
              <w:pStyle w:val="78"/>
              <w:rPr>
                <w:rFonts w:cs="Times New Roman"/>
              </w:rPr>
            </w:pPr>
            <w:r>
              <w:rPr>
                <w:rFonts w:cs="Times New Roman"/>
              </w:rPr>
              <w:t>0.5~0.9m</w:t>
            </w:r>
          </w:p>
        </w:tc>
        <w:tc>
          <w:tcPr>
            <w:tcW w:w="890" w:type="pct"/>
            <w:tcBorders>
              <w:top w:val="single" w:color="auto" w:sz="4" w:space="0"/>
              <w:left w:val="nil"/>
              <w:bottom w:val="single" w:color="auto" w:sz="4" w:space="0"/>
              <w:right w:val="single" w:color="auto" w:sz="4" w:space="0"/>
            </w:tcBorders>
            <w:vAlign w:val="center"/>
          </w:tcPr>
          <w:p w14:paraId="6D0FB352">
            <w:pPr>
              <w:pStyle w:val="78"/>
              <w:rPr>
                <w:rFonts w:cs="Times New Roman"/>
              </w:rPr>
            </w:pPr>
            <w:r>
              <w:rPr>
                <w:rFonts w:cs="Times New Roman"/>
              </w:rPr>
              <w:t>红棕色、团块结构、质地为砂土、砂砾含量约21%、无其他异物</w:t>
            </w:r>
          </w:p>
        </w:tc>
      </w:tr>
      <w:tr w14:paraId="35F1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tcBorders>
              <w:top w:val="nil"/>
              <w:left w:val="single" w:color="auto" w:sz="4" w:space="0"/>
              <w:bottom w:val="single" w:color="auto" w:sz="4" w:space="0"/>
              <w:right w:val="single" w:color="auto" w:sz="4" w:space="0"/>
            </w:tcBorders>
            <w:vAlign w:val="center"/>
          </w:tcPr>
          <w:p w14:paraId="75F2DD36">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011D62B2">
            <w:pPr>
              <w:pStyle w:val="78"/>
              <w:rPr>
                <w:rFonts w:cs="Times New Roman"/>
                <w:szCs w:val="21"/>
              </w:rPr>
            </w:pPr>
          </w:p>
        </w:tc>
        <w:tc>
          <w:tcPr>
            <w:tcW w:w="0" w:type="auto"/>
            <w:vMerge w:val="continue"/>
            <w:tcBorders>
              <w:top w:val="nil"/>
              <w:left w:val="nil"/>
              <w:bottom w:val="single" w:color="auto" w:sz="4" w:space="0"/>
              <w:right w:val="single" w:color="auto" w:sz="4" w:space="0"/>
            </w:tcBorders>
            <w:vAlign w:val="center"/>
          </w:tcPr>
          <w:p w14:paraId="5F6006BA">
            <w:pPr>
              <w:pStyle w:val="78"/>
              <w:rPr>
                <w:rFonts w:cs="Times New Roman"/>
                <w:szCs w:val="21"/>
              </w:rPr>
            </w:pPr>
          </w:p>
        </w:tc>
        <w:tc>
          <w:tcPr>
            <w:tcW w:w="722" w:type="pct"/>
            <w:tcBorders>
              <w:top w:val="single" w:color="auto" w:sz="4" w:space="0"/>
              <w:left w:val="nil"/>
              <w:bottom w:val="single" w:color="auto" w:sz="4" w:space="0"/>
              <w:right w:val="single" w:color="auto" w:sz="4" w:space="0"/>
            </w:tcBorders>
            <w:vAlign w:val="center"/>
          </w:tcPr>
          <w:p w14:paraId="01EEF307">
            <w:pPr>
              <w:pStyle w:val="78"/>
              <w:rPr>
                <w:rFonts w:cs="Times New Roman"/>
              </w:rPr>
            </w:pPr>
            <w:r>
              <w:rPr>
                <w:rFonts w:cs="Times New Roman"/>
              </w:rPr>
              <w:t>0.9~1.2m</w:t>
            </w:r>
          </w:p>
        </w:tc>
        <w:tc>
          <w:tcPr>
            <w:tcW w:w="890" w:type="pct"/>
            <w:tcBorders>
              <w:top w:val="single" w:color="auto" w:sz="4" w:space="0"/>
              <w:left w:val="nil"/>
              <w:bottom w:val="single" w:color="auto" w:sz="4" w:space="0"/>
              <w:right w:val="single" w:color="auto" w:sz="4" w:space="0"/>
            </w:tcBorders>
            <w:vAlign w:val="center"/>
          </w:tcPr>
          <w:p w14:paraId="46EE103C">
            <w:pPr>
              <w:pStyle w:val="78"/>
              <w:rPr>
                <w:rFonts w:cs="Times New Roman"/>
              </w:rPr>
            </w:pPr>
            <w:r>
              <w:rPr>
                <w:rFonts w:cs="Times New Roman"/>
              </w:rPr>
              <w:t>杂色（棕+灰）、团块结构、质地为砂土、砂砾含量约18%、无其他异物</w:t>
            </w:r>
          </w:p>
        </w:tc>
      </w:tr>
    </w:tbl>
    <w:p w14:paraId="1376B85B">
      <w:pPr>
        <w:rPr>
          <w:rFonts w:ascii="Times New Roman" w:hAnsi="Times New Roman" w:cs="Times New Roman"/>
        </w:rPr>
      </w:pPr>
    </w:p>
    <w:p w14:paraId="4C8B47EF">
      <w:pPr>
        <w:rPr>
          <w:rFonts w:ascii="Times New Roman" w:hAnsi="Times New Roman" w:cs="Times New Roman"/>
        </w:rPr>
      </w:pPr>
    </w:p>
    <w:p w14:paraId="1653839A">
      <w:pPr>
        <w:rPr>
          <w:rFonts w:ascii="Times New Roman" w:hAnsi="Times New Roman" w:cs="Times New Roman"/>
        </w:rPr>
      </w:pPr>
    </w:p>
    <w:p w14:paraId="1CEC7461">
      <w:pPr>
        <w:rPr>
          <w:rFonts w:ascii="Times New Roman" w:hAnsi="Times New Roman" w:cs="Times New Roman"/>
        </w:rPr>
        <w:sectPr>
          <w:pgSz w:w="16838" w:h="11906" w:orient="landscape"/>
          <w:pgMar w:top="1701" w:right="1418" w:bottom="1701" w:left="1418" w:header="851" w:footer="992" w:gutter="0"/>
          <w:cols w:space="425" w:num="1"/>
          <w:docGrid w:linePitch="326" w:charSpace="0"/>
        </w:sectPr>
      </w:pPr>
    </w:p>
    <w:p w14:paraId="36396104">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17</w:t>
      </w:r>
      <w:r>
        <w:rPr>
          <w:rFonts w:cs="Times New Roman"/>
          <w:color w:val="auto"/>
        </w:rPr>
        <w:fldChar w:fldCharType="end"/>
      </w:r>
      <w:bookmarkEnd w:id="59"/>
      <w:r>
        <w:rPr>
          <w:rFonts w:cs="Times New Roman"/>
          <w:color w:val="auto"/>
        </w:rPr>
        <w:t xml:space="preserve">  土壤环境质量监测结果</w:t>
      </w:r>
      <w:r>
        <w:rPr>
          <w:rFonts w:hint="eastAsia" w:ascii="宋体" w:hAnsi="宋体"/>
          <w:color w:val="auto"/>
        </w:rPr>
        <w:t>①</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881"/>
        <w:gridCol w:w="1077"/>
        <w:gridCol w:w="1072"/>
        <w:gridCol w:w="819"/>
        <w:gridCol w:w="822"/>
        <w:gridCol w:w="822"/>
        <w:gridCol w:w="819"/>
        <w:gridCol w:w="822"/>
        <w:gridCol w:w="822"/>
        <w:gridCol w:w="822"/>
        <w:gridCol w:w="719"/>
        <w:gridCol w:w="699"/>
        <w:gridCol w:w="706"/>
        <w:gridCol w:w="561"/>
        <w:gridCol w:w="1594"/>
      </w:tblGrid>
      <w:tr w14:paraId="2FF9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07" w:type="pct"/>
            <w:vMerge w:val="restart"/>
            <w:vAlign w:val="center"/>
          </w:tcPr>
          <w:p w14:paraId="524B9DA2">
            <w:pPr>
              <w:pStyle w:val="78"/>
              <w:rPr>
                <w:rFonts w:cs="Times New Roman"/>
                <w:b/>
              </w:rPr>
            </w:pPr>
            <w:r>
              <w:rPr>
                <w:rFonts w:cs="Times New Roman"/>
                <w:b/>
              </w:rPr>
              <w:t>采样日期</w:t>
            </w:r>
          </w:p>
        </w:tc>
        <w:tc>
          <w:tcPr>
            <w:tcW w:w="704" w:type="pct"/>
            <w:gridSpan w:val="2"/>
            <w:vMerge w:val="restart"/>
            <w:vAlign w:val="center"/>
          </w:tcPr>
          <w:p w14:paraId="39EB3F1F">
            <w:pPr>
              <w:pStyle w:val="78"/>
              <w:rPr>
                <w:rFonts w:cs="Times New Roman"/>
                <w:b/>
              </w:rPr>
            </w:pPr>
            <w:r>
              <w:rPr>
                <w:rFonts w:cs="Times New Roman"/>
                <w:b/>
              </w:rPr>
              <w:t>采样点位</w:t>
            </w:r>
          </w:p>
        </w:tc>
        <w:tc>
          <w:tcPr>
            <w:tcW w:w="3889" w:type="pct"/>
            <w:gridSpan w:val="13"/>
            <w:vAlign w:val="center"/>
          </w:tcPr>
          <w:p w14:paraId="10E157FD">
            <w:pPr>
              <w:pStyle w:val="78"/>
              <w:rPr>
                <w:rFonts w:cs="Times New Roman"/>
                <w:b/>
              </w:rPr>
            </w:pPr>
            <w:r>
              <w:rPr>
                <w:rFonts w:cs="Times New Roman"/>
                <w:b/>
              </w:rPr>
              <w:t>检测结果（mg/kg）</w:t>
            </w:r>
          </w:p>
        </w:tc>
      </w:tr>
      <w:tr w14:paraId="7A18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07" w:type="pct"/>
            <w:vMerge w:val="continue"/>
            <w:vAlign w:val="center"/>
          </w:tcPr>
          <w:p w14:paraId="087BEE0D">
            <w:pPr>
              <w:pStyle w:val="78"/>
              <w:rPr>
                <w:rFonts w:cs="Times New Roman"/>
                <w:b/>
              </w:rPr>
            </w:pPr>
          </w:p>
        </w:tc>
        <w:tc>
          <w:tcPr>
            <w:tcW w:w="704" w:type="pct"/>
            <w:gridSpan w:val="2"/>
            <w:vMerge w:val="continue"/>
            <w:vAlign w:val="center"/>
          </w:tcPr>
          <w:p w14:paraId="15682ABD">
            <w:pPr>
              <w:pStyle w:val="78"/>
              <w:rPr>
                <w:rFonts w:cs="Times New Roman"/>
                <w:b/>
              </w:rPr>
            </w:pPr>
          </w:p>
        </w:tc>
        <w:tc>
          <w:tcPr>
            <w:tcW w:w="385" w:type="pct"/>
            <w:vAlign w:val="center"/>
          </w:tcPr>
          <w:p w14:paraId="583C491C">
            <w:pPr>
              <w:pStyle w:val="78"/>
              <w:rPr>
                <w:rFonts w:cs="Times New Roman"/>
                <w:b/>
              </w:rPr>
            </w:pPr>
            <w:r>
              <w:rPr>
                <w:rFonts w:cs="Times New Roman"/>
                <w:b/>
              </w:rPr>
              <w:t>pH值</w:t>
            </w:r>
          </w:p>
          <w:p w14:paraId="1BCD96B5">
            <w:pPr>
              <w:pStyle w:val="78"/>
              <w:rPr>
                <w:rFonts w:cs="Times New Roman"/>
                <w:b/>
              </w:rPr>
            </w:pPr>
            <w:r>
              <w:rPr>
                <w:rFonts w:cs="Times New Roman"/>
                <w:b/>
              </w:rPr>
              <w:t>（无量纲）</w:t>
            </w:r>
          </w:p>
        </w:tc>
        <w:tc>
          <w:tcPr>
            <w:tcW w:w="296" w:type="pct"/>
            <w:vAlign w:val="center"/>
          </w:tcPr>
          <w:p w14:paraId="391B67EF">
            <w:pPr>
              <w:pStyle w:val="78"/>
              <w:rPr>
                <w:rFonts w:cs="Times New Roman"/>
                <w:b/>
              </w:rPr>
            </w:pPr>
            <w:r>
              <w:rPr>
                <w:rFonts w:cs="Times New Roman"/>
                <w:b/>
              </w:rPr>
              <w:t>六价铬</w:t>
            </w:r>
          </w:p>
        </w:tc>
        <w:tc>
          <w:tcPr>
            <w:tcW w:w="297" w:type="pct"/>
            <w:vAlign w:val="center"/>
          </w:tcPr>
          <w:p w14:paraId="6B6F0EEB">
            <w:pPr>
              <w:pStyle w:val="78"/>
              <w:rPr>
                <w:rFonts w:cs="Times New Roman"/>
                <w:b/>
              </w:rPr>
            </w:pPr>
            <w:r>
              <w:rPr>
                <w:rFonts w:cs="Times New Roman"/>
                <w:b/>
              </w:rPr>
              <w:t>总汞</w:t>
            </w:r>
          </w:p>
        </w:tc>
        <w:tc>
          <w:tcPr>
            <w:tcW w:w="297" w:type="pct"/>
            <w:vAlign w:val="center"/>
          </w:tcPr>
          <w:p w14:paraId="1E9C3812">
            <w:pPr>
              <w:pStyle w:val="78"/>
              <w:rPr>
                <w:rFonts w:cs="Times New Roman"/>
                <w:b/>
              </w:rPr>
            </w:pPr>
            <w:r>
              <w:rPr>
                <w:rFonts w:cs="Times New Roman"/>
                <w:b/>
              </w:rPr>
              <w:t>总砷</w:t>
            </w:r>
          </w:p>
        </w:tc>
        <w:tc>
          <w:tcPr>
            <w:tcW w:w="296" w:type="pct"/>
            <w:vAlign w:val="center"/>
          </w:tcPr>
          <w:p w14:paraId="6A1FD730">
            <w:pPr>
              <w:pStyle w:val="78"/>
              <w:rPr>
                <w:rFonts w:cs="Times New Roman"/>
                <w:b/>
              </w:rPr>
            </w:pPr>
            <w:r>
              <w:rPr>
                <w:rFonts w:cs="Times New Roman"/>
                <w:b/>
              </w:rPr>
              <w:t>铜</w:t>
            </w:r>
          </w:p>
        </w:tc>
        <w:tc>
          <w:tcPr>
            <w:tcW w:w="297" w:type="pct"/>
            <w:vAlign w:val="center"/>
          </w:tcPr>
          <w:p w14:paraId="628F45AB">
            <w:pPr>
              <w:pStyle w:val="78"/>
              <w:rPr>
                <w:rFonts w:cs="Times New Roman"/>
                <w:b/>
              </w:rPr>
            </w:pPr>
            <w:r>
              <w:rPr>
                <w:rFonts w:cs="Times New Roman"/>
                <w:b/>
              </w:rPr>
              <w:t>铅</w:t>
            </w:r>
          </w:p>
        </w:tc>
        <w:tc>
          <w:tcPr>
            <w:tcW w:w="297" w:type="pct"/>
            <w:vAlign w:val="center"/>
          </w:tcPr>
          <w:p w14:paraId="2D70AD47">
            <w:pPr>
              <w:pStyle w:val="78"/>
              <w:rPr>
                <w:rFonts w:cs="Times New Roman"/>
                <w:b/>
              </w:rPr>
            </w:pPr>
            <w:r>
              <w:rPr>
                <w:rFonts w:cs="Times New Roman"/>
                <w:b/>
              </w:rPr>
              <w:t>镍</w:t>
            </w:r>
          </w:p>
        </w:tc>
        <w:tc>
          <w:tcPr>
            <w:tcW w:w="297" w:type="pct"/>
            <w:vAlign w:val="center"/>
          </w:tcPr>
          <w:p w14:paraId="56B455CF">
            <w:pPr>
              <w:pStyle w:val="78"/>
              <w:rPr>
                <w:rFonts w:cs="Times New Roman"/>
                <w:b/>
              </w:rPr>
            </w:pPr>
            <w:r>
              <w:rPr>
                <w:rFonts w:cs="Times New Roman"/>
                <w:b/>
              </w:rPr>
              <w:t>锌</w:t>
            </w:r>
          </w:p>
        </w:tc>
        <w:tc>
          <w:tcPr>
            <w:tcW w:w="261" w:type="pct"/>
            <w:vAlign w:val="center"/>
          </w:tcPr>
          <w:p w14:paraId="5F4CB7F2">
            <w:pPr>
              <w:pStyle w:val="78"/>
              <w:rPr>
                <w:rFonts w:cs="Times New Roman"/>
                <w:b/>
              </w:rPr>
            </w:pPr>
            <w:r>
              <w:rPr>
                <w:rFonts w:cs="Times New Roman"/>
                <w:b/>
              </w:rPr>
              <w:t>镉</w:t>
            </w:r>
          </w:p>
        </w:tc>
        <w:tc>
          <w:tcPr>
            <w:tcW w:w="254" w:type="pct"/>
            <w:vAlign w:val="center"/>
          </w:tcPr>
          <w:p w14:paraId="1D399F46">
            <w:pPr>
              <w:pStyle w:val="78"/>
              <w:rPr>
                <w:rFonts w:cs="Times New Roman"/>
                <w:b/>
              </w:rPr>
            </w:pPr>
            <w:r>
              <w:rPr>
                <w:rFonts w:cs="Times New Roman"/>
                <w:b/>
              </w:rPr>
              <w:t>铬</w:t>
            </w:r>
          </w:p>
        </w:tc>
        <w:tc>
          <w:tcPr>
            <w:tcW w:w="256" w:type="pct"/>
            <w:vAlign w:val="center"/>
          </w:tcPr>
          <w:p w14:paraId="46A00A89">
            <w:pPr>
              <w:pStyle w:val="78"/>
              <w:rPr>
                <w:rFonts w:cs="Times New Roman"/>
                <w:b/>
              </w:rPr>
            </w:pPr>
            <w:r>
              <w:rPr>
                <w:rFonts w:cs="Times New Roman"/>
                <w:b/>
              </w:rPr>
              <w:t>钒</w:t>
            </w:r>
          </w:p>
        </w:tc>
        <w:tc>
          <w:tcPr>
            <w:tcW w:w="205" w:type="pct"/>
            <w:vAlign w:val="center"/>
          </w:tcPr>
          <w:p w14:paraId="04C0F5E7">
            <w:pPr>
              <w:pStyle w:val="78"/>
              <w:rPr>
                <w:rFonts w:cs="Times New Roman"/>
                <w:b/>
              </w:rPr>
            </w:pPr>
            <w:r>
              <w:rPr>
                <w:rFonts w:cs="Times New Roman"/>
                <w:b/>
              </w:rPr>
              <w:t>钴</w:t>
            </w:r>
          </w:p>
        </w:tc>
        <w:tc>
          <w:tcPr>
            <w:tcW w:w="450" w:type="pct"/>
            <w:vAlign w:val="center"/>
          </w:tcPr>
          <w:p w14:paraId="79A64102">
            <w:pPr>
              <w:pStyle w:val="78"/>
              <w:rPr>
                <w:rFonts w:cs="Times New Roman"/>
                <w:b/>
              </w:rPr>
            </w:pPr>
            <w:r>
              <w:rPr>
                <w:rFonts w:cs="Times New Roman"/>
                <w:b/>
              </w:rPr>
              <w:t>二噁英</w:t>
            </w:r>
            <w:r>
              <w:rPr>
                <w:rFonts w:cs="Times New Roman"/>
              </w:rPr>
              <w:t>（ng-TEQ/kg）</w:t>
            </w:r>
          </w:p>
        </w:tc>
      </w:tr>
      <w:tr w14:paraId="7646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restart"/>
            <w:vAlign w:val="center"/>
          </w:tcPr>
          <w:p w14:paraId="26CAD8B1">
            <w:pPr>
              <w:pStyle w:val="78"/>
              <w:rPr>
                <w:rFonts w:cs="Times New Roman"/>
              </w:rPr>
            </w:pPr>
            <w:r>
              <w:rPr>
                <w:rFonts w:cs="Times New Roman"/>
              </w:rPr>
              <w:t>2023.08.18</w:t>
            </w:r>
          </w:p>
        </w:tc>
        <w:tc>
          <w:tcPr>
            <w:tcW w:w="318" w:type="pct"/>
            <w:vMerge w:val="restart"/>
            <w:vAlign w:val="center"/>
          </w:tcPr>
          <w:p w14:paraId="4EE7D059">
            <w:pPr>
              <w:pStyle w:val="78"/>
              <w:rPr>
                <w:rFonts w:cs="Times New Roman"/>
              </w:rPr>
            </w:pPr>
            <w:r>
              <w:rPr>
                <w:rFonts w:cs="Times New Roman"/>
              </w:rPr>
              <w:t>SH-1</w:t>
            </w:r>
          </w:p>
        </w:tc>
        <w:tc>
          <w:tcPr>
            <w:tcW w:w="387" w:type="pct"/>
            <w:vAlign w:val="center"/>
          </w:tcPr>
          <w:p w14:paraId="2E30BC34">
            <w:pPr>
              <w:pStyle w:val="78"/>
              <w:rPr>
                <w:rFonts w:cs="Times New Roman"/>
              </w:rPr>
            </w:pPr>
            <w:r>
              <w:rPr>
                <w:rFonts w:cs="Times New Roman"/>
              </w:rPr>
              <w:t>0~0.5m</w:t>
            </w:r>
          </w:p>
        </w:tc>
        <w:tc>
          <w:tcPr>
            <w:tcW w:w="385" w:type="pct"/>
            <w:vAlign w:val="center"/>
          </w:tcPr>
          <w:p w14:paraId="1EB0D083">
            <w:pPr>
              <w:pStyle w:val="78"/>
              <w:rPr>
                <w:rFonts w:cs="Times New Roman"/>
              </w:rPr>
            </w:pPr>
            <w:r>
              <w:rPr>
                <w:rFonts w:cs="Times New Roman"/>
              </w:rPr>
              <w:t>5.24</w:t>
            </w:r>
          </w:p>
        </w:tc>
        <w:tc>
          <w:tcPr>
            <w:tcW w:w="296" w:type="pct"/>
            <w:vAlign w:val="center"/>
          </w:tcPr>
          <w:p w14:paraId="003BFF38">
            <w:pPr>
              <w:pStyle w:val="78"/>
              <w:rPr>
                <w:rFonts w:cs="Times New Roman"/>
              </w:rPr>
            </w:pPr>
            <w:r>
              <w:rPr>
                <w:rFonts w:cs="Times New Roman"/>
              </w:rPr>
              <w:t>ND</w:t>
            </w:r>
          </w:p>
        </w:tc>
        <w:tc>
          <w:tcPr>
            <w:tcW w:w="297" w:type="pct"/>
            <w:vAlign w:val="center"/>
          </w:tcPr>
          <w:p w14:paraId="18BAC1B7">
            <w:pPr>
              <w:pStyle w:val="78"/>
              <w:rPr>
                <w:rFonts w:cs="Times New Roman"/>
              </w:rPr>
            </w:pPr>
            <w:r>
              <w:rPr>
                <w:rFonts w:cs="Times New Roman"/>
              </w:rPr>
              <w:t>0.023</w:t>
            </w:r>
          </w:p>
        </w:tc>
        <w:tc>
          <w:tcPr>
            <w:tcW w:w="297" w:type="pct"/>
            <w:vAlign w:val="center"/>
          </w:tcPr>
          <w:p w14:paraId="4FA65010">
            <w:pPr>
              <w:pStyle w:val="78"/>
              <w:rPr>
                <w:rFonts w:cs="Times New Roman"/>
              </w:rPr>
            </w:pPr>
            <w:r>
              <w:rPr>
                <w:rFonts w:cs="Times New Roman"/>
              </w:rPr>
              <w:t>1.26</w:t>
            </w:r>
          </w:p>
        </w:tc>
        <w:tc>
          <w:tcPr>
            <w:tcW w:w="296" w:type="pct"/>
            <w:vAlign w:val="center"/>
          </w:tcPr>
          <w:p w14:paraId="3A5A6211">
            <w:pPr>
              <w:pStyle w:val="78"/>
              <w:rPr>
                <w:rFonts w:cs="Times New Roman"/>
              </w:rPr>
            </w:pPr>
            <w:r>
              <w:rPr>
                <w:rFonts w:cs="Times New Roman"/>
              </w:rPr>
              <w:t>3</w:t>
            </w:r>
          </w:p>
        </w:tc>
        <w:tc>
          <w:tcPr>
            <w:tcW w:w="297" w:type="pct"/>
            <w:vAlign w:val="center"/>
          </w:tcPr>
          <w:p w14:paraId="3870F394">
            <w:pPr>
              <w:pStyle w:val="78"/>
              <w:rPr>
                <w:rFonts w:cs="Times New Roman"/>
              </w:rPr>
            </w:pPr>
            <w:r>
              <w:rPr>
                <w:rFonts w:cs="Times New Roman"/>
              </w:rPr>
              <w:t>16</w:t>
            </w:r>
          </w:p>
        </w:tc>
        <w:tc>
          <w:tcPr>
            <w:tcW w:w="297" w:type="pct"/>
            <w:vAlign w:val="center"/>
          </w:tcPr>
          <w:p w14:paraId="603D4097">
            <w:pPr>
              <w:pStyle w:val="78"/>
              <w:rPr>
                <w:rFonts w:cs="Times New Roman"/>
              </w:rPr>
            </w:pPr>
            <w:r>
              <w:rPr>
                <w:rFonts w:cs="Times New Roman"/>
              </w:rPr>
              <w:t>6</w:t>
            </w:r>
          </w:p>
        </w:tc>
        <w:tc>
          <w:tcPr>
            <w:tcW w:w="297" w:type="pct"/>
            <w:vAlign w:val="center"/>
          </w:tcPr>
          <w:p w14:paraId="28E3DA2B">
            <w:pPr>
              <w:pStyle w:val="78"/>
              <w:rPr>
                <w:rFonts w:cs="Times New Roman"/>
              </w:rPr>
            </w:pPr>
            <w:r>
              <w:rPr>
                <w:rFonts w:cs="Times New Roman"/>
              </w:rPr>
              <w:t>24</w:t>
            </w:r>
          </w:p>
        </w:tc>
        <w:tc>
          <w:tcPr>
            <w:tcW w:w="261" w:type="pct"/>
            <w:vAlign w:val="center"/>
          </w:tcPr>
          <w:p w14:paraId="48355A05">
            <w:pPr>
              <w:pStyle w:val="78"/>
              <w:rPr>
                <w:rFonts w:cs="Times New Roman"/>
              </w:rPr>
            </w:pPr>
            <w:r>
              <w:rPr>
                <w:rFonts w:cs="Times New Roman"/>
              </w:rPr>
              <w:t>0.05</w:t>
            </w:r>
          </w:p>
        </w:tc>
        <w:tc>
          <w:tcPr>
            <w:tcW w:w="254" w:type="pct"/>
            <w:vAlign w:val="center"/>
          </w:tcPr>
          <w:p w14:paraId="41CB46B6">
            <w:pPr>
              <w:pStyle w:val="78"/>
              <w:rPr>
                <w:rFonts w:cs="Times New Roman"/>
              </w:rPr>
            </w:pPr>
            <w:r>
              <w:rPr>
                <w:rFonts w:cs="Times New Roman"/>
              </w:rPr>
              <w:t>——</w:t>
            </w:r>
          </w:p>
        </w:tc>
        <w:tc>
          <w:tcPr>
            <w:tcW w:w="256" w:type="pct"/>
            <w:vAlign w:val="center"/>
          </w:tcPr>
          <w:p w14:paraId="2E64863D">
            <w:pPr>
              <w:pStyle w:val="78"/>
              <w:rPr>
                <w:rFonts w:cs="Times New Roman"/>
              </w:rPr>
            </w:pPr>
            <w:r>
              <w:rPr>
                <w:rFonts w:cs="Times New Roman"/>
              </w:rPr>
              <w:t>19.2</w:t>
            </w:r>
          </w:p>
        </w:tc>
        <w:tc>
          <w:tcPr>
            <w:tcW w:w="205" w:type="pct"/>
            <w:vAlign w:val="center"/>
          </w:tcPr>
          <w:p w14:paraId="617EAEFF">
            <w:pPr>
              <w:pStyle w:val="78"/>
              <w:rPr>
                <w:rFonts w:cs="Times New Roman"/>
              </w:rPr>
            </w:pPr>
            <w:r>
              <w:rPr>
                <w:rFonts w:cs="Times New Roman"/>
              </w:rPr>
              <w:t>ND</w:t>
            </w:r>
          </w:p>
        </w:tc>
        <w:tc>
          <w:tcPr>
            <w:tcW w:w="450" w:type="pct"/>
            <w:vAlign w:val="center"/>
          </w:tcPr>
          <w:p w14:paraId="540C487F">
            <w:pPr>
              <w:pStyle w:val="78"/>
              <w:rPr>
                <w:rFonts w:cs="Times New Roman"/>
              </w:rPr>
            </w:pPr>
            <w:r>
              <w:rPr>
                <w:rFonts w:cs="Times New Roman"/>
              </w:rPr>
              <w:t>0.064</w:t>
            </w:r>
          </w:p>
        </w:tc>
      </w:tr>
      <w:tr w14:paraId="2D5A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7BF31FB5">
            <w:pPr>
              <w:pStyle w:val="78"/>
              <w:rPr>
                <w:rFonts w:cs="Times New Roman"/>
              </w:rPr>
            </w:pPr>
          </w:p>
        </w:tc>
        <w:tc>
          <w:tcPr>
            <w:tcW w:w="318" w:type="pct"/>
            <w:vMerge w:val="continue"/>
            <w:vAlign w:val="center"/>
          </w:tcPr>
          <w:p w14:paraId="39146175">
            <w:pPr>
              <w:pStyle w:val="78"/>
              <w:rPr>
                <w:rFonts w:cs="Times New Roman"/>
              </w:rPr>
            </w:pPr>
          </w:p>
        </w:tc>
        <w:tc>
          <w:tcPr>
            <w:tcW w:w="387" w:type="pct"/>
            <w:vAlign w:val="center"/>
          </w:tcPr>
          <w:p w14:paraId="5DEBA556">
            <w:pPr>
              <w:pStyle w:val="78"/>
              <w:rPr>
                <w:rFonts w:cs="Times New Roman"/>
              </w:rPr>
            </w:pPr>
            <w:r>
              <w:rPr>
                <w:rFonts w:cs="Times New Roman"/>
              </w:rPr>
              <w:t>1.0~1.5m</w:t>
            </w:r>
          </w:p>
        </w:tc>
        <w:tc>
          <w:tcPr>
            <w:tcW w:w="385" w:type="pct"/>
            <w:vAlign w:val="center"/>
          </w:tcPr>
          <w:p w14:paraId="3432BA4C">
            <w:pPr>
              <w:pStyle w:val="78"/>
              <w:rPr>
                <w:rFonts w:cs="Times New Roman"/>
              </w:rPr>
            </w:pPr>
            <w:r>
              <w:rPr>
                <w:rFonts w:cs="Times New Roman"/>
              </w:rPr>
              <w:t>5.07</w:t>
            </w:r>
          </w:p>
        </w:tc>
        <w:tc>
          <w:tcPr>
            <w:tcW w:w="296" w:type="pct"/>
            <w:vAlign w:val="center"/>
          </w:tcPr>
          <w:p w14:paraId="1921B839">
            <w:pPr>
              <w:pStyle w:val="78"/>
              <w:rPr>
                <w:rFonts w:cs="Times New Roman"/>
              </w:rPr>
            </w:pPr>
            <w:r>
              <w:rPr>
                <w:rFonts w:cs="Times New Roman"/>
              </w:rPr>
              <w:t>ND</w:t>
            </w:r>
          </w:p>
        </w:tc>
        <w:tc>
          <w:tcPr>
            <w:tcW w:w="297" w:type="pct"/>
            <w:vAlign w:val="center"/>
          </w:tcPr>
          <w:p w14:paraId="3DA5288A">
            <w:pPr>
              <w:pStyle w:val="78"/>
              <w:rPr>
                <w:rFonts w:cs="Times New Roman"/>
              </w:rPr>
            </w:pPr>
            <w:r>
              <w:rPr>
                <w:rFonts w:cs="Times New Roman"/>
              </w:rPr>
              <w:t>0.021</w:t>
            </w:r>
          </w:p>
        </w:tc>
        <w:tc>
          <w:tcPr>
            <w:tcW w:w="297" w:type="pct"/>
            <w:vAlign w:val="center"/>
          </w:tcPr>
          <w:p w14:paraId="04111B11">
            <w:pPr>
              <w:pStyle w:val="78"/>
              <w:rPr>
                <w:rFonts w:cs="Times New Roman"/>
              </w:rPr>
            </w:pPr>
            <w:r>
              <w:rPr>
                <w:rFonts w:cs="Times New Roman"/>
              </w:rPr>
              <w:t>0.87</w:t>
            </w:r>
          </w:p>
        </w:tc>
        <w:tc>
          <w:tcPr>
            <w:tcW w:w="296" w:type="pct"/>
            <w:vAlign w:val="center"/>
          </w:tcPr>
          <w:p w14:paraId="1F4801FE">
            <w:pPr>
              <w:pStyle w:val="78"/>
              <w:rPr>
                <w:rFonts w:cs="Times New Roman"/>
              </w:rPr>
            </w:pPr>
            <w:r>
              <w:rPr>
                <w:rFonts w:cs="Times New Roman"/>
              </w:rPr>
              <w:t>2</w:t>
            </w:r>
          </w:p>
        </w:tc>
        <w:tc>
          <w:tcPr>
            <w:tcW w:w="297" w:type="pct"/>
            <w:vAlign w:val="center"/>
          </w:tcPr>
          <w:p w14:paraId="28812433">
            <w:pPr>
              <w:pStyle w:val="78"/>
              <w:rPr>
                <w:rFonts w:cs="Times New Roman"/>
              </w:rPr>
            </w:pPr>
            <w:r>
              <w:rPr>
                <w:rFonts w:cs="Times New Roman"/>
              </w:rPr>
              <w:t>13</w:t>
            </w:r>
          </w:p>
        </w:tc>
        <w:tc>
          <w:tcPr>
            <w:tcW w:w="297" w:type="pct"/>
            <w:vAlign w:val="center"/>
          </w:tcPr>
          <w:p w14:paraId="7D567178">
            <w:pPr>
              <w:pStyle w:val="78"/>
              <w:rPr>
                <w:rFonts w:cs="Times New Roman"/>
              </w:rPr>
            </w:pPr>
            <w:r>
              <w:rPr>
                <w:rFonts w:cs="Times New Roman"/>
              </w:rPr>
              <w:t>ND</w:t>
            </w:r>
          </w:p>
        </w:tc>
        <w:tc>
          <w:tcPr>
            <w:tcW w:w="297" w:type="pct"/>
            <w:vAlign w:val="center"/>
          </w:tcPr>
          <w:p w14:paraId="784C0A97">
            <w:pPr>
              <w:pStyle w:val="78"/>
              <w:rPr>
                <w:rFonts w:cs="Times New Roman"/>
              </w:rPr>
            </w:pPr>
            <w:r>
              <w:rPr>
                <w:rFonts w:cs="Times New Roman"/>
              </w:rPr>
              <w:t>12</w:t>
            </w:r>
          </w:p>
        </w:tc>
        <w:tc>
          <w:tcPr>
            <w:tcW w:w="261" w:type="pct"/>
            <w:vAlign w:val="center"/>
          </w:tcPr>
          <w:p w14:paraId="183F48C1">
            <w:pPr>
              <w:pStyle w:val="78"/>
              <w:rPr>
                <w:rFonts w:cs="Times New Roman"/>
              </w:rPr>
            </w:pPr>
            <w:r>
              <w:rPr>
                <w:rFonts w:cs="Times New Roman"/>
              </w:rPr>
              <w:t>ND</w:t>
            </w:r>
          </w:p>
        </w:tc>
        <w:tc>
          <w:tcPr>
            <w:tcW w:w="254" w:type="pct"/>
            <w:vAlign w:val="center"/>
          </w:tcPr>
          <w:p w14:paraId="4ED6DE5E">
            <w:pPr>
              <w:pStyle w:val="78"/>
              <w:rPr>
                <w:rFonts w:cs="Times New Roman"/>
              </w:rPr>
            </w:pPr>
            <w:r>
              <w:rPr>
                <w:rFonts w:cs="Times New Roman"/>
              </w:rPr>
              <w:t>——</w:t>
            </w:r>
          </w:p>
        </w:tc>
        <w:tc>
          <w:tcPr>
            <w:tcW w:w="256" w:type="pct"/>
            <w:vAlign w:val="center"/>
          </w:tcPr>
          <w:p w14:paraId="241D9637">
            <w:pPr>
              <w:pStyle w:val="78"/>
              <w:rPr>
                <w:rFonts w:cs="Times New Roman"/>
              </w:rPr>
            </w:pPr>
            <w:r>
              <w:rPr>
                <w:rFonts w:cs="Times New Roman"/>
              </w:rPr>
              <w:t>13.0</w:t>
            </w:r>
          </w:p>
        </w:tc>
        <w:tc>
          <w:tcPr>
            <w:tcW w:w="205" w:type="pct"/>
            <w:vAlign w:val="center"/>
          </w:tcPr>
          <w:p w14:paraId="1E187C32">
            <w:pPr>
              <w:pStyle w:val="78"/>
              <w:rPr>
                <w:rFonts w:cs="Times New Roman"/>
              </w:rPr>
            </w:pPr>
            <w:r>
              <w:rPr>
                <w:rFonts w:cs="Times New Roman"/>
              </w:rPr>
              <w:t>ND</w:t>
            </w:r>
          </w:p>
        </w:tc>
        <w:tc>
          <w:tcPr>
            <w:tcW w:w="450" w:type="pct"/>
            <w:vAlign w:val="center"/>
          </w:tcPr>
          <w:p w14:paraId="2C615731">
            <w:pPr>
              <w:pStyle w:val="78"/>
              <w:rPr>
                <w:rFonts w:cs="Times New Roman"/>
              </w:rPr>
            </w:pPr>
            <w:r>
              <w:rPr>
                <w:rFonts w:cs="Times New Roman"/>
              </w:rPr>
              <w:t>0.059</w:t>
            </w:r>
          </w:p>
        </w:tc>
      </w:tr>
      <w:tr w14:paraId="37CD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0DD7135C">
            <w:pPr>
              <w:pStyle w:val="78"/>
              <w:rPr>
                <w:rFonts w:cs="Times New Roman"/>
              </w:rPr>
            </w:pPr>
          </w:p>
        </w:tc>
        <w:tc>
          <w:tcPr>
            <w:tcW w:w="318" w:type="pct"/>
            <w:vMerge w:val="continue"/>
            <w:vAlign w:val="center"/>
          </w:tcPr>
          <w:p w14:paraId="0F0E64F3">
            <w:pPr>
              <w:pStyle w:val="78"/>
              <w:rPr>
                <w:rFonts w:cs="Times New Roman"/>
              </w:rPr>
            </w:pPr>
          </w:p>
        </w:tc>
        <w:tc>
          <w:tcPr>
            <w:tcW w:w="387" w:type="pct"/>
            <w:vAlign w:val="center"/>
          </w:tcPr>
          <w:p w14:paraId="36437E6B">
            <w:pPr>
              <w:pStyle w:val="78"/>
              <w:rPr>
                <w:rFonts w:cs="Times New Roman"/>
              </w:rPr>
            </w:pPr>
            <w:r>
              <w:rPr>
                <w:rFonts w:cs="Times New Roman"/>
              </w:rPr>
              <w:t>2.0~2.5m</w:t>
            </w:r>
          </w:p>
        </w:tc>
        <w:tc>
          <w:tcPr>
            <w:tcW w:w="385" w:type="pct"/>
            <w:vAlign w:val="center"/>
          </w:tcPr>
          <w:p w14:paraId="565594EE">
            <w:pPr>
              <w:pStyle w:val="78"/>
              <w:rPr>
                <w:rFonts w:cs="Times New Roman"/>
              </w:rPr>
            </w:pPr>
            <w:r>
              <w:rPr>
                <w:rFonts w:cs="Times New Roman"/>
              </w:rPr>
              <w:t>4.88</w:t>
            </w:r>
          </w:p>
        </w:tc>
        <w:tc>
          <w:tcPr>
            <w:tcW w:w="296" w:type="pct"/>
            <w:vAlign w:val="center"/>
          </w:tcPr>
          <w:p w14:paraId="2C3F41EF">
            <w:pPr>
              <w:pStyle w:val="78"/>
              <w:rPr>
                <w:rFonts w:cs="Times New Roman"/>
              </w:rPr>
            </w:pPr>
            <w:r>
              <w:rPr>
                <w:rFonts w:cs="Times New Roman"/>
              </w:rPr>
              <w:t>ND</w:t>
            </w:r>
          </w:p>
        </w:tc>
        <w:tc>
          <w:tcPr>
            <w:tcW w:w="297" w:type="pct"/>
            <w:vAlign w:val="center"/>
          </w:tcPr>
          <w:p w14:paraId="11D12EA4">
            <w:pPr>
              <w:pStyle w:val="78"/>
              <w:rPr>
                <w:rFonts w:cs="Times New Roman"/>
              </w:rPr>
            </w:pPr>
            <w:r>
              <w:rPr>
                <w:rFonts w:cs="Times New Roman"/>
              </w:rPr>
              <w:t>0.018</w:t>
            </w:r>
          </w:p>
        </w:tc>
        <w:tc>
          <w:tcPr>
            <w:tcW w:w="297" w:type="pct"/>
            <w:vAlign w:val="center"/>
          </w:tcPr>
          <w:p w14:paraId="20F701A0">
            <w:pPr>
              <w:pStyle w:val="78"/>
              <w:rPr>
                <w:rFonts w:cs="Times New Roman"/>
              </w:rPr>
            </w:pPr>
            <w:r>
              <w:rPr>
                <w:rFonts w:cs="Times New Roman"/>
              </w:rPr>
              <w:t>1.10</w:t>
            </w:r>
          </w:p>
        </w:tc>
        <w:tc>
          <w:tcPr>
            <w:tcW w:w="296" w:type="pct"/>
            <w:vAlign w:val="center"/>
          </w:tcPr>
          <w:p w14:paraId="3F062BDF">
            <w:pPr>
              <w:pStyle w:val="78"/>
              <w:rPr>
                <w:rFonts w:cs="Times New Roman"/>
              </w:rPr>
            </w:pPr>
            <w:r>
              <w:rPr>
                <w:rFonts w:cs="Times New Roman"/>
              </w:rPr>
              <w:t>1</w:t>
            </w:r>
          </w:p>
        </w:tc>
        <w:tc>
          <w:tcPr>
            <w:tcW w:w="297" w:type="pct"/>
            <w:vAlign w:val="center"/>
          </w:tcPr>
          <w:p w14:paraId="6ACDCE32">
            <w:pPr>
              <w:pStyle w:val="78"/>
              <w:rPr>
                <w:rFonts w:cs="Times New Roman"/>
              </w:rPr>
            </w:pPr>
            <w:r>
              <w:rPr>
                <w:rFonts w:cs="Times New Roman"/>
              </w:rPr>
              <w:t>14</w:t>
            </w:r>
          </w:p>
        </w:tc>
        <w:tc>
          <w:tcPr>
            <w:tcW w:w="297" w:type="pct"/>
            <w:vAlign w:val="center"/>
          </w:tcPr>
          <w:p w14:paraId="746C393D">
            <w:pPr>
              <w:pStyle w:val="78"/>
              <w:rPr>
                <w:rFonts w:cs="Times New Roman"/>
              </w:rPr>
            </w:pPr>
            <w:r>
              <w:rPr>
                <w:rFonts w:cs="Times New Roman"/>
              </w:rPr>
              <w:t>3</w:t>
            </w:r>
          </w:p>
        </w:tc>
        <w:tc>
          <w:tcPr>
            <w:tcW w:w="297" w:type="pct"/>
            <w:vAlign w:val="center"/>
          </w:tcPr>
          <w:p w14:paraId="76DCDAB5">
            <w:pPr>
              <w:pStyle w:val="78"/>
              <w:rPr>
                <w:rFonts w:cs="Times New Roman"/>
              </w:rPr>
            </w:pPr>
            <w:r>
              <w:rPr>
                <w:rFonts w:cs="Times New Roman"/>
              </w:rPr>
              <w:t>14</w:t>
            </w:r>
          </w:p>
        </w:tc>
        <w:tc>
          <w:tcPr>
            <w:tcW w:w="261" w:type="pct"/>
            <w:vAlign w:val="center"/>
          </w:tcPr>
          <w:p w14:paraId="11BF5435">
            <w:pPr>
              <w:pStyle w:val="78"/>
              <w:rPr>
                <w:rFonts w:cs="Times New Roman"/>
              </w:rPr>
            </w:pPr>
            <w:r>
              <w:rPr>
                <w:rFonts w:cs="Times New Roman"/>
              </w:rPr>
              <w:t>ND</w:t>
            </w:r>
          </w:p>
        </w:tc>
        <w:tc>
          <w:tcPr>
            <w:tcW w:w="254" w:type="pct"/>
            <w:vAlign w:val="center"/>
          </w:tcPr>
          <w:p w14:paraId="740E31DE">
            <w:pPr>
              <w:pStyle w:val="78"/>
              <w:rPr>
                <w:rFonts w:cs="Times New Roman"/>
              </w:rPr>
            </w:pPr>
            <w:r>
              <w:rPr>
                <w:rFonts w:cs="Times New Roman"/>
              </w:rPr>
              <w:t>——</w:t>
            </w:r>
          </w:p>
        </w:tc>
        <w:tc>
          <w:tcPr>
            <w:tcW w:w="256" w:type="pct"/>
            <w:vAlign w:val="center"/>
          </w:tcPr>
          <w:p w14:paraId="5F9C0FD3">
            <w:pPr>
              <w:pStyle w:val="78"/>
              <w:rPr>
                <w:rFonts w:cs="Times New Roman"/>
              </w:rPr>
            </w:pPr>
            <w:r>
              <w:rPr>
                <w:rFonts w:cs="Times New Roman"/>
              </w:rPr>
              <w:t>14.1</w:t>
            </w:r>
          </w:p>
        </w:tc>
        <w:tc>
          <w:tcPr>
            <w:tcW w:w="205" w:type="pct"/>
            <w:vAlign w:val="center"/>
          </w:tcPr>
          <w:p w14:paraId="01180D5D">
            <w:pPr>
              <w:pStyle w:val="78"/>
              <w:rPr>
                <w:rFonts w:cs="Times New Roman"/>
              </w:rPr>
            </w:pPr>
            <w:r>
              <w:rPr>
                <w:rFonts w:cs="Times New Roman"/>
              </w:rPr>
              <w:t>ND</w:t>
            </w:r>
          </w:p>
        </w:tc>
        <w:tc>
          <w:tcPr>
            <w:tcW w:w="450" w:type="pct"/>
            <w:vAlign w:val="center"/>
          </w:tcPr>
          <w:p w14:paraId="12C557FE">
            <w:pPr>
              <w:pStyle w:val="78"/>
              <w:rPr>
                <w:rFonts w:cs="Times New Roman"/>
              </w:rPr>
            </w:pPr>
            <w:r>
              <w:rPr>
                <w:rFonts w:cs="Times New Roman"/>
              </w:rPr>
              <w:t>0.056</w:t>
            </w:r>
          </w:p>
        </w:tc>
      </w:tr>
      <w:tr w14:paraId="53B5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5F36EC36">
            <w:pPr>
              <w:pStyle w:val="78"/>
              <w:rPr>
                <w:rFonts w:cs="Times New Roman"/>
              </w:rPr>
            </w:pPr>
          </w:p>
        </w:tc>
        <w:tc>
          <w:tcPr>
            <w:tcW w:w="318" w:type="pct"/>
            <w:vMerge w:val="continue"/>
            <w:vAlign w:val="center"/>
          </w:tcPr>
          <w:p w14:paraId="5910C176">
            <w:pPr>
              <w:pStyle w:val="78"/>
              <w:rPr>
                <w:rFonts w:cs="Times New Roman"/>
              </w:rPr>
            </w:pPr>
          </w:p>
        </w:tc>
        <w:tc>
          <w:tcPr>
            <w:tcW w:w="387" w:type="pct"/>
            <w:vAlign w:val="center"/>
          </w:tcPr>
          <w:p w14:paraId="72DAB0A5">
            <w:pPr>
              <w:pStyle w:val="78"/>
              <w:rPr>
                <w:rFonts w:cs="Times New Roman"/>
              </w:rPr>
            </w:pPr>
            <w:r>
              <w:rPr>
                <w:rFonts w:cs="Times New Roman"/>
              </w:rPr>
              <w:t>4.0~4.5m</w:t>
            </w:r>
          </w:p>
        </w:tc>
        <w:tc>
          <w:tcPr>
            <w:tcW w:w="385" w:type="pct"/>
            <w:vAlign w:val="center"/>
          </w:tcPr>
          <w:p w14:paraId="4AB78F8B">
            <w:pPr>
              <w:pStyle w:val="78"/>
              <w:rPr>
                <w:rFonts w:cs="Times New Roman"/>
              </w:rPr>
            </w:pPr>
            <w:r>
              <w:rPr>
                <w:rFonts w:cs="Times New Roman"/>
              </w:rPr>
              <w:t>5.01</w:t>
            </w:r>
          </w:p>
        </w:tc>
        <w:tc>
          <w:tcPr>
            <w:tcW w:w="296" w:type="pct"/>
            <w:vAlign w:val="center"/>
          </w:tcPr>
          <w:p w14:paraId="7F0AAD05">
            <w:pPr>
              <w:pStyle w:val="78"/>
              <w:rPr>
                <w:rFonts w:cs="Times New Roman"/>
              </w:rPr>
            </w:pPr>
            <w:r>
              <w:rPr>
                <w:rFonts w:cs="Times New Roman"/>
              </w:rPr>
              <w:t>ND</w:t>
            </w:r>
          </w:p>
        </w:tc>
        <w:tc>
          <w:tcPr>
            <w:tcW w:w="297" w:type="pct"/>
            <w:vAlign w:val="center"/>
          </w:tcPr>
          <w:p w14:paraId="579C9DBD">
            <w:pPr>
              <w:pStyle w:val="78"/>
              <w:rPr>
                <w:rFonts w:cs="Times New Roman"/>
              </w:rPr>
            </w:pPr>
            <w:r>
              <w:rPr>
                <w:rFonts w:cs="Times New Roman"/>
              </w:rPr>
              <w:t>0.018</w:t>
            </w:r>
          </w:p>
        </w:tc>
        <w:tc>
          <w:tcPr>
            <w:tcW w:w="297" w:type="pct"/>
            <w:vAlign w:val="center"/>
          </w:tcPr>
          <w:p w14:paraId="2E5C3E7E">
            <w:pPr>
              <w:pStyle w:val="78"/>
              <w:rPr>
                <w:rFonts w:cs="Times New Roman"/>
              </w:rPr>
            </w:pPr>
            <w:r>
              <w:rPr>
                <w:rFonts w:cs="Times New Roman"/>
              </w:rPr>
              <w:t>0.64</w:t>
            </w:r>
          </w:p>
        </w:tc>
        <w:tc>
          <w:tcPr>
            <w:tcW w:w="296" w:type="pct"/>
            <w:vAlign w:val="center"/>
          </w:tcPr>
          <w:p w14:paraId="23D631A8">
            <w:pPr>
              <w:pStyle w:val="78"/>
              <w:rPr>
                <w:rFonts w:cs="Times New Roman"/>
              </w:rPr>
            </w:pPr>
            <w:r>
              <w:rPr>
                <w:rFonts w:cs="Times New Roman"/>
              </w:rPr>
              <w:t>2</w:t>
            </w:r>
          </w:p>
        </w:tc>
        <w:tc>
          <w:tcPr>
            <w:tcW w:w="297" w:type="pct"/>
            <w:vAlign w:val="center"/>
          </w:tcPr>
          <w:p w14:paraId="6B3BB140">
            <w:pPr>
              <w:pStyle w:val="78"/>
              <w:rPr>
                <w:rFonts w:cs="Times New Roman"/>
              </w:rPr>
            </w:pPr>
            <w:r>
              <w:rPr>
                <w:rFonts w:cs="Times New Roman"/>
              </w:rPr>
              <w:t>14</w:t>
            </w:r>
          </w:p>
        </w:tc>
        <w:tc>
          <w:tcPr>
            <w:tcW w:w="297" w:type="pct"/>
            <w:vAlign w:val="center"/>
          </w:tcPr>
          <w:p w14:paraId="6C0BDF6E">
            <w:pPr>
              <w:pStyle w:val="78"/>
              <w:rPr>
                <w:rFonts w:cs="Times New Roman"/>
              </w:rPr>
            </w:pPr>
            <w:r>
              <w:rPr>
                <w:rFonts w:cs="Times New Roman"/>
              </w:rPr>
              <w:t>4</w:t>
            </w:r>
          </w:p>
        </w:tc>
        <w:tc>
          <w:tcPr>
            <w:tcW w:w="297" w:type="pct"/>
            <w:vAlign w:val="center"/>
          </w:tcPr>
          <w:p w14:paraId="1E87707B">
            <w:pPr>
              <w:pStyle w:val="78"/>
              <w:rPr>
                <w:rFonts w:cs="Times New Roman"/>
              </w:rPr>
            </w:pPr>
            <w:r>
              <w:rPr>
                <w:rFonts w:cs="Times New Roman"/>
              </w:rPr>
              <w:t>13</w:t>
            </w:r>
          </w:p>
        </w:tc>
        <w:tc>
          <w:tcPr>
            <w:tcW w:w="261" w:type="pct"/>
            <w:vAlign w:val="center"/>
          </w:tcPr>
          <w:p w14:paraId="4CF2D95A">
            <w:pPr>
              <w:pStyle w:val="78"/>
              <w:rPr>
                <w:rFonts w:cs="Times New Roman"/>
              </w:rPr>
            </w:pPr>
            <w:r>
              <w:rPr>
                <w:rFonts w:cs="Times New Roman"/>
              </w:rPr>
              <w:t>ND</w:t>
            </w:r>
          </w:p>
        </w:tc>
        <w:tc>
          <w:tcPr>
            <w:tcW w:w="254" w:type="pct"/>
            <w:vAlign w:val="center"/>
          </w:tcPr>
          <w:p w14:paraId="1B893427">
            <w:pPr>
              <w:pStyle w:val="78"/>
              <w:rPr>
                <w:rFonts w:cs="Times New Roman"/>
              </w:rPr>
            </w:pPr>
            <w:r>
              <w:rPr>
                <w:rFonts w:cs="Times New Roman"/>
              </w:rPr>
              <w:t>——</w:t>
            </w:r>
          </w:p>
        </w:tc>
        <w:tc>
          <w:tcPr>
            <w:tcW w:w="256" w:type="pct"/>
            <w:vAlign w:val="center"/>
          </w:tcPr>
          <w:p w14:paraId="79A28991">
            <w:pPr>
              <w:pStyle w:val="78"/>
              <w:rPr>
                <w:rFonts w:cs="Times New Roman"/>
              </w:rPr>
            </w:pPr>
            <w:r>
              <w:rPr>
                <w:rFonts w:cs="Times New Roman"/>
              </w:rPr>
              <w:t>13.4</w:t>
            </w:r>
          </w:p>
        </w:tc>
        <w:tc>
          <w:tcPr>
            <w:tcW w:w="205" w:type="pct"/>
            <w:vAlign w:val="center"/>
          </w:tcPr>
          <w:p w14:paraId="6B8471DD">
            <w:pPr>
              <w:pStyle w:val="78"/>
              <w:rPr>
                <w:rFonts w:cs="Times New Roman"/>
              </w:rPr>
            </w:pPr>
            <w:r>
              <w:rPr>
                <w:rFonts w:cs="Times New Roman"/>
              </w:rPr>
              <w:t>ND</w:t>
            </w:r>
          </w:p>
        </w:tc>
        <w:tc>
          <w:tcPr>
            <w:tcW w:w="450" w:type="pct"/>
            <w:vAlign w:val="center"/>
          </w:tcPr>
          <w:p w14:paraId="53112498">
            <w:pPr>
              <w:pStyle w:val="78"/>
              <w:rPr>
                <w:rFonts w:cs="Times New Roman"/>
              </w:rPr>
            </w:pPr>
            <w:r>
              <w:rPr>
                <w:rFonts w:cs="Times New Roman"/>
              </w:rPr>
              <w:t>0.061</w:t>
            </w:r>
          </w:p>
        </w:tc>
      </w:tr>
      <w:tr w14:paraId="20C4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7D62CCF2">
            <w:pPr>
              <w:pStyle w:val="78"/>
              <w:rPr>
                <w:rFonts w:cs="Times New Roman"/>
              </w:rPr>
            </w:pPr>
          </w:p>
        </w:tc>
        <w:tc>
          <w:tcPr>
            <w:tcW w:w="318" w:type="pct"/>
            <w:vMerge w:val="restart"/>
            <w:vAlign w:val="center"/>
          </w:tcPr>
          <w:p w14:paraId="525D5447">
            <w:pPr>
              <w:pStyle w:val="78"/>
              <w:rPr>
                <w:rFonts w:cs="Times New Roman"/>
              </w:rPr>
            </w:pPr>
            <w:r>
              <w:rPr>
                <w:rFonts w:cs="Times New Roman"/>
              </w:rPr>
              <w:t>SH-2</w:t>
            </w:r>
          </w:p>
        </w:tc>
        <w:tc>
          <w:tcPr>
            <w:tcW w:w="387" w:type="pct"/>
            <w:vAlign w:val="center"/>
          </w:tcPr>
          <w:p w14:paraId="61770514">
            <w:pPr>
              <w:pStyle w:val="78"/>
              <w:rPr>
                <w:rFonts w:cs="Times New Roman"/>
              </w:rPr>
            </w:pPr>
            <w:r>
              <w:rPr>
                <w:rFonts w:cs="Times New Roman"/>
              </w:rPr>
              <w:t>0~0.5m</w:t>
            </w:r>
          </w:p>
        </w:tc>
        <w:tc>
          <w:tcPr>
            <w:tcW w:w="385" w:type="pct"/>
            <w:vAlign w:val="center"/>
          </w:tcPr>
          <w:p w14:paraId="2E0AAF93">
            <w:pPr>
              <w:pStyle w:val="78"/>
              <w:rPr>
                <w:rFonts w:cs="Times New Roman"/>
              </w:rPr>
            </w:pPr>
            <w:r>
              <w:rPr>
                <w:rFonts w:cs="Times New Roman"/>
              </w:rPr>
              <w:t>6.37</w:t>
            </w:r>
          </w:p>
        </w:tc>
        <w:tc>
          <w:tcPr>
            <w:tcW w:w="296" w:type="pct"/>
            <w:vAlign w:val="center"/>
          </w:tcPr>
          <w:p w14:paraId="6AFE760A">
            <w:pPr>
              <w:pStyle w:val="78"/>
              <w:rPr>
                <w:rFonts w:cs="Times New Roman"/>
              </w:rPr>
            </w:pPr>
            <w:r>
              <w:rPr>
                <w:rFonts w:cs="Times New Roman"/>
              </w:rPr>
              <w:t>ND</w:t>
            </w:r>
          </w:p>
        </w:tc>
        <w:tc>
          <w:tcPr>
            <w:tcW w:w="297" w:type="pct"/>
            <w:vAlign w:val="center"/>
          </w:tcPr>
          <w:p w14:paraId="3F033D18">
            <w:pPr>
              <w:pStyle w:val="78"/>
              <w:rPr>
                <w:rFonts w:cs="Times New Roman"/>
              </w:rPr>
            </w:pPr>
            <w:r>
              <w:rPr>
                <w:rFonts w:cs="Times New Roman"/>
              </w:rPr>
              <w:t>0.010</w:t>
            </w:r>
          </w:p>
        </w:tc>
        <w:tc>
          <w:tcPr>
            <w:tcW w:w="297" w:type="pct"/>
            <w:vAlign w:val="center"/>
          </w:tcPr>
          <w:p w14:paraId="7A4B8513">
            <w:pPr>
              <w:pStyle w:val="78"/>
              <w:rPr>
                <w:rFonts w:cs="Times New Roman"/>
              </w:rPr>
            </w:pPr>
            <w:r>
              <w:rPr>
                <w:rFonts w:cs="Times New Roman"/>
              </w:rPr>
              <w:t>1.02</w:t>
            </w:r>
          </w:p>
        </w:tc>
        <w:tc>
          <w:tcPr>
            <w:tcW w:w="296" w:type="pct"/>
            <w:vAlign w:val="center"/>
          </w:tcPr>
          <w:p w14:paraId="3E3D356B">
            <w:pPr>
              <w:pStyle w:val="78"/>
              <w:rPr>
                <w:rFonts w:cs="Times New Roman"/>
              </w:rPr>
            </w:pPr>
            <w:r>
              <w:rPr>
                <w:rFonts w:cs="Times New Roman"/>
              </w:rPr>
              <w:t>3</w:t>
            </w:r>
          </w:p>
        </w:tc>
        <w:tc>
          <w:tcPr>
            <w:tcW w:w="297" w:type="pct"/>
            <w:vAlign w:val="center"/>
          </w:tcPr>
          <w:p w14:paraId="4D372C1A">
            <w:pPr>
              <w:pStyle w:val="78"/>
              <w:rPr>
                <w:rFonts w:cs="Times New Roman"/>
              </w:rPr>
            </w:pPr>
            <w:r>
              <w:rPr>
                <w:rFonts w:cs="Times New Roman"/>
              </w:rPr>
              <w:t>11</w:t>
            </w:r>
          </w:p>
        </w:tc>
        <w:tc>
          <w:tcPr>
            <w:tcW w:w="297" w:type="pct"/>
            <w:vAlign w:val="center"/>
          </w:tcPr>
          <w:p w14:paraId="58A3C04E">
            <w:pPr>
              <w:pStyle w:val="78"/>
              <w:rPr>
                <w:rFonts w:cs="Times New Roman"/>
              </w:rPr>
            </w:pPr>
            <w:r>
              <w:rPr>
                <w:rFonts w:cs="Times New Roman"/>
              </w:rPr>
              <w:t>ND</w:t>
            </w:r>
          </w:p>
        </w:tc>
        <w:tc>
          <w:tcPr>
            <w:tcW w:w="297" w:type="pct"/>
            <w:vAlign w:val="center"/>
          </w:tcPr>
          <w:p w14:paraId="1D154887">
            <w:pPr>
              <w:pStyle w:val="78"/>
              <w:rPr>
                <w:rFonts w:cs="Times New Roman"/>
              </w:rPr>
            </w:pPr>
            <w:r>
              <w:rPr>
                <w:rFonts w:cs="Times New Roman"/>
              </w:rPr>
              <w:t>20</w:t>
            </w:r>
          </w:p>
        </w:tc>
        <w:tc>
          <w:tcPr>
            <w:tcW w:w="261" w:type="pct"/>
            <w:vAlign w:val="center"/>
          </w:tcPr>
          <w:p w14:paraId="548C34DD">
            <w:pPr>
              <w:pStyle w:val="78"/>
              <w:rPr>
                <w:rFonts w:cs="Times New Roman"/>
              </w:rPr>
            </w:pPr>
            <w:r>
              <w:rPr>
                <w:rFonts w:cs="Times New Roman"/>
              </w:rPr>
              <w:t>0.01</w:t>
            </w:r>
          </w:p>
        </w:tc>
        <w:tc>
          <w:tcPr>
            <w:tcW w:w="254" w:type="pct"/>
            <w:vAlign w:val="center"/>
          </w:tcPr>
          <w:p w14:paraId="21D4E99D">
            <w:pPr>
              <w:pStyle w:val="78"/>
              <w:rPr>
                <w:rFonts w:cs="Times New Roman"/>
              </w:rPr>
            </w:pPr>
            <w:r>
              <w:rPr>
                <w:rFonts w:cs="Times New Roman"/>
              </w:rPr>
              <w:t>——</w:t>
            </w:r>
          </w:p>
        </w:tc>
        <w:tc>
          <w:tcPr>
            <w:tcW w:w="256" w:type="pct"/>
            <w:vAlign w:val="center"/>
          </w:tcPr>
          <w:p w14:paraId="0012F206">
            <w:pPr>
              <w:pStyle w:val="78"/>
              <w:rPr>
                <w:rFonts w:cs="Times New Roman"/>
              </w:rPr>
            </w:pPr>
            <w:r>
              <w:rPr>
                <w:rFonts w:cs="Times New Roman"/>
              </w:rPr>
              <w:t>14.8</w:t>
            </w:r>
          </w:p>
        </w:tc>
        <w:tc>
          <w:tcPr>
            <w:tcW w:w="205" w:type="pct"/>
            <w:vAlign w:val="center"/>
          </w:tcPr>
          <w:p w14:paraId="71DB7651">
            <w:pPr>
              <w:pStyle w:val="78"/>
              <w:rPr>
                <w:rFonts w:cs="Times New Roman"/>
              </w:rPr>
            </w:pPr>
            <w:r>
              <w:rPr>
                <w:rFonts w:cs="Times New Roman"/>
              </w:rPr>
              <w:t>ND</w:t>
            </w:r>
          </w:p>
        </w:tc>
        <w:tc>
          <w:tcPr>
            <w:tcW w:w="450" w:type="pct"/>
            <w:vAlign w:val="center"/>
          </w:tcPr>
          <w:p w14:paraId="0B56ECBA">
            <w:pPr>
              <w:pStyle w:val="78"/>
              <w:rPr>
                <w:rFonts w:cs="Times New Roman"/>
              </w:rPr>
            </w:pPr>
            <w:r>
              <w:rPr>
                <w:rFonts w:cs="Times New Roman"/>
              </w:rPr>
              <w:t>0.052</w:t>
            </w:r>
          </w:p>
        </w:tc>
      </w:tr>
      <w:tr w14:paraId="16E8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28CB31FF">
            <w:pPr>
              <w:pStyle w:val="78"/>
              <w:rPr>
                <w:rFonts w:cs="Times New Roman"/>
              </w:rPr>
            </w:pPr>
          </w:p>
        </w:tc>
        <w:tc>
          <w:tcPr>
            <w:tcW w:w="318" w:type="pct"/>
            <w:vMerge w:val="continue"/>
            <w:vAlign w:val="center"/>
          </w:tcPr>
          <w:p w14:paraId="1649BF0F">
            <w:pPr>
              <w:pStyle w:val="78"/>
              <w:rPr>
                <w:rFonts w:cs="Times New Roman"/>
              </w:rPr>
            </w:pPr>
          </w:p>
        </w:tc>
        <w:tc>
          <w:tcPr>
            <w:tcW w:w="387" w:type="pct"/>
            <w:vAlign w:val="center"/>
          </w:tcPr>
          <w:p w14:paraId="26335780">
            <w:pPr>
              <w:pStyle w:val="78"/>
              <w:rPr>
                <w:rFonts w:cs="Times New Roman"/>
              </w:rPr>
            </w:pPr>
            <w:r>
              <w:rPr>
                <w:rFonts w:cs="Times New Roman"/>
              </w:rPr>
              <w:t>1.0~1.5m</w:t>
            </w:r>
          </w:p>
        </w:tc>
        <w:tc>
          <w:tcPr>
            <w:tcW w:w="385" w:type="pct"/>
            <w:vAlign w:val="center"/>
          </w:tcPr>
          <w:p w14:paraId="1AB0940E">
            <w:pPr>
              <w:pStyle w:val="78"/>
              <w:rPr>
                <w:rFonts w:cs="Times New Roman"/>
              </w:rPr>
            </w:pPr>
            <w:r>
              <w:rPr>
                <w:rFonts w:cs="Times New Roman"/>
              </w:rPr>
              <w:t>5.28</w:t>
            </w:r>
          </w:p>
        </w:tc>
        <w:tc>
          <w:tcPr>
            <w:tcW w:w="296" w:type="pct"/>
            <w:vAlign w:val="center"/>
          </w:tcPr>
          <w:p w14:paraId="032CACAA">
            <w:pPr>
              <w:pStyle w:val="78"/>
              <w:rPr>
                <w:rFonts w:cs="Times New Roman"/>
              </w:rPr>
            </w:pPr>
            <w:r>
              <w:rPr>
                <w:rFonts w:cs="Times New Roman"/>
              </w:rPr>
              <w:t>ND</w:t>
            </w:r>
          </w:p>
        </w:tc>
        <w:tc>
          <w:tcPr>
            <w:tcW w:w="297" w:type="pct"/>
            <w:vAlign w:val="center"/>
          </w:tcPr>
          <w:p w14:paraId="63E8A57C">
            <w:pPr>
              <w:pStyle w:val="78"/>
              <w:rPr>
                <w:rFonts w:cs="Times New Roman"/>
              </w:rPr>
            </w:pPr>
            <w:r>
              <w:rPr>
                <w:rFonts w:cs="Times New Roman"/>
              </w:rPr>
              <w:t>0.006</w:t>
            </w:r>
          </w:p>
        </w:tc>
        <w:tc>
          <w:tcPr>
            <w:tcW w:w="297" w:type="pct"/>
            <w:vAlign w:val="center"/>
          </w:tcPr>
          <w:p w14:paraId="6F217AEF">
            <w:pPr>
              <w:pStyle w:val="78"/>
              <w:rPr>
                <w:rFonts w:cs="Times New Roman"/>
              </w:rPr>
            </w:pPr>
            <w:r>
              <w:rPr>
                <w:rFonts w:cs="Times New Roman"/>
              </w:rPr>
              <w:t>1.14</w:t>
            </w:r>
          </w:p>
        </w:tc>
        <w:tc>
          <w:tcPr>
            <w:tcW w:w="296" w:type="pct"/>
            <w:vAlign w:val="center"/>
          </w:tcPr>
          <w:p w14:paraId="72762173">
            <w:pPr>
              <w:pStyle w:val="78"/>
              <w:rPr>
                <w:rFonts w:cs="Times New Roman"/>
              </w:rPr>
            </w:pPr>
            <w:r>
              <w:rPr>
                <w:rFonts w:cs="Times New Roman"/>
              </w:rPr>
              <w:t>2</w:t>
            </w:r>
          </w:p>
        </w:tc>
        <w:tc>
          <w:tcPr>
            <w:tcW w:w="297" w:type="pct"/>
            <w:vAlign w:val="center"/>
          </w:tcPr>
          <w:p w14:paraId="38EE3815">
            <w:pPr>
              <w:pStyle w:val="78"/>
              <w:rPr>
                <w:rFonts w:cs="Times New Roman"/>
              </w:rPr>
            </w:pPr>
            <w:r>
              <w:rPr>
                <w:rFonts w:cs="Times New Roman"/>
              </w:rPr>
              <w:t>12</w:t>
            </w:r>
          </w:p>
        </w:tc>
        <w:tc>
          <w:tcPr>
            <w:tcW w:w="297" w:type="pct"/>
            <w:vAlign w:val="center"/>
          </w:tcPr>
          <w:p w14:paraId="25EA487C">
            <w:pPr>
              <w:pStyle w:val="78"/>
              <w:rPr>
                <w:rFonts w:cs="Times New Roman"/>
              </w:rPr>
            </w:pPr>
            <w:r>
              <w:rPr>
                <w:rFonts w:cs="Times New Roman"/>
              </w:rPr>
              <w:t>ND</w:t>
            </w:r>
          </w:p>
        </w:tc>
        <w:tc>
          <w:tcPr>
            <w:tcW w:w="297" w:type="pct"/>
            <w:vAlign w:val="center"/>
          </w:tcPr>
          <w:p w14:paraId="27EB8222">
            <w:pPr>
              <w:pStyle w:val="78"/>
              <w:rPr>
                <w:rFonts w:cs="Times New Roman"/>
              </w:rPr>
            </w:pPr>
            <w:r>
              <w:rPr>
                <w:rFonts w:cs="Times New Roman"/>
              </w:rPr>
              <w:t>14</w:t>
            </w:r>
          </w:p>
        </w:tc>
        <w:tc>
          <w:tcPr>
            <w:tcW w:w="261" w:type="pct"/>
            <w:vAlign w:val="center"/>
          </w:tcPr>
          <w:p w14:paraId="10EC17F7">
            <w:pPr>
              <w:pStyle w:val="78"/>
              <w:rPr>
                <w:rFonts w:cs="Times New Roman"/>
              </w:rPr>
            </w:pPr>
            <w:r>
              <w:rPr>
                <w:rFonts w:cs="Times New Roman"/>
              </w:rPr>
              <w:t>ND</w:t>
            </w:r>
          </w:p>
        </w:tc>
        <w:tc>
          <w:tcPr>
            <w:tcW w:w="254" w:type="pct"/>
            <w:vAlign w:val="center"/>
          </w:tcPr>
          <w:p w14:paraId="4C600864">
            <w:pPr>
              <w:pStyle w:val="78"/>
              <w:rPr>
                <w:rFonts w:cs="Times New Roman"/>
              </w:rPr>
            </w:pPr>
            <w:r>
              <w:rPr>
                <w:rFonts w:cs="Times New Roman"/>
              </w:rPr>
              <w:t>——</w:t>
            </w:r>
          </w:p>
        </w:tc>
        <w:tc>
          <w:tcPr>
            <w:tcW w:w="256" w:type="pct"/>
            <w:vAlign w:val="center"/>
          </w:tcPr>
          <w:p w14:paraId="1B2EBDDF">
            <w:pPr>
              <w:pStyle w:val="78"/>
              <w:rPr>
                <w:rFonts w:cs="Times New Roman"/>
              </w:rPr>
            </w:pPr>
            <w:r>
              <w:rPr>
                <w:rFonts w:cs="Times New Roman"/>
              </w:rPr>
              <w:t>15.8</w:t>
            </w:r>
          </w:p>
        </w:tc>
        <w:tc>
          <w:tcPr>
            <w:tcW w:w="205" w:type="pct"/>
            <w:vAlign w:val="center"/>
          </w:tcPr>
          <w:p w14:paraId="6B36C9CF">
            <w:pPr>
              <w:pStyle w:val="78"/>
              <w:rPr>
                <w:rFonts w:cs="Times New Roman"/>
              </w:rPr>
            </w:pPr>
            <w:r>
              <w:rPr>
                <w:rFonts w:cs="Times New Roman"/>
              </w:rPr>
              <w:t>ND</w:t>
            </w:r>
          </w:p>
        </w:tc>
        <w:tc>
          <w:tcPr>
            <w:tcW w:w="450" w:type="pct"/>
            <w:vAlign w:val="center"/>
          </w:tcPr>
          <w:p w14:paraId="2FE8F413">
            <w:pPr>
              <w:pStyle w:val="78"/>
              <w:rPr>
                <w:rFonts w:cs="Times New Roman"/>
              </w:rPr>
            </w:pPr>
            <w:r>
              <w:rPr>
                <w:rFonts w:cs="Times New Roman"/>
              </w:rPr>
              <w:t>0.058</w:t>
            </w:r>
          </w:p>
        </w:tc>
      </w:tr>
      <w:tr w14:paraId="46CA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68605F32">
            <w:pPr>
              <w:pStyle w:val="78"/>
              <w:rPr>
                <w:rFonts w:cs="Times New Roman"/>
              </w:rPr>
            </w:pPr>
          </w:p>
        </w:tc>
        <w:tc>
          <w:tcPr>
            <w:tcW w:w="318" w:type="pct"/>
            <w:vMerge w:val="continue"/>
            <w:vAlign w:val="center"/>
          </w:tcPr>
          <w:p w14:paraId="5430F514">
            <w:pPr>
              <w:pStyle w:val="78"/>
              <w:rPr>
                <w:rFonts w:cs="Times New Roman"/>
              </w:rPr>
            </w:pPr>
          </w:p>
        </w:tc>
        <w:tc>
          <w:tcPr>
            <w:tcW w:w="387" w:type="pct"/>
            <w:vAlign w:val="center"/>
          </w:tcPr>
          <w:p w14:paraId="7536DA07">
            <w:pPr>
              <w:pStyle w:val="78"/>
              <w:rPr>
                <w:rFonts w:cs="Times New Roman"/>
              </w:rPr>
            </w:pPr>
            <w:r>
              <w:rPr>
                <w:rFonts w:cs="Times New Roman"/>
              </w:rPr>
              <w:t>2.0~2.5m</w:t>
            </w:r>
          </w:p>
        </w:tc>
        <w:tc>
          <w:tcPr>
            <w:tcW w:w="385" w:type="pct"/>
            <w:vAlign w:val="center"/>
          </w:tcPr>
          <w:p w14:paraId="54572F9C">
            <w:pPr>
              <w:pStyle w:val="78"/>
              <w:rPr>
                <w:rFonts w:cs="Times New Roman"/>
              </w:rPr>
            </w:pPr>
            <w:r>
              <w:rPr>
                <w:rFonts w:cs="Times New Roman"/>
              </w:rPr>
              <w:t>4.89</w:t>
            </w:r>
          </w:p>
        </w:tc>
        <w:tc>
          <w:tcPr>
            <w:tcW w:w="296" w:type="pct"/>
            <w:vAlign w:val="center"/>
          </w:tcPr>
          <w:p w14:paraId="2FCA5142">
            <w:pPr>
              <w:pStyle w:val="78"/>
              <w:rPr>
                <w:rFonts w:cs="Times New Roman"/>
              </w:rPr>
            </w:pPr>
            <w:r>
              <w:rPr>
                <w:rFonts w:cs="Times New Roman"/>
              </w:rPr>
              <w:t>ND</w:t>
            </w:r>
          </w:p>
        </w:tc>
        <w:tc>
          <w:tcPr>
            <w:tcW w:w="297" w:type="pct"/>
            <w:vAlign w:val="center"/>
          </w:tcPr>
          <w:p w14:paraId="7F9C25CB">
            <w:pPr>
              <w:pStyle w:val="78"/>
              <w:rPr>
                <w:rFonts w:cs="Times New Roman"/>
              </w:rPr>
            </w:pPr>
            <w:r>
              <w:rPr>
                <w:rFonts w:cs="Times New Roman"/>
              </w:rPr>
              <w:t>0.009</w:t>
            </w:r>
          </w:p>
        </w:tc>
        <w:tc>
          <w:tcPr>
            <w:tcW w:w="297" w:type="pct"/>
            <w:vAlign w:val="center"/>
          </w:tcPr>
          <w:p w14:paraId="2462CE44">
            <w:pPr>
              <w:pStyle w:val="78"/>
              <w:rPr>
                <w:rFonts w:cs="Times New Roman"/>
              </w:rPr>
            </w:pPr>
            <w:r>
              <w:rPr>
                <w:rFonts w:cs="Times New Roman"/>
              </w:rPr>
              <w:t>0.92</w:t>
            </w:r>
          </w:p>
        </w:tc>
        <w:tc>
          <w:tcPr>
            <w:tcW w:w="296" w:type="pct"/>
            <w:vAlign w:val="center"/>
          </w:tcPr>
          <w:p w14:paraId="7D8FC15E">
            <w:pPr>
              <w:pStyle w:val="78"/>
              <w:rPr>
                <w:rFonts w:cs="Times New Roman"/>
              </w:rPr>
            </w:pPr>
            <w:r>
              <w:rPr>
                <w:rFonts w:cs="Times New Roman"/>
              </w:rPr>
              <w:t>1</w:t>
            </w:r>
          </w:p>
        </w:tc>
        <w:tc>
          <w:tcPr>
            <w:tcW w:w="297" w:type="pct"/>
            <w:vAlign w:val="center"/>
          </w:tcPr>
          <w:p w14:paraId="0EFA3BF9">
            <w:pPr>
              <w:pStyle w:val="78"/>
              <w:rPr>
                <w:rFonts w:cs="Times New Roman"/>
              </w:rPr>
            </w:pPr>
            <w:r>
              <w:rPr>
                <w:rFonts w:cs="Times New Roman"/>
              </w:rPr>
              <w:t>13</w:t>
            </w:r>
          </w:p>
        </w:tc>
        <w:tc>
          <w:tcPr>
            <w:tcW w:w="297" w:type="pct"/>
            <w:vAlign w:val="center"/>
          </w:tcPr>
          <w:p w14:paraId="30DB66A5">
            <w:pPr>
              <w:pStyle w:val="78"/>
              <w:rPr>
                <w:rFonts w:cs="Times New Roman"/>
              </w:rPr>
            </w:pPr>
            <w:r>
              <w:rPr>
                <w:rFonts w:cs="Times New Roman"/>
              </w:rPr>
              <w:t>4</w:t>
            </w:r>
          </w:p>
        </w:tc>
        <w:tc>
          <w:tcPr>
            <w:tcW w:w="297" w:type="pct"/>
            <w:vAlign w:val="center"/>
          </w:tcPr>
          <w:p w14:paraId="6BFDA1B4">
            <w:pPr>
              <w:pStyle w:val="78"/>
              <w:rPr>
                <w:rFonts w:cs="Times New Roman"/>
              </w:rPr>
            </w:pPr>
            <w:r>
              <w:rPr>
                <w:rFonts w:cs="Times New Roman"/>
              </w:rPr>
              <w:t>12</w:t>
            </w:r>
          </w:p>
        </w:tc>
        <w:tc>
          <w:tcPr>
            <w:tcW w:w="261" w:type="pct"/>
            <w:vAlign w:val="center"/>
          </w:tcPr>
          <w:p w14:paraId="7C316774">
            <w:pPr>
              <w:pStyle w:val="78"/>
              <w:rPr>
                <w:rFonts w:cs="Times New Roman"/>
              </w:rPr>
            </w:pPr>
            <w:r>
              <w:rPr>
                <w:rFonts w:cs="Times New Roman"/>
              </w:rPr>
              <w:t>ND</w:t>
            </w:r>
          </w:p>
        </w:tc>
        <w:tc>
          <w:tcPr>
            <w:tcW w:w="254" w:type="pct"/>
            <w:vAlign w:val="center"/>
          </w:tcPr>
          <w:p w14:paraId="0E5AD118">
            <w:pPr>
              <w:pStyle w:val="78"/>
              <w:rPr>
                <w:rFonts w:cs="Times New Roman"/>
              </w:rPr>
            </w:pPr>
            <w:r>
              <w:rPr>
                <w:rFonts w:cs="Times New Roman"/>
              </w:rPr>
              <w:t>——</w:t>
            </w:r>
          </w:p>
        </w:tc>
        <w:tc>
          <w:tcPr>
            <w:tcW w:w="256" w:type="pct"/>
            <w:vAlign w:val="center"/>
          </w:tcPr>
          <w:p w14:paraId="4D143440">
            <w:pPr>
              <w:pStyle w:val="78"/>
              <w:rPr>
                <w:rFonts w:cs="Times New Roman"/>
              </w:rPr>
            </w:pPr>
            <w:r>
              <w:rPr>
                <w:rFonts w:cs="Times New Roman"/>
              </w:rPr>
              <w:t>14.7</w:t>
            </w:r>
          </w:p>
        </w:tc>
        <w:tc>
          <w:tcPr>
            <w:tcW w:w="205" w:type="pct"/>
            <w:vAlign w:val="center"/>
          </w:tcPr>
          <w:p w14:paraId="1B254D60">
            <w:pPr>
              <w:pStyle w:val="78"/>
              <w:rPr>
                <w:rFonts w:cs="Times New Roman"/>
              </w:rPr>
            </w:pPr>
            <w:r>
              <w:rPr>
                <w:rFonts w:cs="Times New Roman"/>
              </w:rPr>
              <w:t>ND</w:t>
            </w:r>
          </w:p>
        </w:tc>
        <w:tc>
          <w:tcPr>
            <w:tcW w:w="450" w:type="pct"/>
            <w:vAlign w:val="center"/>
          </w:tcPr>
          <w:p w14:paraId="0116125A">
            <w:pPr>
              <w:pStyle w:val="78"/>
              <w:rPr>
                <w:rFonts w:cs="Times New Roman"/>
              </w:rPr>
            </w:pPr>
            <w:r>
              <w:rPr>
                <w:rFonts w:cs="Times New Roman"/>
              </w:rPr>
              <w:t>0.052</w:t>
            </w:r>
          </w:p>
        </w:tc>
      </w:tr>
      <w:tr w14:paraId="36E1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6AA2982A">
            <w:pPr>
              <w:pStyle w:val="78"/>
              <w:rPr>
                <w:rFonts w:cs="Times New Roman"/>
              </w:rPr>
            </w:pPr>
          </w:p>
        </w:tc>
        <w:tc>
          <w:tcPr>
            <w:tcW w:w="318" w:type="pct"/>
            <w:vMerge w:val="continue"/>
            <w:vAlign w:val="center"/>
          </w:tcPr>
          <w:p w14:paraId="7AB46BEE">
            <w:pPr>
              <w:pStyle w:val="78"/>
              <w:rPr>
                <w:rFonts w:cs="Times New Roman"/>
              </w:rPr>
            </w:pPr>
          </w:p>
        </w:tc>
        <w:tc>
          <w:tcPr>
            <w:tcW w:w="387" w:type="pct"/>
            <w:vAlign w:val="center"/>
          </w:tcPr>
          <w:p w14:paraId="769D8025">
            <w:pPr>
              <w:pStyle w:val="78"/>
              <w:rPr>
                <w:rFonts w:cs="Times New Roman"/>
              </w:rPr>
            </w:pPr>
            <w:r>
              <w:rPr>
                <w:rFonts w:cs="Times New Roman"/>
              </w:rPr>
              <w:t>4.0~4.5m</w:t>
            </w:r>
          </w:p>
        </w:tc>
        <w:tc>
          <w:tcPr>
            <w:tcW w:w="385" w:type="pct"/>
            <w:vAlign w:val="center"/>
          </w:tcPr>
          <w:p w14:paraId="134A00DB">
            <w:pPr>
              <w:pStyle w:val="78"/>
              <w:rPr>
                <w:rFonts w:cs="Times New Roman"/>
              </w:rPr>
            </w:pPr>
            <w:r>
              <w:rPr>
                <w:rFonts w:cs="Times New Roman"/>
              </w:rPr>
              <w:t>4.75</w:t>
            </w:r>
          </w:p>
        </w:tc>
        <w:tc>
          <w:tcPr>
            <w:tcW w:w="296" w:type="pct"/>
            <w:vAlign w:val="center"/>
          </w:tcPr>
          <w:p w14:paraId="190F9D50">
            <w:pPr>
              <w:pStyle w:val="78"/>
              <w:rPr>
                <w:rFonts w:cs="Times New Roman"/>
              </w:rPr>
            </w:pPr>
            <w:r>
              <w:rPr>
                <w:rFonts w:cs="Times New Roman"/>
              </w:rPr>
              <w:t>ND</w:t>
            </w:r>
          </w:p>
        </w:tc>
        <w:tc>
          <w:tcPr>
            <w:tcW w:w="297" w:type="pct"/>
            <w:vAlign w:val="center"/>
          </w:tcPr>
          <w:p w14:paraId="0712D20B">
            <w:pPr>
              <w:pStyle w:val="78"/>
              <w:rPr>
                <w:rFonts w:cs="Times New Roman"/>
              </w:rPr>
            </w:pPr>
            <w:r>
              <w:rPr>
                <w:rFonts w:cs="Times New Roman"/>
              </w:rPr>
              <w:t>0.009</w:t>
            </w:r>
          </w:p>
        </w:tc>
        <w:tc>
          <w:tcPr>
            <w:tcW w:w="297" w:type="pct"/>
            <w:vAlign w:val="center"/>
          </w:tcPr>
          <w:p w14:paraId="7810AA83">
            <w:pPr>
              <w:pStyle w:val="78"/>
              <w:rPr>
                <w:rFonts w:cs="Times New Roman"/>
              </w:rPr>
            </w:pPr>
            <w:r>
              <w:rPr>
                <w:rFonts w:cs="Times New Roman"/>
              </w:rPr>
              <w:t>1.59</w:t>
            </w:r>
          </w:p>
        </w:tc>
        <w:tc>
          <w:tcPr>
            <w:tcW w:w="296" w:type="pct"/>
            <w:vAlign w:val="center"/>
          </w:tcPr>
          <w:p w14:paraId="326A5E79">
            <w:pPr>
              <w:pStyle w:val="78"/>
              <w:rPr>
                <w:rFonts w:cs="Times New Roman"/>
              </w:rPr>
            </w:pPr>
            <w:r>
              <w:rPr>
                <w:rFonts w:cs="Times New Roman"/>
              </w:rPr>
              <w:t>1</w:t>
            </w:r>
          </w:p>
        </w:tc>
        <w:tc>
          <w:tcPr>
            <w:tcW w:w="297" w:type="pct"/>
            <w:vAlign w:val="center"/>
          </w:tcPr>
          <w:p w14:paraId="35B71D9A">
            <w:pPr>
              <w:pStyle w:val="78"/>
              <w:rPr>
                <w:rFonts w:cs="Times New Roman"/>
              </w:rPr>
            </w:pPr>
            <w:r>
              <w:rPr>
                <w:rFonts w:cs="Times New Roman"/>
              </w:rPr>
              <w:t>15</w:t>
            </w:r>
          </w:p>
        </w:tc>
        <w:tc>
          <w:tcPr>
            <w:tcW w:w="297" w:type="pct"/>
            <w:vAlign w:val="center"/>
          </w:tcPr>
          <w:p w14:paraId="4CF76806">
            <w:pPr>
              <w:pStyle w:val="78"/>
              <w:rPr>
                <w:rFonts w:cs="Times New Roman"/>
              </w:rPr>
            </w:pPr>
            <w:r>
              <w:rPr>
                <w:rFonts w:cs="Times New Roman"/>
              </w:rPr>
              <w:t>4</w:t>
            </w:r>
          </w:p>
        </w:tc>
        <w:tc>
          <w:tcPr>
            <w:tcW w:w="297" w:type="pct"/>
            <w:vAlign w:val="center"/>
          </w:tcPr>
          <w:p w14:paraId="4A5E882B">
            <w:pPr>
              <w:pStyle w:val="78"/>
              <w:rPr>
                <w:rFonts w:cs="Times New Roman"/>
              </w:rPr>
            </w:pPr>
            <w:r>
              <w:rPr>
                <w:rFonts w:cs="Times New Roman"/>
              </w:rPr>
              <w:t>17</w:t>
            </w:r>
          </w:p>
        </w:tc>
        <w:tc>
          <w:tcPr>
            <w:tcW w:w="261" w:type="pct"/>
            <w:vAlign w:val="center"/>
          </w:tcPr>
          <w:p w14:paraId="279AB93B">
            <w:pPr>
              <w:pStyle w:val="78"/>
              <w:rPr>
                <w:rFonts w:cs="Times New Roman"/>
              </w:rPr>
            </w:pPr>
            <w:r>
              <w:rPr>
                <w:rFonts w:cs="Times New Roman"/>
              </w:rPr>
              <w:t>ND</w:t>
            </w:r>
          </w:p>
        </w:tc>
        <w:tc>
          <w:tcPr>
            <w:tcW w:w="254" w:type="pct"/>
            <w:vAlign w:val="center"/>
          </w:tcPr>
          <w:p w14:paraId="75C0DD94">
            <w:pPr>
              <w:pStyle w:val="78"/>
              <w:rPr>
                <w:rFonts w:cs="Times New Roman"/>
              </w:rPr>
            </w:pPr>
            <w:r>
              <w:rPr>
                <w:rFonts w:cs="Times New Roman"/>
              </w:rPr>
              <w:t>——</w:t>
            </w:r>
          </w:p>
        </w:tc>
        <w:tc>
          <w:tcPr>
            <w:tcW w:w="256" w:type="pct"/>
            <w:vAlign w:val="center"/>
          </w:tcPr>
          <w:p w14:paraId="03016C1B">
            <w:pPr>
              <w:pStyle w:val="78"/>
              <w:rPr>
                <w:rFonts w:cs="Times New Roman"/>
              </w:rPr>
            </w:pPr>
            <w:r>
              <w:rPr>
                <w:rFonts w:cs="Times New Roman"/>
              </w:rPr>
              <w:t>17.8</w:t>
            </w:r>
          </w:p>
        </w:tc>
        <w:tc>
          <w:tcPr>
            <w:tcW w:w="205" w:type="pct"/>
            <w:vAlign w:val="center"/>
          </w:tcPr>
          <w:p w14:paraId="689D0CAA">
            <w:pPr>
              <w:pStyle w:val="78"/>
              <w:rPr>
                <w:rFonts w:cs="Times New Roman"/>
              </w:rPr>
            </w:pPr>
            <w:r>
              <w:rPr>
                <w:rFonts w:cs="Times New Roman"/>
              </w:rPr>
              <w:t>ND</w:t>
            </w:r>
          </w:p>
        </w:tc>
        <w:tc>
          <w:tcPr>
            <w:tcW w:w="450" w:type="pct"/>
            <w:vAlign w:val="center"/>
          </w:tcPr>
          <w:p w14:paraId="6BFBD330">
            <w:pPr>
              <w:pStyle w:val="78"/>
              <w:rPr>
                <w:rFonts w:cs="Times New Roman"/>
              </w:rPr>
            </w:pPr>
            <w:r>
              <w:rPr>
                <w:rFonts w:cs="Times New Roman"/>
              </w:rPr>
              <w:t>0.062</w:t>
            </w:r>
          </w:p>
        </w:tc>
      </w:tr>
      <w:tr w14:paraId="2750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0F55535E">
            <w:pPr>
              <w:pStyle w:val="78"/>
              <w:rPr>
                <w:rFonts w:cs="Times New Roman"/>
              </w:rPr>
            </w:pPr>
          </w:p>
        </w:tc>
        <w:tc>
          <w:tcPr>
            <w:tcW w:w="318" w:type="pct"/>
            <w:vMerge w:val="restart"/>
            <w:vAlign w:val="center"/>
          </w:tcPr>
          <w:p w14:paraId="576BFE56">
            <w:pPr>
              <w:pStyle w:val="78"/>
              <w:rPr>
                <w:rFonts w:cs="Times New Roman"/>
              </w:rPr>
            </w:pPr>
            <w:r>
              <w:rPr>
                <w:rFonts w:cs="Times New Roman"/>
              </w:rPr>
              <w:t>SH-3</w:t>
            </w:r>
          </w:p>
        </w:tc>
        <w:tc>
          <w:tcPr>
            <w:tcW w:w="387" w:type="pct"/>
            <w:vAlign w:val="center"/>
          </w:tcPr>
          <w:p w14:paraId="65090421">
            <w:pPr>
              <w:pStyle w:val="78"/>
              <w:rPr>
                <w:rFonts w:cs="Times New Roman"/>
              </w:rPr>
            </w:pPr>
            <w:r>
              <w:rPr>
                <w:rFonts w:cs="Times New Roman"/>
              </w:rPr>
              <w:t>0~0.5m</w:t>
            </w:r>
          </w:p>
        </w:tc>
        <w:tc>
          <w:tcPr>
            <w:tcW w:w="385" w:type="pct"/>
            <w:vAlign w:val="center"/>
          </w:tcPr>
          <w:p w14:paraId="25F04C7E">
            <w:pPr>
              <w:pStyle w:val="78"/>
              <w:rPr>
                <w:rFonts w:cs="Times New Roman"/>
              </w:rPr>
            </w:pPr>
            <w:r>
              <w:rPr>
                <w:rFonts w:cs="Times New Roman"/>
              </w:rPr>
              <w:t>4.68</w:t>
            </w:r>
          </w:p>
        </w:tc>
        <w:tc>
          <w:tcPr>
            <w:tcW w:w="296" w:type="pct"/>
            <w:vAlign w:val="center"/>
          </w:tcPr>
          <w:p w14:paraId="0EB343D6">
            <w:pPr>
              <w:pStyle w:val="78"/>
              <w:rPr>
                <w:rFonts w:cs="Times New Roman"/>
              </w:rPr>
            </w:pPr>
            <w:r>
              <w:rPr>
                <w:rFonts w:cs="Times New Roman"/>
              </w:rPr>
              <w:t>ND</w:t>
            </w:r>
          </w:p>
        </w:tc>
        <w:tc>
          <w:tcPr>
            <w:tcW w:w="297" w:type="pct"/>
            <w:vAlign w:val="center"/>
          </w:tcPr>
          <w:p w14:paraId="0E3E15DA">
            <w:pPr>
              <w:pStyle w:val="78"/>
              <w:rPr>
                <w:rFonts w:cs="Times New Roman"/>
              </w:rPr>
            </w:pPr>
            <w:r>
              <w:rPr>
                <w:rFonts w:cs="Times New Roman"/>
              </w:rPr>
              <w:t>0.010</w:t>
            </w:r>
          </w:p>
        </w:tc>
        <w:tc>
          <w:tcPr>
            <w:tcW w:w="297" w:type="pct"/>
            <w:vAlign w:val="center"/>
          </w:tcPr>
          <w:p w14:paraId="7ED90D01">
            <w:pPr>
              <w:pStyle w:val="78"/>
              <w:rPr>
                <w:rFonts w:cs="Times New Roman"/>
              </w:rPr>
            </w:pPr>
            <w:r>
              <w:rPr>
                <w:rFonts w:cs="Times New Roman"/>
              </w:rPr>
              <w:t>1.10</w:t>
            </w:r>
          </w:p>
        </w:tc>
        <w:tc>
          <w:tcPr>
            <w:tcW w:w="296" w:type="pct"/>
            <w:vAlign w:val="center"/>
          </w:tcPr>
          <w:p w14:paraId="67D4E422">
            <w:pPr>
              <w:pStyle w:val="78"/>
              <w:rPr>
                <w:rFonts w:cs="Times New Roman"/>
              </w:rPr>
            </w:pPr>
            <w:r>
              <w:rPr>
                <w:rFonts w:cs="Times New Roman"/>
              </w:rPr>
              <w:t>2</w:t>
            </w:r>
          </w:p>
        </w:tc>
        <w:tc>
          <w:tcPr>
            <w:tcW w:w="297" w:type="pct"/>
            <w:vAlign w:val="center"/>
          </w:tcPr>
          <w:p w14:paraId="6D40E775">
            <w:pPr>
              <w:pStyle w:val="78"/>
              <w:rPr>
                <w:rFonts w:cs="Times New Roman"/>
              </w:rPr>
            </w:pPr>
            <w:r>
              <w:rPr>
                <w:rFonts w:cs="Times New Roman"/>
              </w:rPr>
              <w:t>11</w:t>
            </w:r>
          </w:p>
        </w:tc>
        <w:tc>
          <w:tcPr>
            <w:tcW w:w="297" w:type="pct"/>
            <w:vAlign w:val="center"/>
          </w:tcPr>
          <w:p w14:paraId="6DFC5E0D">
            <w:pPr>
              <w:pStyle w:val="78"/>
              <w:rPr>
                <w:rFonts w:cs="Times New Roman"/>
              </w:rPr>
            </w:pPr>
            <w:r>
              <w:rPr>
                <w:rFonts w:cs="Times New Roman"/>
              </w:rPr>
              <w:t>ND</w:t>
            </w:r>
          </w:p>
        </w:tc>
        <w:tc>
          <w:tcPr>
            <w:tcW w:w="297" w:type="pct"/>
            <w:vAlign w:val="center"/>
          </w:tcPr>
          <w:p w14:paraId="05B0FDF4">
            <w:pPr>
              <w:pStyle w:val="78"/>
              <w:rPr>
                <w:rFonts w:cs="Times New Roman"/>
              </w:rPr>
            </w:pPr>
            <w:r>
              <w:rPr>
                <w:rFonts w:cs="Times New Roman"/>
              </w:rPr>
              <w:t>14</w:t>
            </w:r>
          </w:p>
        </w:tc>
        <w:tc>
          <w:tcPr>
            <w:tcW w:w="261" w:type="pct"/>
            <w:vAlign w:val="center"/>
          </w:tcPr>
          <w:p w14:paraId="720B3C66">
            <w:pPr>
              <w:pStyle w:val="78"/>
              <w:rPr>
                <w:rFonts w:cs="Times New Roman"/>
              </w:rPr>
            </w:pPr>
            <w:r>
              <w:rPr>
                <w:rFonts w:cs="Times New Roman"/>
              </w:rPr>
              <w:t>ND</w:t>
            </w:r>
          </w:p>
        </w:tc>
        <w:tc>
          <w:tcPr>
            <w:tcW w:w="254" w:type="pct"/>
            <w:vAlign w:val="center"/>
          </w:tcPr>
          <w:p w14:paraId="34190F30">
            <w:pPr>
              <w:pStyle w:val="78"/>
              <w:rPr>
                <w:rFonts w:cs="Times New Roman"/>
              </w:rPr>
            </w:pPr>
            <w:r>
              <w:rPr>
                <w:rFonts w:cs="Times New Roman"/>
              </w:rPr>
              <w:t>——</w:t>
            </w:r>
          </w:p>
        </w:tc>
        <w:tc>
          <w:tcPr>
            <w:tcW w:w="256" w:type="pct"/>
            <w:vAlign w:val="center"/>
          </w:tcPr>
          <w:p w14:paraId="40688146">
            <w:pPr>
              <w:pStyle w:val="78"/>
              <w:rPr>
                <w:rFonts w:cs="Times New Roman"/>
              </w:rPr>
            </w:pPr>
            <w:r>
              <w:rPr>
                <w:rFonts w:cs="Times New Roman"/>
              </w:rPr>
              <w:t>13.1</w:t>
            </w:r>
          </w:p>
        </w:tc>
        <w:tc>
          <w:tcPr>
            <w:tcW w:w="205" w:type="pct"/>
            <w:vAlign w:val="center"/>
          </w:tcPr>
          <w:p w14:paraId="0434364C">
            <w:pPr>
              <w:pStyle w:val="78"/>
              <w:rPr>
                <w:rFonts w:cs="Times New Roman"/>
              </w:rPr>
            </w:pPr>
            <w:r>
              <w:rPr>
                <w:rFonts w:cs="Times New Roman"/>
              </w:rPr>
              <w:t>ND</w:t>
            </w:r>
          </w:p>
        </w:tc>
        <w:tc>
          <w:tcPr>
            <w:tcW w:w="450" w:type="pct"/>
            <w:vAlign w:val="center"/>
          </w:tcPr>
          <w:p w14:paraId="6213A93F">
            <w:pPr>
              <w:pStyle w:val="78"/>
              <w:rPr>
                <w:rFonts w:cs="Times New Roman"/>
              </w:rPr>
            </w:pPr>
            <w:r>
              <w:rPr>
                <w:rFonts w:cs="Times New Roman"/>
              </w:rPr>
              <w:t>0.055</w:t>
            </w:r>
          </w:p>
        </w:tc>
      </w:tr>
      <w:tr w14:paraId="5C0E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5DF39E6C">
            <w:pPr>
              <w:pStyle w:val="78"/>
              <w:rPr>
                <w:rFonts w:cs="Times New Roman"/>
              </w:rPr>
            </w:pPr>
          </w:p>
        </w:tc>
        <w:tc>
          <w:tcPr>
            <w:tcW w:w="318" w:type="pct"/>
            <w:vMerge w:val="continue"/>
            <w:vAlign w:val="center"/>
          </w:tcPr>
          <w:p w14:paraId="661174FE">
            <w:pPr>
              <w:pStyle w:val="78"/>
              <w:rPr>
                <w:rFonts w:cs="Times New Roman"/>
              </w:rPr>
            </w:pPr>
          </w:p>
        </w:tc>
        <w:tc>
          <w:tcPr>
            <w:tcW w:w="387" w:type="pct"/>
            <w:vAlign w:val="center"/>
          </w:tcPr>
          <w:p w14:paraId="46C2135B">
            <w:pPr>
              <w:pStyle w:val="78"/>
              <w:rPr>
                <w:rFonts w:cs="Times New Roman"/>
              </w:rPr>
            </w:pPr>
            <w:r>
              <w:rPr>
                <w:rFonts w:cs="Times New Roman"/>
              </w:rPr>
              <w:t>1.0~1.5m</w:t>
            </w:r>
          </w:p>
        </w:tc>
        <w:tc>
          <w:tcPr>
            <w:tcW w:w="385" w:type="pct"/>
            <w:vAlign w:val="center"/>
          </w:tcPr>
          <w:p w14:paraId="1E6D7728">
            <w:pPr>
              <w:pStyle w:val="78"/>
              <w:rPr>
                <w:rFonts w:cs="Times New Roman"/>
              </w:rPr>
            </w:pPr>
            <w:r>
              <w:rPr>
                <w:rFonts w:cs="Times New Roman"/>
              </w:rPr>
              <w:t>4.70</w:t>
            </w:r>
          </w:p>
        </w:tc>
        <w:tc>
          <w:tcPr>
            <w:tcW w:w="296" w:type="pct"/>
            <w:vAlign w:val="center"/>
          </w:tcPr>
          <w:p w14:paraId="6880FEFD">
            <w:pPr>
              <w:pStyle w:val="78"/>
              <w:rPr>
                <w:rFonts w:cs="Times New Roman"/>
              </w:rPr>
            </w:pPr>
            <w:r>
              <w:rPr>
                <w:rFonts w:cs="Times New Roman"/>
              </w:rPr>
              <w:t>ND</w:t>
            </w:r>
          </w:p>
        </w:tc>
        <w:tc>
          <w:tcPr>
            <w:tcW w:w="297" w:type="pct"/>
            <w:vAlign w:val="center"/>
          </w:tcPr>
          <w:p w14:paraId="37C3185C">
            <w:pPr>
              <w:pStyle w:val="78"/>
              <w:rPr>
                <w:rFonts w:cs="Times New Roman"/>
              </w:rPr>
            </w:pPr>
            <w:r>
              <w:rPr>
                <w:rFonts w:cs="Times New Roman"/>
              </w:rPr>
              <w:t>0.007</w:t>
            </w:r>
          </w:p>
        </w:tc>
        <w:tc>
          <w:tcPr>
            <w:tcW w:w="297" w:type="pct"/>
            <w:vAlign w:val="center"/>
          </w:tcPr>
          <w:p w14:paraId="528A6334">
            <w:pPr>
              <w:pStyle w:val="78"/>
              <w:rPr>
                <w:rFonts w:cs="Times New Roman"/>
              </w:rPr>
            </w:pPr>
            <w:r>
              <w:rPr>
                <w:rFonts w:cs="Times New Roman"/>
              </w:rPr>
              <w:t>0.94</w:t>
            </w:r>
          </w:p>
        </w:tc>
        <w:tc>
          <w:tcPr>
            <w:tcW w:w="296" w:type="pct"/>
            <w:vAlign w:val="center"/>
          </w:tcPr>
          <w:p w14:paraId="220C9D4E">
            <w:pPr>
              <w:pStyle w:val="78"/>
              <w:rPr>
                <w:rFonts w:cs="Times New Roman"/>
              </w:rPr>
            </w:pPr>
            <w:r>
              <w:rPr>
                <w:rFonts w:cs="Times New Roman"/>
              </w:rPr>
              <w:t>1</w:t>
            </w:r>
          </w:p>
        </w:tc>
        <w:tc>
          <w:tcPr>
            <w:tcW w:w="297" w:type="pct"/>
            <w:vAlign w:val="center"/>
          </w:tcPr>
          <w:p w14:paraId="58FB83E3">
            <w:pPr>
              <w:pStyle w:val="78"/>
              <w:rPr>
                <w:rFonts w:cs="Times New Roman"/>
              </w:rPr>
            </w:pPr>
            <w:r>
              <w:rPr>
                <w:rFonts w:cs="Times New Roman"/>
              </w:rPr>
              <w:t>ND</w:t>
            </w:r>
          </w:p>
        </w:tc>
        <w:tc>
          <w:tcPr>
            <w:tcW w:w="297" w:type="pct"/>
            <w:vAlign w:val="center"/>
          </w:tcPr>
          <w:p w14:paraId="43FF9167">
            <w:pPr>
              <w:pStyle w:val="78"/>
              <w:rPr>
                <w:rFonts w:cs="Times New Roman"/>
              </w:rPr>
            </w:pPr>
            <w:r>
              <w:rPr>
                <w:rFonts w:cs="Times New Roman"/>
              </w:rPr>
              <w:t>ND</w:t>
            </w:r>
          </w:p>
        </w:tc>
        <w:tc>
          <w:tcPr>
            <w:tcW w:w="297" w:type="pct"/>
            <w:vAlign w:val="center"/>
          </w:tcPr>
          <w:p w14:paraId="3E79F283">
            <w:pPr>
              <w:pStyle w:val="78"/>
              <w:rPr>
                <w:rFonts w:cs="Times New Roman"/>
              </w:rPr>
            </w:pPr>
            <w:r>
              <w:rPr>
                <w:rFonts w:cs="Times New Roman"/>
              </w:rPr>
              <w:t>10</w:t>
            </w:r>
          </w:p>
        </w:tc>
        <w:tc>
          <w:tcPr>
            <w:tcW w:w="261" w:type="pct"/>
            <w:vAlign w:val="center"/>
          </w:tcPr>
          <w:p w14:paraId="67595A1D">
            <w:pPr>
              <w:pStyle w:val="78"/>
              <w:rPr>
                <w:rFonts w:cs="Times New Roman"/>
              </w:rPr>
            </w:pPr>
            <w:r>
              <w:rPr>
                <w:rFonts w:cs="Times New Roman"/>
              </w:rPr>
              <w:t>ND</w:t>
            </w:r>
          </w:p>
        </w:tc>
        <w:tc>
          <w:tcPr>
            <w:tcW w:w="254" w:type="pct"/>
            <w:vAlign w:val="center"/>
          </w:tcPr>
          <w:p w14:paraId="69E2F229">
            <w:pPr>
              <w:pStyle w:val="78"/>
              <w:rPr>
                <w:rFonts w:cs="Times New Roman"/>
              </w:rPr>
            </w:pPr>
            <w:r>
              <w:rPr>
                <w:rFonts w:cs="Times New Roman"/>
              </w:rPr>
              <w:t>——</w:t>
            </w:r>
          </w:p>
        </w:tc>
        <w:tc>
          <w:tcPr>
            <w:tcW w:w="256" w:type="pct"/>
            <w:vAlign w:val="center"/>
          </w:tcPr>
          <w:p w14:paraId="4270F0C0">
            <w:pPr>
              <w:pStyle w:val="78"/>
              <w:rPr>
                <w:rFonts w:cs="Times New Roman"/>
              </w:rPr>
            </w:pPr>
            <w:r>
              <w:rPr>
                <w:rFonts w:cs="Times New Roman"/>
              </w:rPr>
              <w:t>12.0</w:t>
            </w:r>
          </w:p>
        </w:tc>
        <w:tc>
          <w:tcPr>
            <w:tcW w:w="205" w:type="pct"/>
            <w:vAlign w:val="center"/>
          </w:tcPr>
          <w:p w14:paraId="01D0D823">
            <w:pPr>
              <w:pStyle w:val="78"/>
              <w:rPr>
                <w:rFonts w:cs="Times New Roman"/>
              </w:rPr>
            </w:pPr>
            <w:r>
              <w:rPr>
                <w:rFonts w:cs="Times New Roman"/>
              </w:rPr>
              <w:t>ND</w:t>
            </w:r>
          </w:p>
        </w:tc>
        <w:tc>
          <w:tcPr>
            <w:tcW w:w="450" w:type="pct"/>
            <w:vAlign w:val="center"/>
          </w:tcPr>
          <w:p w14:paraId="440056C9">
            <w:pPr>
              <w:pStyle w:val="78"/>
              <w:rPr>
                <w:rFonts w:cs="Times New Roman"/>
              </w:rPr>
            </w:pPr>
            <w:r>
              <w:rPr>
                <w:rFonts w:cs="Times New Roman"/>
              </w:rPr>
              <w:t>0.073</w:t>
            </w:r>
          </w:p>
        </w:tc>
      </w:tr>
      <w:tr w14:paraId="7652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26E00FAB">
            <w:pPr>
              <w:pStyle w:val="78"/>
              <w:rPr>
                <w:rFonts w:cs="Times New Roman"/>
              </w:rPr>
            </w:pPr>
          </w:p>
        </w:tc>
        <w:tc>
          <w:tcPr>
            <w:tcW w:w="318" w:type="pct"/>
            <w:vMerge w:val="continue"/>
            <w:vAlign w:val="center"/>
          </w:tcPr>
          <w:p w14:paraId="7CC5EA56">
            <w:pPr>
              <w:pStyle w:val="78"/>
              <w:rPr>
                <w:rFonts w:cs="Times New Roman"/>
              </w:rPr>
            </w:pPr>
          </w:p>
        </w:tc>
        <w:tc>
          <w:tcPr>
            <w:tcW w:w="387" w:type="pct"/>
            <w:vAlign w:val="center"/>
          </w:tcPr>
          <w:p w14:paraId="4FBBCF91">
            <w:pPr>
              <w:pStyle w:val="78"/>
              <w:rPr>
                <w:rFonts w:cs="Times New Roman"/>
              </w:rPr>
            </w:pPr>
            <w:r>
              <w:rPr>
                <w:rFonts w:cs="Times New Roman"/>
              </w:rPr>
              <w:t>2.0~2.5m</w:t>
            </w:r>
          </w:p>
        </w:tc>
        <w:tc>
          <w:tcPr>
            <w:tcW w:w="385" w:type="pct"/>
            <w:vAlign w:val="center"/>
          </w:tcPr>
          <w:p w14:paraId="7316BDEC">
            <w:pPr>
              <w:pStyle w:val="78"/>
              <w:rPr>
                <w:rFonts w:cs="Times New Roman"/>
              </w:rPr>
            </w:pPr>
            <w:r>
              <w:rPr>
                <w:rFonts w:cs="Times New Roman"/>
              </w:rPr>
              <w:t>4.78</w:t>
            </w:r>
          </w:p>
        </w:tc>
        <w:tc>
          <w:tcPr>
            <w:tcW w:w="296" w:type="pct"/>
            <w:vAlign w:val="center"/>
          </w:tcPr>
          <w:p w14:paraId="4A80F52E">
            <w:pPr>
              <w:pStyle w:val="78"/>
              <w:rPr>
                <w:rFonts w:cs="Times New Roman"/>
              </w:rPr>
            </w:pPr>
            <w:r>
              <w:rPr>
                <w:rFonts w:cs="Times New Roman"/>
              </w:rPr>
              <w:t>ND</w:t>
            </w:r>
          </w:p>
        </w:tc>
        <w:tc>
          <w:tcPr>
            <w:tcW w:w="297" w:type="pct"/>
            <w:vAlign w:val="center"/>
          </w:tcPr>
          <w:p w14:paraId="504AB5A9">
            <w:pPr>
              <w:pStyle w:val="78"/>
              <w:rPr>
                <w:rFonts w:cs="Times New Roman"/>
              </w:rPr>
            </w:pPr>
            <w:r>
              <w:rPr>
                <w:rFonts w:cs="Times New Roman"/>
              </w:rPr>
              <w:t>0.009</w:t>
            </w:r>
          </w:p>
        </w:tc>
        <w:tc>
          <w:tcPr>
            <w:tcW w:w="297" w:type="pct"/>
            <w:vAlign w:val="center"/>
          </w:tcPr>
          <w:p w14:paraId="5D27E6F7">
            <w:pPr>
              <w:pStyle w:val="78"/>
              <w:rPr>
                <w:rFonts w:cs="Times New Roman"/>
              </w:rPr>
            </w:pPr>
            <w:r>
              <w:rPr>
                <w:rFonts w:cs="Times New Roman"/>
              </w:rPr>
              <w:t>0.92</w:t>
            </w:r>
          </w:p>
        </w:tc>
        <w:tc>
          <w:tcPr>
            <w:tcW w:w="296" w:type="pct"/>
            <w:vAlign w:val="center"/>
          </w:tcPr>
          <w:p w14:paraId="5ED47203">
            <w:pPr>
              <w:pStyle w:val="78"/>
              <w:rPr>
                <w:rFonts w:cs="Times New Roman"/>
              </w:rPr>
            </w:pPr>
            <w:r>
              <w:rPr>
                <w:rFonts w:cs="Times New Roman"/>
              </w:rPr>
              <w:t>1</w:t>
            </w:r>
          </w:p>
        </w:tc>
        <w:tc>
          <w:tcPr>
            <w:tcW w:w="297" w:type="pct"/>
            <w:vAlign w:val="center"/>
          </w:tcPr>
          <w:p w14:paraId="1726C697">
            <w:pPr>
              <w:pStyle w:val="78"/>
              <w:rPr>
                <w:rFonts w:cs="Times New Roman"/>
              </w:rPr>
            </w:pPr>
            <w:r>
              <w:rPr>
                <w:rFonts w:cs="Times New Roman"/>
              </w:rPr>
              <w:t>10</w:t>
            </w:r>
          </w:p>
        </w:tc>
        <w:tc>
          <w:tcPr>
            <w:tcW w:w="297" w:type="pct"/>
            <w:vAlign w:val="center"/>
          </w:tcPr>
          <w:p w14:paraId="459D5F1B">
            <w:pPr>
              <w:pStyle w:val="78"/>
              <w:rPr>
                <w:rFonts w:cs="Times New Roman"/>
              </w:rPr>
            </w:pPr>
            <w:r>
              <w:rPr>
                <w:rFonts w:cs="Times New Roman"/>
              </w:rPr>
              <w:t>ND</w:t>
            </w:r>
          </w:p>
        </w:tc>
        <w:tc>
          <w:tcPr>
            <w:tcW w:w="297" w:type="pct"/>
            <w:vAlign w:val="center"/>
          </w:tcPr>
          <w:p w14:paraId="415656E4">
            <w:pPr>
              <w:pStyle w:val="78"/>
              <w:rPr>
                <w:rFonts w:cs="Times New Roman"/>
              </w:rPr>
            </w:pPr>
            <w:r>
              <w:rPr>
                <w:rFonts w:cs="Times New Roman"/>
              </w:rPr>
              <w:t>10</w:t>
            </w:r>
          </w:p>
        </w:tc>
        <w:tc>
          <w:tcPr>
            <w:tcW w:w="261" w:type="pct"/>
            <w:vAlign w:val="center"/>
          </w:tcPr>
          <w:p w14:paraId="285038A1">
            <w:pPr>
              <w:pStyle w:val="78"/>
              <w:rPr>
                <w:rFonts w:cs="Times New Roman"/>
              </w:rPr>
            </w:pPr>
            <w:r>
              <w:rPr>
                <w:rFonts w:cs="Times New Roman"/>
              </w:rPr>
              <w:t>ND</w:t>
            </w:r>
          </w:p>
        </w:tc>
        <w:tc>
          <w:tcPr>
            <w:tcW w:w="254" w:type="pct"/>
            <w:vAlign w:val="center"/>
          </w:tcPr>
          <w:p w14:paraId="28993D20">
            <w:pPr>
              <w:pStyle w:val="78"/>
              <w:rPr>
                <w:rFonts w:cs="Times New Roman"/>
              </w:rPr>
            </w:pPr>
            <w:r>
              <w:rPr>
                <w:rFonts w:cs="Times New Roman"/>
              </w:rPr>
              <w:t>——</w:t>
            </w:r>
          </w:p>
        </w:tc>
        <w:tc>
          <w:tcPr>
            <w:tcW w:w="256" w:type="pct"/>
            <w:vAlign w:val="center"/>
          </w:tcPr>
          <w:p w14:paraId="19CAB6CA">
            <w:pPr>
              <w:pStyle w:val="78"/>
              <w:rPr>
                <w:rFonts w:cs="Times New Roman"/>
              </w:rPr>
            </w:pPr>
            <w:r>
              <w:rPr>
                <w:rFonts w:cs="Times New Roman"/>
              </w:rPr>
              <w:t>10.8</w:t>
            </w:r>
          </w:p>
        </w:tc>
        <w:tc>
          <w:tcPr>
            <w:tcW w:w="205" w:type="pct"/>
            <w:vAlign w:val="center"/>
          </w:tcPr>
          <w:p w14:paraId="10D325C6">
            <w:pPr>
              <w:pStyle w:val="78"/>
              <w:rPr>
                <w:rFonts w:cs="Times New Roman"/>
              </w:rPr>
            </w:pPr>
            <w:r>
              <w:rPr>
                <w:rFonts w:cs="Times New Roman"/>
              </w:rPr>
              <w:t>ND</w:t>
            </w:r>
          </w:p>
        </w:tc>
        <w:tc>
          <w:tcPr>
            <w:tcW w:w="450" w:type="pct"/>
            <w:vAlign w:val="center"/>
          </w:tcPr>
          <w:p w14:paraId="0F5CCDDC">
            <w:pPr>
              <w:pStyle w:val="78"/>
              <w:rPr>
                <w:rFonts w:cs="Times New Roman"/>
              </w:rPr>
            </w:pPr>
            <w:r>
              <w:rPr>
                <w:rFonts w:cs="Times New Roman"/>
              </w:rPr>
              <w:t>0.048</w:t>
            </w:r>
          </w:p>
        </w:tc>
      </w:tr>
      <w:tr w14:paraId="2C79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4BCEE63F">
            <w:pPr>
              <w:pStyle w:val="78"/>
              <w:rPr>
                <w:rFonts w:cs="Times New Roman"/>
              </w:rPr>
            </w:pPr>
          </w:p>
        </w:tc>
        <w:tc>
          <w:tcPr>
            <w:tcW w:w="318" w:type="pct"/>
            <w:vMerge w:val="continue"/>
            <w:vAlign w:val="center"/>
          </w:tcPr>
          <w:p w14:paraId="5B63E6D0">
            <w:pPr>
              <w:pStyle w:val="78"/>
              <w:rPr>
                <w:rFonts w:cs="Times New Roman"/>
              </w:rPr>
            </w:pPr>
          </w:p>
        </w:tc>
        <w:tc>
          <w:tcPr>
            <w:tcW w:w="387" w:type="pct"/>
            <w:vAlign w:val="center"/>
          </w:tcPr>
          <w:p w14:paraId="229A90EE">
            <w:pPr>
              <w:pStyle w:val="78"/>
              <w:rPr>
                <w:rFonts w:cs="Times New Roman"/>
              </w:rPr>
            </w:pPr>
            <w:r>
              <w:rPr>
                <w:rFonts w:cs="Times New Roman"/>
              </w:rPr>
              <w:t>4.0~4.5m</w:t>
            </w:r>
          </w:p>
        </w:tc>
        <w:tc>
          <w:tcPr>
            <w:tcW w:w="385" w:type="pct"/>
            <w:vAlign w:val="center"/>
          </w:tcPr>
          <w:p w14:paraId="1EB6CC5C">
            <w:pPr>
              <w:pStyle w:val="78"/>
              <w:rPr>
                <w:rFonts w:cs="Times New Roman"/>
              </w:rPr>
            </w:pPr>
            <w:r>
              <w:rPr>
                <w:rFonts w:cs="Times New Roman"/>
              </w:rPr>
              <w:t>4.53</w:t>
            </w:r>
          </w:p>
        </w:tc>
        <w:tc>
          <w:tcPr>
            <w:tcW w:w="296" w:type="pct"/>
            <w:vAlign w:val="center"/>
          </w:tcPr>
          <w:p w14:paraId="65CAAD5A">
            <w:pPr>
              <w:pStyle w:val="78"/>
              <w:rPr>
                <w:rFonts w:cs="Times New Roman"/>
              </w:rPr>
            </w:pPr>
            <w:r>
              <w:rPr>
                <w:rFonts w:cs="Times New Roman"/>
              </w:rPr>
              <w:t>ND</w:t>
            </w:r>
          </w:p>
        </w:tc>
        <w:tc>
          <w:tcPr>
            <w:tcW w:w="297" w:type="pct"/>
            <w:vAlign w:val="center"/>
          </w:tcPr>
          <w:p w14:paraId="2B693DEC">
            <w:pPr>
              <w:pStyle w:val="78"/>
              <w:rPr>
                <w:rFonts w:cs="Times New Roman"/>
              </w:rPr>
            </w:pPr>
            <w:r>
              <w:rPr>
                <w:rFonts w:cs="Times New Roman"/>
              </w:rPr>
              <w:t>0.004</w:t>
            </w:r>
          </w:p>
        </w:tc>
        <w:tc>
          <w:tcPr>
            <w:tcW w:w="297" w:type="pct"/>
            <w:vAlign w:val="center"/>
          </w:tcPr>
          <w:p w14:paraId="7F79539B">
            <w:pPr>
              <w:pStyle w:val="78"/>
              <w:rPr>
                <w:rFonts w:cs="Times New Roman"/>
              </w:rPr>
            </w:pPr>
            <w:r>
              <w:rPr>
                <w:rFonts w:cs="Times New Roman"/>
              </w:rPr>
              <w:t>0.80</w:t>
            </w:r>
          </w:p>
        </w:tc>
        <w:tc>
          <w:tcPr>
            <w:tcW w:w="296" w:type="pct"/>
            <w:vAlign w:val="center"/>
          </w:tcPr>
          <w:p w14:paraId="6C896F72">
            <w:pPr>
              <w:pStyle w:val="78"/>
              <w:rPr>
                <w:rFonts w:cs="Times New Roman"/>
              </w:rPr>
            </w:pPr>
            <w:r>
              <w:rPr>
                <w:rFonts w:cs="Times New Roman"/>
              </w:rPr>
              <w:t>1</w:t>
            </w:r>
          </w:p>
        </w:tc>
        <w:tc>
          <w:tcPr>
            <w:tcW w:w="297" w:type="pct"/>
            <w:vAlign w:val="center"/>
          </w:tcPr>
          <w:p w14:paraId="6F855848">
            <w:pPr>
              <w:pStyle w:val="78"/>
              <w:rPr>
                <w:rFonts w:cs="Times New Roman"/>
              </w:rPr>
            </w:pPr>
            <w:r>
              <w:rPr>
                <w:rFonts w:cs="Times New Roman"/>
              </w:rPr>
              <w:t>10</w:t>
            </w:r>
          </w:p>
        </w:tc>
        <w:tc>
          <w:tcPr>
            <w:tcW w:w="297" w:type="pct"/>
            <w:vAlign w:val="center"/>
          </w:tcPr>
          <w:p w14:paraId="6998A356">
            <w:pPr>
              <w:pStyle w:val="78"/>
              <w:rPr>
                <w:rFonts w:cs="Times New Roman"/>
              </w:rPr>
            </w:pPr>
            <w:r>
              <w:rPr>
                <w:rFonts w:cs="Times New Roman"/>
              </w:rPr>
              <w:t>ND</w:t>
            </w:r>
          </w:p>
        </w:tc>
        <w:tc>
          <w:tcPr>
            <w:tcW w:w="297" w:type="pct"/>
            <w:vAlign w:val="center"/>
          </w:tcPr>
          <w:p w14:paraId="1FBF0AB6">
            <w:pPr>
              <w:pStyle w:val="78"/>
              <w:rPr>
                <w:rFonts w:cs="Times New Roman"/>
              </w:rPr>
            </w:pPr>
            <w:r>
              <w:rPr>
                <w:rFonts w:cs="Times New Roman"/>
              </w:rPr>
              <w:t>12</w:t>
            </w:r>
          </w:p>
        </w:tc>
        <w:tc>
          <w:tcPr>
            <w:tcW w:w="261" w:type="pct"/>
            <w:vAlign w:val="center"/>
          </w:tcPr>
          <w:p w14:paraId="7F0AB43E">
            <w:pPr>
              <w:pStyle w:val="78"/>
              <w:rPr>
                <w:rFonts w:cs="Times New Roman"/>
              </w:rPr>
            </w:pPr>
            <w:r>
              <w:rPr>
                <w:rFonts w:cs="Times New Roman"/>
              </w:rPr>
              <w:t>ND</w:t>
            </w:r>
          </w:p>
        </w:tc>
        <w:tc>
          <w:tcPr>
            <w:tcW w:w="254" w:type="pct"/>
            <w:vAlign w:val="center"/>
          </w:tcPr>
          <w:p w14:paraId="58B19D57">
            <w:pPr>
              <w:pStyle w:val="78"/>
              <w:rPr>
                <w:rFonts w:cs="Times New Roman"/>
              </w:rPr>
            </w:pPr>
            <w:r>
              <w:rPr>
                <w:rFonts w:cs="Times New Roman"/>
              </w:rPr>
              <w:t>——</w:t>
            </w:r>
          </w:p>
        </w:tc>
        <w:tc>
          <w:tcPr>
            <w:tcW w:w="256" w:type="pct"/>
            <w:vAlign w:val="center"/>
          </w:tcPr>
          <w:p w14:paraId="30EE0552">
            <w:pPr>
              <w:pStyle w:val="78"/>
              <w:rPr>
                <w:rFonts w:cs="Times New Roman"/>
              </w:rPr>
            </w:pPr>
            <w:r>
              <w:rPr>
                <w:rFonts w:cs="Times New Roman"/>
              </w:rPr>
              <w:t>12.2</w:t>
            </w:r>
          </w:p>
        </w:tc>
        <w:tc>
          <w:tcPr>
            <w:tcW w:w="205" w:type="pct"/>
            <w:vAlign w:val="center"/>
          </w:tcPr>
          <w:p w14:paraId="364EF827">
            <w:pPr>
              <w:pStyle w:val="78"/>
              <w:rPr>
                <w:rFonts w:cs="Times New Roman"/>
              </w:rPr>
            </w:pPr>
            <w:r>
              <w:rPr>
                <w:rFonts w:cs="Times New Roman"/>
              </w:rPr>
              <w:t>ND</w:t>
            </w:r>
          </w:p>
        </w:tc>
        <w:tc>
          <w:tcPr>
            <w:tcW w:w="450" w:type="pct"/>
            <w:vAlign w:val="center"/>
          </w:tcPr>
          <w:p w14:paraId="0E92B016">
            <w:pPr>
              <w:pStyle w:val="78"/>
              <w:rPr>
                <w:rFonts w:cs="Times New Roman"/>
              </w:rPr>
            </w:pPr>
            <w:r>
              <w:rPr>
                <w:rFonts w:cs="Times New Roman"/>
              </w:rPr>
              <w:t>0.060</w:t>
            </w:r>
          </w:p>
        </w:tc>
      </w:tr>
      <w:tr w14:paraId="360F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restart"/>
            <w:vAlign w:val="center"/>
          </w:tcPr>
          <w:p w14:paraId="5C8B8446">
            <w:pPr>
              <w:pStyle w:val="78"/>
              <w:rPr>
                <w:rFonts w:cs="Times New Roman"/>
              </w:rPr>
            </w:pPr>
            <w:r>
              <w:rPr>
                <w:rFonts w:cs="Times New Roman"/>
              </w:rPr>
              <w:t>2023.08.18</w:t>
            </w:r>
          </w:p>
        </w:tc>
        <w:tc>
          <w:tcPr>
            <w:tcW w:w="318" w:type="pct"/>
            <w:vMerge w:val="restart"/>
            <w:vAlign w:val="center"/>
          </w:tcPr>
          <w:p w14:paraId="6F5E577B">
            <w:pPr>
              <w:pStyle w:val="78"/>
              <w:rPr>
                <w:rFonts w:cs="Times New Roman"/>
              </w:rPr>
            </w:pPr>
            <w:r>
              <w:rPr>
                <w:rFonts w:cs="Times New Roman"/>
              </w:rPr>
              <w:t>SH-4</w:t>
            </w:r>
          </w:p>
        </w:tc>
        <w:tc>
          <w:tcPr>
            <w:tcW w:w="387" w:type="pct"/>
            <w:vAlign w:val="center"/>
          </w:tcPr>
          <w:p w14:paraId="114EF2A9">
            <w:pPr>
              <w:pStyle w:val="78"/>
              <w:rPr>
                <w:rFonts w:cs="Times New Roman"/>
              </w:rPr>
            </w:pPr>
            <w:r>
              <w:rPr>
                <w:rFonts w:cs="Times New Roman"/>
              </w:rPr>
              <w:t>0~0.5m</w:t>
            </w:r>
          </w:p>
        </w:tc>
        <w:tc>
          <w:tcPr>
            <w:tcW w:w="385" w:type="pct"/>
            <w:vAlign w:val="center"/>
          </w:tcPr>
          <w:p w14:paraId="1CC0034E">
            <w:pPr>
              <w:pStyle w:val="78"/>
              <w:rPr>
                <w:rFonts w:cs="Times New Roman"/>
              </w:rPr>
            </w:pPr>
            <w:r>
              <w:rPr>
                <w:rFonts w:cs="Times New Roman"/>
              </w:rPr>
              <w:t>5.63</w:t>
            </w:r>
          </w:p>
        </w:tc>
        <w:tc>
          <w:tcPr>
            <w:tcW w:w="296" w:type="pct"/>
            <w:vAlign w:val="center"/>
          </w:tcPr>
          <w:p w14:paraId="0D4B8CDF">
            <w:pPr>
              <w:pStyle w:val="78"/>
              <w:rPr>
                <w:rFonts w:cs="Times New Roman"/>
              </w:rPr>
            </w:pPr>
            <w:r>
              <w:rPr>
                <w:rFonts w:cs="Times New Roman"/>
              </w:rPr>
              <w:t>ND</w:t>
            </w:r>
          </w:p>
        </w:tc>
        <w:tc>
          <w:tcPr>
            <w:tcW w:w="297" w:type="pct"/>
            <w:vAlign w:val="center"/>
          </w:tcPr>
          <w:p w14:paraId="26681012">
            <w:pPr>
              <w:pStyle w:val="78"/>
              <w:rPr>
                <w:rFonts w:cs="Times New Roman"/>
              </w:rPr>
            </w:pPr>
            <w:r>
              <w:rPr>
                <w:rFonts w:cs="Times New Roman"/>
              </w:rPr>
              <w:t>0.009</w:t>
            </w:r>
          </w:p>
        </w:tc>
        <w:tc>
          <w:tcPr>
            <w:tcW w:w="297" w:type="pct"/>
            <w:vAlign w:val="center"/>
          </w:tcPr>
          <w:p w14:paraId="013D39D7">
            <w:pPr>
              <w:pStyle w:val="78"/>
              <w:rPr>
                <w:rFonts w:cs="Times New Roman"/>
              </w:rPr>
            </w:pPr>
            <w:r>
              <w:rPr>
                <w:rFonts w:cs="Times New Roman"/>
              </w:rPr>
              <w:t>2.13</w:t>
            </w:r>
          </w:p>
        </w:tc>
        <w:tc>
          <w:tcPr>
            <w:tcW w:w="296" w:type="pct"/>
            <w:vAlign w:val="center"/>
          </w:tcPr>
          <w:p w14:paraId="24E0A288">
            <w:pPr>
              <w:pStyle w:val="78"/>
              <w:rPr>
                <w:rFonts w:cs="Times New Roman"/>
              </w:rPr>
            </w:pPr>
            <w:r>
              <w:rPr>
                <w:rFonts w:cs="Times New Roman"/>
              </w:rPr>
              <w:t>4</w:t>
            </w:r>
          </w:p>
        </w:tc>
        <w:tc>
          <w:tcPr>
            <w:tcW w:w="297" w:type="pct"/>
            <w:vAlign w:val="center"/>
          </w:tcPr>
          <w:p w14:paraId="58C80270">
            <w:pPr>
              <w:pStyle w:val="78"/>
              <w:rPr>
                <w:rFonts w:cs="Times New Roman"/>
              </w:rPr>
            </w:pPr>
            <w:r>
              <w:rPr>
                <w:rFonts w:cs="Times New Roman"/>
              </w:rPr>
              <w:t>16</w:t>
            </w:r>
          </w:p>
        </w:tc>
        <w:tc>
          <w:tcPr>
            <w:tcW w:w="297" w:type="pct"/>
            <w:vAlign w:val="center"/>
          </w:tcPr>
          <w:p w14:paraId="0C126F86">
            <w:pPr>
              <w:pStyle w:val="78"/>
              <w:rPr>
                <w:rFonts w:cs="Times New Roman"/>
              </w:rPr>
            </w:pPr>
            <w:r>
              <w:rPr>
                <w:rFonts w:cs="Times New Roman"/>
              </w:rPr>
              <w:t>5</w:t>
            </w:r>
          </w:p>
        </w:tc>
        <w:tc>
          <w:tcPr>
            <w:tcW w:w="297" w:type="pct"/>
            <w:vAlign w:val="center"/>
          </w:tcPr>
          <w:p w14:paraId="3A4D27F8">
            <w:pPr>
              <w:pStyle w:val="78"/>
              <w:rPr>
                <w:rFonts w:cs="Times New Roman"/>
              </w:rPr>
            </w:pPr>
            <w:r>
              <w:rPr>
                <w:rFonts w:cs="Times New Roman"/>
              </w:rPr>
              <w:t>18</w:t>
            </w:r>
          </w:p>
        </w:tc>
        <w:tc>
          <w:tcPr>
            <w:tcW w:w="261" w:type="pct"/>
            <w:vAlign w:val="center"/>
          </w:tcPr>
          <w:p w14:paraId="3D032917">
            <w:pPr>
              <w:pStyle w:val="78"/>
              <w:rPr>
                <w:rFonts w:cs="Times New Roman"/>
              </w:rPr>
            </w:pPr>
            <w:r>
              <w:rPr>
                <w:rFonts w:cs="Times New Roman"/>
              </w:rPr>
              <w:t>ND</w:t>
            </w:r>
          </w:p>
        </w:tc>
        <w:tc>
          <w:tcPr>
            <w:tcW w:w="254" w:type="pct"/>
            <w:vAlign w:val="center"/>
          </w:tcPr>
          <w:p w14:paraId="3D4C2295">
            <w:pPr>
              <w:pStyle w:val="78"/>
              <w:rPr>
                <w:rFonts w:cs="Times New Roman"/>
              </w:rPr>
            </w:pPr>
            <w:r>
              <w:rPr>
                <w:rFonts w:cs="Times New Roman"/>
              </w:rPr>
              <w:t>——</w:t>
            </w:r>
          </w:p>
        </w:tc>
        <w:tc>
          <w:tcPr>
            <w:tcW w:w="256" w:type="pct"/>
            <w:vAlign w:val="center"/>
          </w:tcPr>
          <w:p w14:paraId="2CD7960E">
            <w:pPr>
              <w:pStyle w:val="78"/>
              <w:rPr>
                <w:rFonts w:cs="Times New Roman"/>
              </w:rPr>
            </w:pPr>
            <w:r>
              <w:rPr>
                <w:rFonts w:cs="Times New Roman"/>
              </w:rPr>
              <w:t>17.6</w:t>
            </w:r>
          </w:p>
        </w:tc>
        <w:tc>
          <w:tcPr>
            <w:tcW w:w="205" w:type="pct"/>
            <w:vAlign w:val="center"/>
          </w:tcPr>
          <w:p w14:paraId="65A46E73">
            <w:pPr>
              <w:pStyle w:val="78"/>
              <w:rPr>
                <w:rFonts w:cs="Times New Roman"/>
              </w:rPr>
            </w:pPr>
            <w:r>
              <w:rPr>
                <w:rFonts w:cs="Times New Roman"/>
              </w:rPr>
              <w:t>ND</w:t>
            </w:r>
          </w:p>
        </w:tc>
        <w:tc>
          <w:tcPr>
            <w:tcW w:w="450" w:type="pct"/>
            <w:vAlign w:val="center"/>
          </w:tcPr>
          <w:p w14:paraId="702E2A09">
            <w:pPr>
              <w:pStyle w:val="78"/>
              <w:rPr>
                <w:rFonts w:cs="Times New Roman"/>
              </w:rPr>
            </w:pPr>
            <w:r>
              <w:rPr>
                <w:rFonts w:cs="Times New Roman"/>
              </w:rPr>
              <w:t>0.061</w:t>
            </w:r>
          </w:p>
        </w:tc>
      </w:tr>
      <w:tr w14:paraId="246F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0D1D418B">
            <w:pPr>
              <w:pStyle w:val="78"/>
              <w:rPr>
                <w:rFonts w:cs="Times New Roman"/>
              </w:rPr>
            </w:pPr>
          </w:p>
        </w:tc>
        <w:tc>
          <w:tcPr>
            <w:tcW w:w="318" w:type="pct"/>
            <w:vMerge w:val="continue"/>
            <w:vAlign w:val="center"/>
          </w:tcPr>
          <w:p w14:paraId="36681803">
            <w:pPr>
              <w:pStyle w:val="78"/>
              <w:rPr>
                <w:rFonts w:cs="Times New Roman"/>
              </w:rPr>
            </w:pPr>
          </w:p>
        </w:tc>
        <w:tc>
          <w:tcPr>
            <w:tcW w:w="387" w:type="pct"/>
            <w:vAlign w:val="center"/>
          </w:tcPr>
          <w:p w14:paraId="526DEC80">
            <w:pPr>
              <w:pStyle w:val="78"/>
              <w:rPr>
                <w:rFonts w:cs="Times New Roman"/>
              </w:rPr>
            </w:pPr>
            <w:r>
              <w:rPr>
                <w:rFonts w:cs="Times New Roman"/>
              </w:rPr>
              <w:t>1.0~1.5m</w:t>
            </w:r>
          </w:p>
        </w:tc>
        <w:tc>
          <w:tcPr>
            <w:tcW w:w="385" w:type="pct"/>
            <w:vAlign w:val="center"/>
          </w:tcPr>
          <w:p w14:paraId="5E16DA4B">
            <w:pPr>
              <w:pStyle w:val="78"/>
              <w:rPr>
                <w:rFonts w:cs="Times New Roman"/>
              </w:rPr>
            </w:pPr>
            <w:r>
              <w:rPr>
                <w:rFonts w:cs="Times New Roman"/>
              </w:rPr>
              <w:t>5.05</w:t>
            </w:r>
          </w:p>
        </w:tc>
        <w:tc>
          <w:tcPr>
            <w:tcW w:w="296" w:type="pct"/>
            <w:vAlign w:val="center"/>
          </w:tcPr>
          <w:p w14:paraId="2DC14963">
            <w:pPr>
              <w:pStyle w:val="78"/>
              <w:rPr>
                <w:rFonts w:cs="Times New Roman"/>
              </w:rPr>
            </w:pPr>
            <w:r>
              <w:rPr>
                <w:rFonts w:cs="Times New Roman"/>
              </w:rPr>
              <w:t>ND</w:t>
            </w:r>
          </w:p>
        </w:tc>
        <w:tc>
          <w:tcPr>
            <w:tcW w:w="297" w:type="pct"/>
            <w:vAlign w:val="center"/>
          </w:tcPr>
          <w:p w14:paraId="6B292225">
            <w:pPr>
              <w:pStyle w:val="78"/>
              <w:rPr>
                <w:rFonts w:cs="Times New Roman"/>
              </w:rPr>
            </w:pPr>
            <w:r>
              <w:rPr>
                <w:rFonts w:cs="Times New Roman"/>
              </w:rPr>
              <w:t>0.011</w:t>
            </w:r>
          </w:p>
        </w:tc>
        <w:tc>
          <w:tcPr>
            <w:tcW w:w="297" w:type="pct"/>
            <w:vAlign w:val="center"/>
          </w:tcPr>
          <w:p w14:paraId="240FD4B6">
            <w:pPr>
              <w:pStyle w:val="78"/>
              <w:rPr>
                <w:rFonts w:cs="Times New Roman"/>
              </w:rPr>
            </w:pPr>
            <w:r>
              <w:rPr>
                <w:rFonts w:cs="Times New Roman"/>
              </w:rPr>
              <w:t>1.60</w:t>
            </w:r>
          </w:p>
        </w:tc>
        <w:tc>
          <w:tcPr>
            <w:tcW w:w="296" w:type="pct"/>
            <w:vAlign w:val="center"/>
          </w:tcPr>
          <w:p w14:paraId="0E6019EB">
            <w:pPr>
              <w:pStyle w:val="78"/>
              <w:rPr>
                <w:rFonts w:cs="Times New Roman"/>
              </w:rPr>
            </w:pPr>
            <w:r>
              <w:rPr>
                <w:rFonts w:cs="Times New Roman"/>
              </w:rPr>
              <w:t>2</w:t>
            </w:r>
          </w:p>
        </w:tc>
        <w:tc>
          <w:tcPr>
            <w:tcW w:w="297" w:type="pct"/>
            <w:vAlign w:val="center"/>
          </w:tcPr>
          <w:p w14:paraId="17CF1102">
            <w:pPr>
              <w:pStyle w:val="78"/>
              <w:rPr>
                <w:rFonts w:cs="Times New Roman"/>
              </w:rPr>
            </w:pPr>
            <w:r>
              <w:rPr>
                <w:rFonts w:cs="Times New Roman"/>
              </w:rPr>
              <w:t>11</w:t>
            </w:r>
          </w:p>
        </w:tc>
        <w:tc>
          <w:tcPr>
            <w:tcW w:w="297" w:type="pct"/>
            <w:vAlign w:val="center"/>
          </w:tcPr>
          <w:p w14:paraId="7DCC3BE3">
            <w:pPr>
              <w:pStyle w:val="78"/>
              <w:rPr>
                <w:rFonts w:cs="Times New Roman"/>
              </w:rPr>
            </w:pPr>
            <w:r>
              <w:rPr>
                <w:rFonts w:cs="Times New Roman"/>
              </w:rPr>
              <w:t>4</w:t>
            </w:r>
          </w:p>
        </w:tc>
        <w:tc>
          <w:tcPr>
            <w:tcW w:w="297" w:type="pct"/>
            <w:vAlign w:val="center"/>
          </w:tcPr>
          <w:p w14:paraId="1F225C38">
            <w:pPr>
              <w:pStyle w:val="78"/>
              <w:rPr>
                <w:rFonts w:cs="Times New Roman"/>
              </w:rPr>
            </w:pPr>
            <w:r>
              <w:rPr>
                <w:rFonts w:cs="Times New Roman"/>
              </w:rPr>
              <w:t>14</w:t>
            </w:r>
          </w:p>
        </w:tc>
        <w:tc>
          <w:tcPr>
            <w:tcW w:w="261" w:type="pct"/>
            <w:vAlign w:val="center"/>
          </w:tcPr>
          <w:p w14:paraId="0438816D">
            <w:pPr>
              <w:pStyle w:val="78"/>
              <w:rPr>
                <w:rFonts w:cs="Times New Roman"/>
              </w:rPr>
            </w:pPr>
            <w:r>
              <w:rPr>
                <w:rFonts w:cs="Times New Roman"/>
              </w:rPr>
              <w:t>ND</w:t>
            </w:r>
          </w:p>
        </w:tc>
        <w:tc>
          <w:tcPr>
            <w:tcW w:w="254" w:type="pct"/>
            <w:vAlign w:val="center"/>
          </w:tcPr>
          <w:p w14:paraId="06C9E51A">
            <w:pPr>
              <w:pStyle w:val="78"/>
              <w:rPr>
                <w:rFonts w:cs="Times New Roman"/>
              </w:rPr>
            </w:pPr>
            <w:r>
              <w:rPr>
                <w:rFonts w:cs="Times New Roman"/>
              </w:rPr>
              <w:t>——</w:t>
            </w:r>
          </w:p>
        </w:tc>
        <w:tc>
          <w:tcPr>
            <w:tcW w:w="256" w:type="pct"/>
            <w:vAlign w:val="center"/>
          </w:tcPr>
          <w:p w14:paraId="0A66DA42">
            <w:pPr>
              <w:pStyle w:val="78"/>
              <w:rPr>
                <w:rFonts w:cs="Times New Roman"/>
              </w:rPr>
            </w:pPr>
            <w:r>
              <w:rPr>
                <w:rFonts w:cs="Times New Roman"/>
              </w:rPr>
              <w:t>14.2</w:t>
            </w:r>
          </w:p>
        </w:tc>
        <w:tc>
          <w:tcPr>
            <w:tcW w:w="205" w:type="pct"/>
            <w:vAlign w:val="center"/>
          </w:tcPr>
          <w:p w14:paraId="26CFD837">
            <w:pPr>
              <w:pStyle w:val="78"/>
              <w:rPr>
                <w:rFonts w:cs="Times New Roman"/>
              </w:rPr>
            </w:pPr>
            <w:r>
              <w:rPr>
                <w:rFonts w:cs="Times New Roman"/>
              </w:rPr>
              <w:t>ND</w:t>
            </w:r>
          </w:p>
        </w:tc>
        <w:tc>
          <w:tcPr>
            <w:tcW w:w="450" w:type="pct"/>
            <w:vAlign w:val="center"/>
          </w:tcPr>
          <w:p w14:paraId="0EA67F57">
            <w:pPr>
              <w:pStyle w:val="78"/>
              <w:rPr>
                <w:rFonts w:cs="Times New Roman"/>
              </w:rPr>
            </w:pPr>
            <w:r>
              <w:rPr>
                <w:rFonts w:cs="Times New Roman"/>
              </w:rPr>
              <w:t>0.15</w:t>
            </w:r>
          </w:p>
        </w:tc>
      </w:tr>
      <w:tr w14:paraId="5796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71F482CF">
            <w:pPr>
              <w:pStyle w:val="78"/>
              <w:rPr>
                <w:rFonts w:cs="Times New Roman"/>
              </w:rPr>
            </w:pPr>
          </w:p>
        </w:tc>
        <w:tc>
          <w:tcPr>
            <w:tcW w:w="318" w:type="pct"/>
            <w:vMerge w:val="continue"/>
            <w:vAlign w:val="center"/>
          </w:tcPr>
          <w:p w14:paraId="4C4B2E18">
            <w:pPr>
              <w:pStyle w:val="78"/>
              <w:rPr>
                <w:rFonts w:cs="Times New Roman"/>
              </w:rPr>
            </w:pPr>
          </w:p>
        </w:tc>
        <w:tc>
          <w:tcPr>
            <w:tcW w:w="387" w:type="pct"/>
            <w:vAlign w:val="center"/>
          </w:tcPr>
          <w:p w14:paraId="7B3421F6">
            <w:pPr>
              <w:pStyle w:val="78"/>
              <w:rPr>
                <w:rFonts w:cs="Times New Roman"/>
              </w:rPr>
            </w:pPr>
            <w:r>
              <w:rPr>
                <w:rFonts w:cs="Times New Roman"/>
              </w:rPr>
              <w:t>2.0~2.5m</w:t>
            </w:r>
          </w:p>
        </w:tc>
        <w:tc>
          <w:tcPr>
            <w:tcW w:w="385" w:type="pct"/>
            <w:vAlign w:val="center"/>
          </w:tcPr>
          <w:p w14:paraId="1A07D301">
            <w:pPr>
              <w:pStyle w:val="78"/>
              <w:rPr>
                <w:rFonts w:cs="Times New Roman"/>
              </w:rPr>
            </w:pPr>
            <w:r>
              <w:rPr>
                <w:rFonts w:cs="Times New Roman"/>
              </w:rPr>
              <w:t>4.94</w:t>
            </w:r>
          </w:p>
        </w:tc>
        <w:tc>
          <w:tcPr>
            <w:tcW w:w="296" w:type="pct"/>
            <w:vAlign w:val="center"/>
          </w:tcPr>
          <w:p w14:paraId="393691EC">
            <w:pPr>
              <w:pStyle w:val="78"/>
              <w:rPr>
                <w:rFonts w:cs="Times New Roman"/>
              </w:rPr>
            </w:pPr>
            <w:r>
              <w:rPr>
                <w:rFonts w:cs="Times New Roman"/>
              </w:rPr>
              <w:t>ND</w:t>
            </w:r>
          </w:p>
        </w:tc>
        <w:tc>
          <w:tcPr>
            <w:tcW w:w="297" w:type="pct"/>
            <w:vAlign w:val="center"/>
          </w:tcPr>
          <w:p w14:paraId="7D88EC4A">
            <w:pPr>
              <w:pStyle w:val="78"/>
              <w:rPr>
                <w:rFonts w:cs="Times New Roman"/>
              </w:rPr>
            </w:pPr>
            <w:r>
              <w:rPr>
                <w:rFonts w:cs="Times New Roman"/>
              </w:rPr>
              <w:t>0.008</w:t>
            </w:r>
          </w:p>
        </w:tc>
        <w:tc>
          <w:tcPr>
            <w:tcW w:w="297" w:type="pct"/>
            <w:vAlign w:val="center"/>
          </w:tcPr>
          <w:p w14:paraId="08DDBFC2">
            <w:pPr>
              <w:pStyle w:val="78"/>
              <w:rPr>
                <w:rFonts w:cs="Times New Roman"/>
              </w:rPr>
            </w:pPr>
            <w:r>
              <w:rPr>
                <w:rFonts w:cs="Times New Roman"/>
              </w:rPr>
              <w:t>0.79</w:t>
            </w:r>
          </w:p>
        </w:tc>
        <w:tc>
          <w:tcPr>
            <w:tcW w:w="296" w:type="pct"/>
            <w:vAlign w:val="center"/>
          </w:tcPr>
          <w:p w14:paraId="3E12261B">
            <w:pPr>
              <w:pStyle w:val="78"/>
              <w:rPr>
                <w:rFonts w:cs="Times New Roman"/>
              </w:rPr>
            </w:pPr>
            <w:r>
              <w:rPr>
                <w:rFonts w:cs="Times New Roman"/>
              </w:rPr>
              <w:t>2</w:t>
            </w:r>
          </w:p>
        </w:tc>
        <w:tc>
          <w:tcPr>
            <w:tcW w:w="297" w:type="pct"/>
            <w:vAlign w:val="center"/>
          </w:tcPr>
          <w:p w14:paraId="594CAF3A">
            <w:pPr>
              <w:pStyle w:val="78"/>
              <w:rPr>
                <w:rFonts w:cs="Times New Roman"/>
              </w:rPr>
            </w:pPr>
            <w:r>
              <w:rPr>
                <w:rFonts w:cs="Times New Roman"/>
              </w:rPr>
              <w:t>20</w:t>
            </w:r>
          </w:p>
        </w:tc>
        <w:tc>
          <w:tcPr>
            <w:tcW w:w="297" w:type="pct"/>
            <w:vAlign w:val="center"/>
          </w:tcPr>
          <w:p w14:paraId="6DEB209B">
            <w:pPr>
              <w:pStyle w:val="78"/>
              <w:rPr>
                <w:rFonts w:cs="Times New Roman"/>
              </w:rPr>
            </w:pPr>
            <w:r>
              <w:rPr>
                <w:rFonts w:cs="Times New Roman"/>
              </w:rPr>
              <w:t>6</w:t>
            </w:r>
          </w:p>
        </w:tc>
        <w:tc>
          <w:tcPr>
            <w:tcW w:w="297" w:type="pct"/>
            <w:vAlign w:val="center"/>
          </w:tcPr>
          <w:p w14:paraId="704EC0A8">
            <w:pPr>
              <w:pStyle w:val="78"/>
              <w:rPr>
                <w:rFonts w:cs="Times New Roman"/>
              </w:rPr>
            </w:pPr>
            <w:r>
              <w:rPr>
                <w:rFonts w:cs="Times New Roman"/>
              </w:rPr>
              <w:t>20</w:t>
            </w:r>
          </w:p>
        </w:tc>
        <w:tc>
          <w:tcPr>
            <w:tcW w:w="261" w:type="pct"/>
            <w:vAlign w:val="center"/>
          </w:tcPr>
          <w:p w14:paraId="1841F208">
            <w:pPr>
              <w:pStyle w:val="78"/>
              <w:rPr>
                <w:rFonts w:cs="Times New Roman"/>
              </w:rPr>
            </w:pPr>
            <w:r>
              <w:rPr>
                <w:rFonts w:cs="Times New Roman"/>
              </w:rPr>
              <w:t>ND</w:t>
            </w:r>
          </w:p>
        </w:tc>
        <w:tc>
          <w:tcPr>
            <w:tcW w:w="254" w:type="pct"/>
            <w:vAlign w:val="center"/>
          </w:tcPr>
          <w:p w14:paraId="34EEE045">
            <w:pPr>
              <w:pStyle w:val="78"/>
              <w:rPr>
                <w:rFonts w:cs="Times New Roman"/>
              </w:rPr>
            </w:pPr>
            <w:r>
              <w:rPr>
                <w:rFonts w:cs="Times New Roman"/>
              </w:rPr>
              <w:t>——</w:t>
            </w:r>
          </w:p>
        </w:tc>
        <w:tc>
          <w:tcPr>
            <w:tcW w:w="256" w:type="pct"/>
            <w:vAlign w:val="center"/>
          </w:tcPr>
          <w:p w14:paraId="4B1E75DB">
            <w:pPr>
              <w:pStyle w:val="78"/>
              <w:rPr>
                <w:rFonts w:cs="Times New Roman"/>
              </w:rPr>
            </w:pPr>
            <w:r>
              <w:rPr>
                <w:rFonts w:cs="Times New Roman"/>
              </w:rPr>
              <w:t>20.0</w:t>
            </w:r>
          </w:p>
        </w:tc>
        <w:tc>
          <w:tcPr>
            <w:tcW w:w="205" w:type="pct"/>
            <w:vAlign w:val="center"/>
          </w:tcPr>
          <w:p w14:paraId="6A9C34A3">
            <w:pPr>
              <w:pStyle w:val="78"/>
              <w:rPr>
                <w:rFonts w:cs="Times New Roman"/>
              </w:rPr>
            </w:pPr>
            <w:r>
              <w:rPr>
                <w:rFonts w:cs="Times New Roman"/>
              </w:rPr>
              <w:t>ND</w:t>
            </w:r>
          </w:p>
        </w:tc>
        <w:tc>
          <w:tcPr>
            <w:tcW w:w="450" w:type="pct"/>
            <w:vAlign w:val="center"/>
          </w:tcPr>
          <w:p w14:paraId="059C4881">
            <w:pPr>
              <w:pStyle w:val="78"/>
              <w:rPr>
                <w:rFonts w:cs="Times New Roman"/>
              </w:rPr>
            </w:pPr>
            <w:r>
              <w:rPr>
                <w:rFonts w:cs="Times New Roman"/>
              </w:rPr>
              <w:t>0.069</w:t>
            </w:r>
          </w:p>
        </w:tc>
      </w:tr>
      <w:tr w14:paraId="2D98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38C63FE6">
            <w:pPr>
              <w:pStyle w:val="78"/>
              <w:rPr>
                <w:rFonts w:cs="Times New Roman"/>
              </w:rPr>
            </w:pPr>
          </w:p>
        </w:tc>
        <w:tc>
          <w:tcPr>
            <w:tcW w:w="318" w:type="pct"/>
            <w:vMerge w:val="continue"/>
            <w:vAlign w:val="center"/>
          </w:tcPr>
          <w:p w14:paraId="288E2290">
            <w:pPr>
              <w:pStyle w:val="78"/>
              <w:rPr>
                <w:rFonts w:cs="Times New Roman"/>
              </w:rPr>
            </w:pPr>
          </w:p>
        </w:tc>
        <w:tc>
          <w:tcPr>
            <w:tcW w:w="387" w:type="pct"/>
            <w:vAlign w:val="center"/>
          </w:tcPr>
          <w:p w14:paraId="6FD0B724">
            <w:pPr>
              <w:pStyle w:val="78"/>
              <w:rPr>
                <w:rFonts w:cs="Times New Roman"/>
              </w:rPr>
            </w:pPr>
            <w:r>
              <w:rPr>
                <w:rFonts w:cs="Times New Roman"/>
              </w:rPr>
              <w:t>4.0~4.5m</w:t>
            </w:r>
          </w:p>
        </w:tc>
        <w:tc>
          <w:tcPr>
            <w:tcW w:w="385" w:type="pct"/>
            <w:vAlign w:val="center"/>
          </w:tcPr>
          <w:p w14:paraId="350ECF33">
            <w:pPr>
              <w:pStyle w:val="78"/>
              <w:rPr>
                <w:rFonts w:cs="Times New Roman"/>
              </w:rPr>
            </w:pPr>
            <w:r>
              <w:rPr>
                <w:rFonts w:cs="Times New Roman"/>
              </w:rPr>
              <w:t>4.34</w:t>
            </w:r>
          </w:p>
        </w:tc>
        <w:tc>
          <w:tcPr>
            <w:tcW w:w="296" w:type="pct"/>
            <w:vAlign w:val="center"/>
          </w:tcPr>
          <w:p w14:paraId="142F9964">
            <w:pPr>
              <w:pStyle w:val="78"/>
              <w:rPr>
                <w:rFonts w:cs="Times New Roman"/>
              </w:rPr>
            </w:pPr>
            <w:r>
              <w:rPr>
                <w:rFonts w:cs="Times New Roman"/>
              </w:rPr>
              <w:t>ND</w:t>
            </w:r>
          </w:p>
        </w:tc>
        <w:tc>
          <w:tcPr>
            <w:tcW w:w="297" w:type="pct"/>
            <w:vAlign w:val="center"/>
          </w:tcPr>
          <w:p w14:paraId="011C5E35">
            <w:pPr>
              <w:pStyle w:val="78"/>
              <w:rPr>
                <w:rFonts w:cs="Times New Roman"/>
              </w:rPr>
            </w:pPr>
            <w:r>
              <w:rPr>
                <w:rFonts w:cs="Times New Roman"/>
              </w:rPr>
              <w:t>0.017</w:t>
            </w:r>
          </w:p>
        </w:tc>
        <w:tc>
          <w:tcPr>
            <w:tcW w:w="297" w:type="pct"/>
            <w:vAlign w:val="center"/>
          </w:tcPr>
          <w:p w14:paraId="3856D8AB">
            <w:pPr>
              <w:pStyle w:val="78"/>
              <w:rPr>
                <w:rFonts w:cs="Times New Roman"/>
              </w:rPr>
            </w:pPr>
            <w:r>
              <w:rPr>
                <w:rFonts w:cs="Times New Roman"/>
              </w:rPr>
              <w:t>3.21</w:t>
            </w:r>
          </w:p>
        </w:tc>
        <w:tc>
          <w:tcPr>
            <w:tcW w:w="296" w:type="pct"/>
            <w:vAlign w:val="center"/>
          </w:tcPr>
          <w:p w14:paraId="76C2E18D">
            <w:pPr>
              <w:pStyle w:val="78"/>
              <w:rPr>
                <w:rFonts w:cs="Times New Roman"/>
              </w:rPr>
            </w:pPr>
            <w:r>
              <w:rPr>
                <w:rFonts w:cs="Times New Roman"/>
              </w:rPr>
              <w:t>3</w:t>
            </w:r>
          </w:p>
        </w:tc>
        <w:tc>
          <w:tcPr>
            <w:tcW w:w="297" w:type="pct"/>
            <w:vAlign w:val="center"/>
          </w:tcPr>
          <w:p w14:paraId="2D53C3D4">
            <w:pPr>
              <w:pStyle w:val="78"/>
              <w:rPr>
                <w:rFonts w:cs="Times New Roman"/>
              </w:rPr>
            </w:pPr>
            <w:r>
              <w:rPr>
                <w:rFonts w:cs="Times New Roman"/>
              </w:rPr>
              <w:t>18</w:t>
            </w:r>
          </w:p>
        </w:tc>
        <w:tc>
          <w:tcPr>
            <w:tcW w:w="297" w:type="pct"/>
            <w:vAlign w:val="center"/>
          </w:tcPr>
          <w:p w14:paraId="018C5B2F">
            <w:pPr>
              <w:pStyle w:val="78"/>
              <w:rPr>
                <w:rFonts w:cs="Times New Roman"/>
              </w:rPr>
            </w:pPr>
            <w:r>
              <w:rPr>
                <w:rFonts w:cs="Times New Roman"/>
              </w:rPr>
              <w:t>14</w:t>
            </w:r>
          </w:p>
        </w:tc>
        <w:tc>
          <w:tcPr>
            <w:tcW w:w="297" w:type="pct"/>
            <w:vAlign w:val="center"/>
          </w:tcPr>
          <w:p w14:paraId="0092D246">
            <w:pPr>
              <w:pStyle w:val="78"/>
              <w:rPr>
                <w:rFonts w:cs="Times New Roman"/>
              </w:rPr>
            </w:pPr>
            <w:r>
              <w:rPr>
                <w:rFonts w:cs="Times New Roman"/>
              </w:rPr>
              <w:t>30</w:t>
            </w:r>
          </w:p>
        </w:tc>
        <w:tc>
          <w:tcPr>
            <w:tcW w:w="261" w:type="pct"/>
            <w:vAlign w:val="center"/>
          </w:tcPr>
          <w:p w14:paraId="1B9983C0">
            <w:pPr>
              <w:pStyle w:val="78"/>
              <w:rPr>
                <w:rFonts w:cs="Times New Roman"/>
              </w:rPr>
            </w:pPr>
            <w:r>
              <w:rPr>
                <w:rFonts w:cs="Times New Roman"/>
              </w:rPr>
              <w:t>ND</w:t>
            </w:r>
          </w:p>
        </w:tc>
        <w:tc>
          <w:tcPr>
            <w:tcW w:w="254" w:type="pct"/>
            <w:vAlign w:val="center"/>
          </w:tcPr>
          <w:p w14:paraId="6B602431">
            <w:pPr>
              <w:pStyle w:val="78"/>
              <w:rPr>
                <w:rFonts w:cs="Times New Roman"/>
              </w:rPr>
            </w:pPr>
            <w:r>
              <w:rPr>
                <w:rFonts w:cs="Times New Roman"/>
              </w:rPr>
              <w:t>——</w:t>
            </w:r>
          </w:p>
        </w:tc>
        <w:tc>
          <w:tcPr>
            <w:tcW w:w="256" w:type="pct"/>
            <w:vAlign w:val="center"/>
          </w:tcPr>
          <w:p w14:paraId="62594946">
            <w:pPr>
              <w:pStyle w:val="78"/>
              <w:rPr>
                <w:rFonts w:cs="Times New Roman"/>
              </w:rPr>
            </w:pPr>
            <w:r>
              <w:rPr>
                <w:rFonts w:cs="Times New Roman"/>
              </w:rPr>
              <w:t>41.9</w:t>
            </w:r>
          </w:p>
        </w:tc>
        <w:tc>
          <w:tcPr>
            <w:tcW w:w="205" w:type="pct"/>
            <w:vAlign w:val="center"/>
          </w:tcPr>
          <w:p w14:paraId="165CE005">
            <w:pPr>
              <w:pStyle w:val="78"/>
              <w:rPr>
                <w:rFonts w:cs="Times New Roman"/>
              </w:rPr>
            </w:pPr>
            <w:r>
              <w:rPr>
                <w:rFonts w:cs="Times New Roman"/>
              </w:rPr>
              <w:t>ND</w:t>
            </w:r>
          </w:p>
        </w:tc>
        <w:tc>
          <w:tcPr>
            <w:tcW w:w="450" w:type="pct"/>
            <w:vAlign w:val="center"/>
          </w:tcPr>
          <w:p w14:paraId="040ACE47">
            <w:pPr>
              <w:pStyle w:val="78"/>
              <w:rPr>
                <w:rFonts w:cs="Times New Roman"/>
              </w:rPr>
            </w:pPr>
            <w:r>
              <w:rPr>
                <w:rFonts w:cs="Times New Roman"/>
              </w:rPr>
              <w:t>0.069</w:t>
            </w:r>
          </w:p>
        </w:tc>
      </w:tr>
      <w:tr w14:paraId="38C3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3FDA1B16">
            <w:pPr>
              <w:pStyle w:val="78"/>
              <w:rPr>
                <w:rFonts w:cs="Times New Roman"/>
              </w:rPr>
            </w:pPr>
          </w:p>
        </w:tc>
        <w:tc>
          <w:tcPr>
            <w:tcW w:w="318" w:type="pct"/>
            <w:vMerge w:val="restart"/>
            <w:vAlign w:val="center"/>
          </w:tcPr>
          <w:p w14:paraId="2D4DF67B">
            <w:pPr>
              <w:pStyle w:val="78"/>
              <w:rPr>
                <w:rFonts w:cs="Times New Roman"/>
              </w:rPr>
            </w:pPr>
            <w:r>
              <w:rPr>
                <w:rFonts w:cs="Times New Roman"/>
              </w:rPr>
              <w:t>SH-5</w:t>
            </w:r>
          </w:p>
        </w:tc>
        <w:tc>
          <w:tcPr>
            <w:tcW w:w="387" w:type="pct"/>
            <w:vAlign w:val="center"/>
          </w:tcPr>
          <w:p w14:paraId="22F59E35">
            <w:pPr>
              <w:pStyle w:val="78"/>
              <w:rPr>
                <w:rFonts w:cs="Times New Roman"/>
              </w:rPr>
            </w:pPr>
            <w:r>
              <w:rPr>
                <w:rFonts w:cs="Times New Roman"/>
              </w:rPr>
              <w:t>0~0.5m</w:t>
            </w:r>
          </w:p>
        </w:tc>
        <w:tc>
          <w:tcPr>
            <w:tcW w:w="385" w:type="pct"/>
            <w:vAlign w:val="center"/>
          </w:tcPr>
          <w:p w14:paraId="43C322B5">
            <w:pPr>
              <w:pStyle w:val="78"/>
              <w:rPr>
                <w:rFonts w:cs="Times New Roman"/>
              </w:rPr>
            </w:pPr>
            <w:r>
              <w:rPr>
                <w:rFonts w:cs="Times New Roman"/>
              </w:rPr>
              <w:t>4.56</w:t>
            </w:r>
          </w:p>
        </w:tc>
        <w:tc>
          <w:tcPr>
            <w:tcW w:w="296" w:type="pct"/>
            <w:vAlign w:val="center"/>
          </w:tcPr>
          <w:p w14:paraId="30175039">
            <w:pPr>
              <w:pStyle w:val="78"/>
              <w:rPr>
                <w:rFonts w:cs="Times New Roman"/>
              </w:rPr>
            </w:pPr>
            <w:r>
              <w:rPr>
                <w:rFonts w:cs="Times New Roman"/>
              </w:rPr>
              <w:t>ND</w:t>
            </w:r>
          </w:p>
        </w:tc>
        <w:tc>
          <w:tcPr>
            <w:tcW w:w="297" w:type="pct"/>
            <w:vAlign w:val="center"/>
          </w:tcPr>
          <w:p w14:paraId="096D65B7">
            <w:pPr>
              <w:pStyle w:val="78"/>
              <w:rPr>
                <w:rFonts w:cs="Times New Roman"/>
              </w:rPr>
            </w:pPr>
            <w:r>
              <w:rPr>
                <w:rFonts w:cs="Times New Roman"/>
              </w:rPr>
              <w:t>0.030</w:t>
            </w:r>
          </w:p>
        </w:tc>
        <w:tc>
          <w:tcPr>
            <w:tcW w:w="297" w:type="pct"/>
            <w:vAlign w:val="center"/>
          </w:tcPr>
          <w:p w14:paraId="44E3CA23">
            <w:pPr>
              <w:pStyle w:val="78"/>
              <w:rPr>
                <w:rFonts w:cs="Times New Roman"/>
              </w:rPr>
            </w:pPr>
            <w:r>
              <w:rPr>
                <w:rFonts w:cs="Times New Roman"/>
              </w:rPr>
              <w:t>1.80</w:t>
            </w:r>
          </w:p>
        </w:tc>
        <w:tc>
          <w:tcPr>
            <w:tcW w:w="296" w:type="pct"/>
            <w:vAlign w:val="center"/>
          </w:tcPr>
          <w:p w14:paraId="71CE8471">
            <w:pPr>
              <w:pStyle w:val="78"/>
              <w:rPr>
                <w:rFonts w:cs="Times New Roman"/>
              </w:rPr>
            </w:pPr>
            <w:r>
              <w:rPr>
                <w:rFonts w:cs="Times New Roman"/>
              </w:rPr>
              <w:t>2</w:t>
            </w:r>
          </w:p>
        </w:tc>
        <w:tc>
          <w:tcPr>
            <w:tcW w:w="297" w:type="pct"/>
            <w:vAlign w:val="center"/>
          </w:tcPr>
          <w:p w14:paraId="1ABBDA30">
            <w:pPr>
              <w:pStyle w:val="78"/>
              <w:rPr>
                <w:rFonts w:cs="Times New Roman"/>
              </w:rPr>
            </w:pPr>
            <w:r>
              <w:rPr>
                <w:rFonts w:cs="Times New Roman"/>
              </w:rPr>
              <w:t>16</w:t>
            </w:r>
          </w:p>
        </w:tc>
        <w:tc>
          <w:tcPr>
            <w:tcW w:w="297" w:type="pct"/>
            <w:vAlign w:val="center"/>
          </w:tcPr>
          <w:p w14:paraId="33AE3616">
            <w:pPr>
              <w:pStyle w:val="78"/>
              <w:rPr>
                <w:rFonts w:cs="Times New Roman"/>
              </w:rPr>
            </w:pPr>
            <w:r>
              <w:rPr>
                <w:rFonts w:cs="Times New Roman"/>
              </w:rPr>
              <w:t>4</w:t>
            </w:r>
          </w:p>
        </w:tc>
        <w:tc>
          <w:tcPr>
            <w:tcW w:w="297" w:type="pct"/>
            <w:vAlign w:val="center"/>
          </w:tcPr>
          <w:p w14:paraId="3D5DAAE1">
            <w:pPr>
              <w:pStyle w:val="78"/>
              <w:rPr>
                <w:rFonts w:cs="Times New Roman"/>
              </w:rPr>
            </w:pPr>
            <w:r>
              <w:rPr>
                <w:rFonts w:cs="Times New Roman"/>
              </w:rPr>
              <w:t>15</w:t>
            </w:r>
          </w:p>
        </w:tc>
        <w:tc>
          <w:tcPr>
            <w:tcW w:w="261" w:type="pct"/>
            <w:vAlign w:val="center"/>
          </w:tcPr>
          <w:p w14:paraId="4D715F1E">
            <w:pPr>
              <w:pStyle w:val="78"/>
              <w:rPr>
                <w:rFonts w:cs="Times New Roman"/>
              </w:rPr>
            </w:pPr>
            <w:r>
              <w:rPr>
                <w:rFonts w:cs="Times New Roman"/>
              </w:rPr>
              <w:t>0.01</w:t>
            </w:r>
          </w:p>
        </w:tc>
        <w:tc>
          <w:tcPr>
            <w:tcW w:w="254" w:type="pct"/>
            <w:vAlign w:val="center"/>
          </w:tcPr>
          <w:p w14:paraId="115AD286">
            <w:pPr>
              <w:pStyle w:val="78"/>
              <w:rPr>
                <w:rFonts w:cs="Times New Roman"/>
              </w:rPr>
            </w:pPr>
            <w:r>
              <w:rPr>
                <w:rFonts w:cs="Times New Roman"/>
              </w:rPr>
              <w:t>——</w:t>
            </w:r>
          </w:p>
        </w:tc>
        <w:tc>
          <w:tcPr>
            <w:tcW w:w="256" w:type="pct"/>
            <w:vAlign w:val="center"/>
          </w:tcPr>
          <w:p w14:paraId="644B233D">
            <w:pPr>
              <w:pStyle w:val="78"/>
              <w:rPr>
                <w:rFonts w:cs="Times New Roman"/>
              </w:rPr>
            </w:pPr>
            <w:r>
              <w:rPr>
                <w:rFonts w:cs="Times New Roman"/>
              </w:rPr>
              <w:t>15.0</w:t>
            </w:r>
          </w:p>
        </w:tc>
        <w:tc>
          <w:tcPr>
            <w:tcW w:w="205" w:type="pct"/>
            <w:vAlign w:val="center"/>
          </w:tcPr>
          <w:p w14:paraId="3193BCB8">
            <w:pPr>
              <w:pStyle w:val="78"/>
              <w:rPr>
                <w:rFonts w:cs="Times New Roman"/>
              </w:rPr>
            </w:pPr>
            <w:r>
              <w:rPr>
                <w:rFonts w:cs="Times New Roman"/>
              </w:rPr>
              <w:t>ND</w:t>
            </w:r>
          </w:p>
        </w:tc>
        <w:tc>
          <w:tcPr>
            <w:tcW w:w="450" w:type="pct"/>
            <w:vAlign w:val="center"/>
          </w:tcPr>
          <w:p w14:paraId="0BBBA55B">
            <w:pPr>
              <w:pStyle w:val="78"/>
              <w:rPr>
                <w:rFonts w:cs="Times New Roman"/>
              </w:rPr>
            </w:pPr>
            <w:r>
              <w:rPr>
                <w:rFonts w:cs="Times New Roman"/>
              </w:rPr>
              <w:t>0.17</w:t>
            </w:r>
          </w:p>
        </w:tc>
      </w:tr>
      <w:tr w14:paraId="752A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362C097C">
            <w:pPr>
              <w:pStyle w:val="78"/>
              <w:rPr>
                <w:rFonts w:cs="Times New Roman"/>
              </w:rPr>
            </w:pPr>
          </w:p>
        </w:tc>
        <w:tc>
          <w:tcPr>
            <w:tcW w:w="318" w:type="pct"/>
            <w:vMerge w:val="continue"/>
            <w:vAlign w:val="center"/>
          </w:tcPr>
          <w:p w14:paraId="5274BAB4">
            <w:pPr>
              <w:pStyle w:val="78"/>
              <w:rPr>
                <w:rFonts w:cs="Times New Roman"/>
              </w:rPr>
            </w:pPr>
          </w:p>
        </w:tc>
        <w:tc>
          <w:tcPr>
            <w:tcW w:w="387" w:type="pct"/>
            <w:vAlign w:val="center"/>
          </w:tcPr>
          <w:p w14:paraId="632B715E">
            <w:pPr>
              <w:pStyle w:val="78"/>
              <w:rPr>
                <w:rFonts w:cs="Times New Roman"/>
              </w:rPr>
            </w:pPr>
            <w:r>
              <w:rPr>
                <w:rFonts w:cs="Times New Roman"/>
              </w:rPr>
              <w:t>1.0~1.5m</w:t>
            </w:r>
          </w:p>
        </w:tc>
        <w:tc>
          <w:tcPr>
            <w:tcW w:w="385" w:type="pct"/>
            <w:vAlign w:val="center"/>
          </w:tcPr>
          <w:p w14:paraId="14A90528">
            <w:pPr>
              <w:pStyle w:val="78"/>
              <w:rPr>
                <w:rFonts w:cs="Times New Roman"/>
              </w:rPr>
            </w:pPr>
            <w:r>
              <w:rPr>
                <w:rFonts w:cs="Times New Roman"/>
              </w:rPr>
              <w:t>5.61</w:t>
            </w:r>
          </w:p>
        </w:tc>
        <w:tc>
          <w:tcPr>
            <w:tcW w:w="296" w:type="pct"/>
            <w:vAlign w:val="center"/>
          </w:tcPr>
          <w:p w14:paraId="3337997D">
            <w:pPr>
              <w:pStyle w:val="78"/>
              <w:rPr>
                <w:rFonts w:cs="Times New Roman"/>
              </w:rPr>
            </w:pPr>
            <w:r>
              <w:rPr>
                <w:rFonts w:cs="Times New Roman"/>
              </w:rPr>
              <w:t>ND</w:t>
            </w:r>
          </w:p>
        </w:tc>
        <w:tc>
          <w:tcPr>
            <w:tcW w:w="297" w:type="pct"/>
            <w:vAlign w:val="center"/>
          </w:tcPr>
          <w:p w14:paraId="77080E99">
            <w:pPr>
              <w:pStyle w:val="78"/>
              <w:rPr>
                <w:rFonts w:cs="Times New Roman"/>
              </w:rPr>
            </w:pPr>
            <w:r>
              <w:rPr>
                <w:rFonts w:cs="Times New Roman"/>
              </w:rPr>
              <w:t>0.017</w:t>
            </w:r>
          </w:p>
        </w:tc>
        <w:tc>
          <w:tcPr>
            <w:tcW w:w="297" w:type="pct"/>
            <w:vAlign w:val="center"/>
          </w:tcPr>
          <w:p w14:paraId="0B24FAA6">
            <w:pPr>
              <w:pStyle w:val="78"/>
              <w:rPr>
                <w:rFonts w:cs="Times New Roman"/>
              </w:rPr>
            </w:pPr>
            <w:r>
              <w:rPr>
                <w:rFonts w:cs="Times New Roman"/>
              </w:rPr>
              <w:t>1.34</w:t>
            </w:r>
          </w:p>
        </w:tc>
        <w:tc>
          <w:tcPr>
            <w:tcW w:w="296" w:type="pct"/>
            <w:vAlign w:val="center"/>
          </w:tcPr>
          <w:p w14:paraId="24B0578C">
            <w:pPr>
              <w:pStyle w:val="78"/>
              <w:rPr>
                <w:rFonts w:cs="Times New Roman"/>
              </w:rPr>
            </w:pPr>
            <w:r>
              <w:rPr>
                <w:rFonts w:cs="Times New Roman"/>
              </w:rPr>
              <w:t>3</w:t>
            </w:r>
          </w:p>
        </w:tc>
        <w:tc>
          <w:tcPr>
            <w:tcW w:w="297" w:type="pct"/>
            <w:vAlign w:val="center"/>
          </w:tcPr>
          <w:p w14:paraId="1C1B53E7">
            <w:pPr>
              <w:pStyle w:val="78"/>
              <w:rPr>
                <w:rFonts w:cs="Times New Roman"/>
              </w:rPr>
            </w:pPr>
            <w:r>
              <w:rPr>
                <w:rFonts w:cs="Times New Roman"/>
              </w:rPr>
              <w:t>16</w:t>
            </w:r>
          </w:p>
        </w:tc>
        <w:tc>
          <w:tcPr>
            <w:tcW w:w="297" w:type="pct"/>
            <w:vAlign w:val="center"/>
          </w:tcPr>
          <w:p w14:paraId="5F6E87AD">
            <w:pPr>
              <w:pStyle w:val="78"/>
              <w:rPr>
                <w:rFonts w:cs="Times New Roman"/>
              </w:rPr>
            </w:pPr>
            <w:r>
              <w:rPr>
                <w:rFonts w:cs="Times New Roman"/>
              </w:rPr>
              <w:t>4</w:t>
            </w:r>
          </w:p>
        </w:tc>
        <w:tc>
          <w:tcPr>
            <w:tcW w:w="297" w:type="pct"/>
            <w:vAlign w:val="center"/>
          </w:tcPr>
          <w:p w14:paraId="2E57F1FB">
            <w:pPr>
              <w:pStyle w:val="78"/>
              <w:rPr>
                <w:rFonts w:cs="Times New Roman"/>
              </w:rPr>
            </w:pPr>
            <w:r>
              <w:rPr>
                <w:rFonts w:cs="Times New Roman"/>
              </w:rPr>
              <w:t>17</w:t>
            </w:r>
          </w:p>
        </w:tc>
        <w:tc>
          <w:tcPr>
            <w:tcW w:w="261" w:type="pct"/>
            <w:vAlign w:val="center"/>
          </w:tcPr>
          <w:p w14:paraId="7EEB06DE">
            <w:pPr>
              <w:pStyle w:val="78"/>
              <w:rPr>
                <w:rFonts w:cs="Times New Roman"/>
              </w:rPr>
            </w:pPr>
            <w:r>
              <w:rPr>
                <w:rFonts w:cs="Times New Roman"/>
              </w:rPr>
              <w:t>0.02</w:t>
            </w:r>
          </w:p>
        </w:tc>
        <w:tc>
          <w:tcPr>
            <w:tcW w:w="254" w:type="pct"/>
            <w:vAlign w:val="center"/>
          </w:tcPr>
          <w:p w14:paraId="197366F1">
            <w:pPr>
              <w:pStyle w:val="78"/>
              <w:rPr>
                <w:rFonts w:cs="Times New Roman"/>
              </w:rPr>
            </w:pPr>
            <w:r>
              <w:rPr>
                <w:rFonts w:cs="Times New Roman"/>
              </w:rPr>
              <w:t>——</w:t>
            </w:r>
          </w:p>
        </w:tc>
        <w:tc>
          <w:tcPr>
            <w:tcW w:w="256" w:type="pct"/>
            <w:vAlign w:val="center"/>
          </w:tcPr>
          <w:p w14:paraId="7B40DB6D">
            <w:pPr>
              <w:pStyle w:val="78"/>
              <w:rPr>
                <w:rFonts w:cs="Times New Roman"/>
              </w:rPr>
            </w:pPr>
            <w:r>
              <w:rPr>
                <w:rFonts w:cs="Times New Roman"/>
              </w:rPr>
              <w:t>15.3</w:t>
            </w:r>
          </w:p>
        </w:tc>
        <w:tc>
          <w:tcPr>
            <w:tcW w:w="205" w:type="pct"/>
            <w:vAlign w:val="center"/>
          </w:tcPr>
          <w:p w14:paraId="022EE76D">
            <w:pPr>
              <w:pStyle w:val="78"/>
              <w:rPr>
                <w:rFonts w:cs="Times New Roman"/>
              </w:rPr>
            </w:pPr>
            <w:r>
              <w:rPr>
                <w:rFonts w:cs="Times New Roman"/>
              </w:rPr>
              <w:t>ND</w:t>
            </w:r>
          </w:p>
        </w:tc>
        <w:tc>
          <w:tcPr>
            <w:tcW w:w="450" w:type="pct"/>
            <w:vAlign w:val="center"/>
          </w:tcPr>
          <w:p w14:paraId="5C70F9C4">
            <w:pPr>
              <w:pStyle w:val="78"/>
              <w:rPr>
                <w:rFonts w:cs="Times New Roman"/>
              </w:rPr>
            </w:pPr>
            <w:r>
              <w:rPr>
                <w:rFonts w:cs="Times New Roman"/>
              </w:rPr>
              <w:t>0.085</w:t>
            </w:r>
          </w:p>
        </w:tc>
      </w:tr>
      <w:tr w14:paraId="0DEA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04CABD7D">
            <w:pPr>
              <w:pStyle w:val="78"/>
              <w:rPr>
                <w:rFonts w:cs="Times New Roman"/>
              </w:rPr>
            </w:pPr>
          </w:p>
        </w:tc>
        <w:tc>
          <w:tcPr>
            <w:tcW w:w="318" w:type="pct"/>
            <w:vMerge w:val="continue"/>
            <w:vAlign w:val="center"/>
          </w:tcPr>
          <w:p w14:paraId="70D41FAD">
            <w:pPr>
              <w:pStyle w:val="78"/>
              <w:rPr>
                <w:rFonts w:cs="Times New Roman"/>
              </w:rPr>
            </w:pPr>
          </w:p>
        </w:tc>
        <w:tc>
          <w:tcPr>
            <w:tcW w:w="387" w:type="pct"/>
            <w:vAlign w:val="center"/>
          </w:tcPr>
          <w:p w14:paraId="14D023B1">
            <w:pPr>
              <w:pStyle w:val="78"/>
              <w:rPr>
                <w:rFonts w:cs="Times New Roman"/>
              </w:rPr>
            </w:pPr>
            <w:r>
              <w:rPr>
                <w:rFonts w:cs="Times New Roman"/>
              </w:rPr>
              <w:t>2.0~2.5m</w:t>
            </w:r>
          </w:p>
        </w:tc>
        <w:tc>
          <w:tcPr>
            <w:tcW w:w="385" w:type="pct"/>
            <w:vAlign w:val="center"/>
          </w:tcPr>
          <w:p w14:paraId="0FF5E9E3">
            <w:pPr>
              <w:pStyle w:val="78"/>
              <w:rPr>
                <w:rFonts w:cs="Times New Roman"/>
              </w:rPr>
            </w:pPr>
            <w:r>
              <w:rPr>
                <w:rFonts w:cs="Times New Roman"/>
              </w:rPr>
              <w:t>4.65</w:t>
            </w:r>
          </w:p>
        </w:tc>
        <w:tc>
          <w:tcPr>
            <w:tcW w:w="296" w:type="pct"/>
            <w:vAlign w:val="center"/>
          </w:tcPr>
          <w:p w14:paraId="681A5FDC">
            <w:pPr>
              <w:pStyle w:val="78"/>
              <w:rPr>
                <w:rFonts w:cs="Times New Roman"/>
              </w:rPr>
            </w:pPr>
            <w:r>
              <w:rPr>
                <w:rFonts w:cs="Times New Roman"/>
              </w:rPr>
              <w:t>ND</w:t>
            </w:r>
          </w:p>
        </w:tc>
        <w:tc>
          <w:tcPr>
            <w:tcW w:w="297" w:type="pct"/>
            <w:vAlign w:val="center"/>
          </w:tcPr>
          <w:p w14:paraId="56DC762E">
            <w:pPr>
              <w:pStyle w:val="78"/>
              <w:rPr>
                <w:rFonts w:cs="Times New Roman"/>
              </w:rPr>
            </w:pPr>
            <w:r>
              <w:rPr>
                <w:rFonts w:cs="Times New Roman"/>
              </w:rPr>
              <w:t>0.012</w:t>
            </w:r>
          </w:p>
        </w:tc>
        <w:tc>
          <w:tcPr>
            <w:tcW w:w="297" w:type="pct"/>
            <w:vAlign w:val="center"/>
          </w:tcPr>
          <w:p w14:paraId="62AE94D5">
            <w:pPr>
              <w:pStyle w:val="78"/>
              <w:rPr>
                <w:rFonts w:cs="Times New Roman"/>
              </w:rPr>
            </w:pPr>
            <w:r>
              <w:rPr>
                <w:rFonts w:cs="Times New Roman"/>
              </w:rPr>
              <w:t>1.21</w:t>
            </w:r>
          </w:p>
        </w:tc>
        <w:tc>
          <w:tcPr>
            <w:tcW w:w="296" w:type="pct"/>
            <w:vAlign w:val="center"/>
          </w:tcPr>
          <w:p w14:paraId="5E908C37">
            <w:pPr>
              <w:pStyle w:val="78"/>
              <w:rPr>
                <w:rFonts w:cs="Times New Roman"/>
              </w:rPr>
            </w:pPr>
            <w:r>
              <w:rPr>
                <w:rFonts w:cs="Times New Roman"/>
              </w:rPr>
              <w:t>2</w:t>
            </w:r>
          </w:p>
        </w:tc>
        <w:tc>
          <w:tcPr>
            <w:tcW w:w="297" w:type="pct"/>
            <w:vAlign w:val="center"/>
          </w:tcPr>
          <w:p w14:paraId="6A5FF5D7">
            <w:pPr>
              <w:pStyle w:val="78"/>
              <w:rPr>
                <w:rFonts w:cs="Times New Roman"/>
              </w:rPr>
            </w:pPr>
            <w:r>
              <w:rPr>
                <w:rFonts w:cs="Times New Roman"/>
              </w:rPr>
              <w:t>15</w:t>
            </w:r>
          </w:p>
        </w:tc>
        <w:tc>
          <w:tcPr>
            <w:tcW w:w="297" w:type="pct"/>
            <w:vAlign w:val="center"/>
          </w:tcPr>
          <w:p w14:paraId="7E672D77">
            <w:pPr>
              <w:pStyle w:val="78"/>
              <w:rPr>
                <w:rFonts w:cs="Times New Roman"/>
              </w:rPr>
            </w:pPr>
            <w:r>
              <w:rPr>
                <w:rFonts w:cs="Times New Roman"/>
              </w:rPr>
              <w:t>3</w:t>
            </w:r>
          </w:p>
        </w:tc>
        <w:tc>
          <w:tcPr>
            <w:tcW w:w="297" w:type="pct"/>
            <w:vAlign w:val="center"/>
          </w:tcPr>
          <w:p w14:paraId="574831CE">
            <w:pPr>
              <w:pStyle w:val="78"/>
              <w:rPr>
                <w:rFonts w:cs="Times New Roman"/>
              </w:rPr>
            </w:pPr>
            <w:r>
              <w:rPr>
                <w:rFonts w:cs="Times New Roman"/>
              </w:rPr>
              <w:t>17</w:t>
            </w:r>
          </w:p>
        </w:tc>
        <w:tc>
          <w:tcPr>
            <w:tcW w:w="261" w:type="pct"/>
            <w:vAlign w:val="center"/>
          </w:tcPr>
          <w:p w14:paraId="07AB842E">
            <w:pPr>
              <w:pStyle w:val="78"/>
              <w:rPr>
                <w:rFonts w:cs="Times New Roman"/>
              </w:rPr>
            </w:pPr>
            <w:r>
              <w:rPr>
                <w:rFonts w:cs="Times New Roman"/>
              </w:rPr>
              <w:t>ND</w:t>
            </w:r>
          </w:p>
        </w:tc>
        <w:tc>
          <w:tcPr>
            <w:tcW w:w="254" w:type="pct"/>
            <w:vAlign w:val="center"/>
          </w:tcPr>
          <w:p w14:paraId="59FA921B">
            <w:pPr>
              <w:pStyle w:val="78"/>
              <w:rPr>
                <w:rFonts w:cs="Times New Roman"/>
              </w:rPr>
            </w:pPr>
            <w:r>
              <w:rPr>
                <w:rFonts w:cs="Times New Roman"/>
              </w:rPr>
              <w:t>——</w:t>
            </w:r>
          </w:p>
        </w:tc>
        <w:tc>
          <w:tcPr>
            <w:tcW w:w="256" w:type="pct"/>
            <w:vAlign w:val="center"/>
          </w:tcPr>
          <w:p w14:paraId="7CC3F4E4">
            <w:pPr>
              <w:pStyle w:val="78"/>
              <w:rPr>
                <w:rFonts w:cs="Times New Roman"/>
              </w:rPr>
            </w:pPr>
            <w:r>
              <w:rPr>
                <w:rFonts w:cs="Times New Roman"/>
              </w:rPr>
              <w:t>17.6</w:t>
            </w:r>
          </w:p>
        </w:tc>
        <w:tc>
          <w:tcPr>
            <w:tcW w:w="205" w:type="pct"/>
            <w:vAlign w:val="center"/>
          </w:tcPr>
          <w:p w14:paraId="0496BBED">
            <w:pPr>
              <w:pStyle w:val="78"/>
              <w:rPr>
                <w:rFonts w:cs="Times New Roman"/>
              </w:rPr>
            </w:pPr>
            <w:r>
              <w:rPr>
                <w:rFonts w:cs="Times New Roman"/>
              </w:rPr>
              <w:t>ND</w:t>
            </w:r>
          </w:p>
        </w:tc>
        <w:tc>
          <w:tcPr>
            <w:tcW w:w="450" w:type="pct"/>
            <w:vAlign w:val="center"/>
          </w:tcPr>
          <w:p w14:paraId="25B4388F">
            <w:pPr>
              <w:pStyle w:val="78"/>
              <w:rPr>
                <w:rFonts w:cs="Times New Roman"/>
              </w:rPr>
            </w:pPr>
            <w:r>
              <w:rPr>
                <w:rFonts w:cs="Times New Roman"/>
              </w:rPr>
              <w:t>0.12</w:t>
            </w:r>
          </w:p>
        </w:tc>
      </w:tr>
      <w:tr w14:paraId="768B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7971A30C">
            <w:pPr>
              <w:pStyle w:val="78"/>
              <w:rPr>
                <w:rFonts w:cs="Times New Roman"/>
              </w:rPr>
            </w:pPr>
          </w:p>
        </w:tc>
        <w:tc>
          <w:tcPr>
            <w:tcW w:w="318" w:type="pct"/>
            <w:vMerge w:val="continue"/>
            <w:vAlign w:val="center"/>
          </w:tcPr>
          <w:p w14:paraId="17890523">
            <w:pPr>
              <w:pStyle w:val="78"/>
              <w:rPr>
                <w:rFonts w:cs="Times New Roman"/>
              </w:rPr>
            </w:pPr>
          </w:p>
        </w:tc>
        <w:tc>
          <w:tcPr>
            <w:tcW w:w="387" w:type="pct"/>
            <w:vAlign w:val="center"/>
          </w:tcPr>
          <w:p w14:paraId="7E96DA44">
            <w:pPr>
              <w:pStyle w:val="78"/>
              <w:rPr>
                <w:rFonts w:cs="Times New Roman"/>
              </w:rPr>
            </w:pPr>
            <w:r>
              <w:rPr>
                <w:rFonts w:cs="Times New Roman"/>
              </w:rPr>
              <w:t>4.0~4.5m</w:t>
            </w:r>
          </w:p>
        </w:tc>
        <w:tc>
          <w:tcPr>
            <w:tcW w:w="385" w:type="pct"/>
            <w:vAlign w:val="center"/>
          </w:tcPr>
          <w:p w14:paraId="7C4058A3">
            <w:pPr>
              <w:pStyle w:val="78"/>
              <w:rPr>
                <w:rFonts w:cs="Times New Roman"/>
              </w:rPr>
            </w:pPr>
            <w:r>
              <w:rPr>
                <w:rFonts w:cs="Times New Roman"/>
              </w:rPr>
              <w:t>4.61</w:t>
            </w:r>
          </w:p>
        </w:tc>
        <w:tc>
          <w:tcPr>
            <w:tcW w:w="296" w:type="pct"/>
            <w:vAlign w:val="center"/>
          </w:tcPr>
          <w:p w14:paraId="4B9561D2">
            <w:pPr>
              <w:pStyle w:val="78"/>
              <w:rPr>
                <w:rFonts w:cs="Times New Roman"/>
              </w:rPr>
            </w:pPr>
            <w:r>
              <w:rPr>
                <w:rFonts w:cs="Times New Roman"/>
              </w:rPr>
              <w:t>ND</w:t>
            </w:r>
          </w:p>
        </w:tc>
        <w:tc>
          <w:tcPr>
            <w:tcW w:w="297" w:type="pct"/>
            <w:vAlign w:val="center"/>
          </w:tcPr>
          <w:p w14:paraId="3CD691D3">
            <w:pPr>
              <w:pStyle w:val="78"/>
              <w:rPr>
                <w:rFonts w:cs="Times New Roman"/>
              </w:rPr>
            </w:pPr>
            <w:r>
              <w:rPr>
                <w:rFonts w:cs="Times New Roman"/>
              </w:rPr>
              <w:t>0.032</w:t>
            </w:r>
          </w:p>
        </w:tc>
        <w:tc>
          <w:tcPr>
            <w:tcW w:w="297" w:type="pct"/>
            <w:vAlign w:val="center"/>
          </w:tcPr>
          <w:p w14:paraId="0EA53202">
            <w:pPr>
              <w:pStyle w:val="78"/>
              <w:rPr>
                <w:rFonts w:cs="Times New Roman"/>
              </w:rPr>
            </w:pPr>
            <w:r>
              <w:rPr>
                <w:rFonts w:cs="Times New Roman"/>
              </w:rPr>
              <w:t>1.44</w:t>
            </w:r>
          </w:p>
        </w:tc>
        <w:tc>
          <w:tcPr>
            <w:tcW w:w="296" w:type="pct"/>
            <w:vAlign w:val="center"/>
          </w:tcPr>
          <w:p w14:paraId="727C2ED8">
            <w:pPr>
              <w:pStyle w:val="78"/>
              <w:rPr>
                <w:rFonts w:cs="Times New Roman"/>
              </w:rPr>
            </w:pPr>
            <w:r>
              <w:rPr>
                <w:rFonts w:cs="Times New Roman"/>
              </w:rPr>
              <w:t>2</w:t>
            </w:r>
          </w:p>
        </w:tc>
        <w:tc>
          <w:tcPr>
            <w:tcW w:w="297" w:type="pct"/>
            <w:vAlign w:val="center"/>
          </w:tcPr>
          <w:p w14:paraId="211E168C">
            <w:pPr>
              <w:pStyle w:val="78"/>
              <w:rPr>
                <w:rFonts w:cs="Times New Roman"/>
              </w:rPr>
            </w:pPr>
            <w:r>
              <w:rPr>
                <w:rFonts w:cs="Times New Roman"/>
              </w:rPr>
              <w:t>12</w:t>
            </w:r>
          </w:p>
        </w:tc>
        <w:tc>
          <w:tcPr>
            <w:tcW w:w="297" w:type="pct"/>
            <w:vAlign w:val="center"/>
          </w:tcPr>
          <w:p w14:paraId="1A53B8ED">
            <w:pPr>
              <w:pStyle w:val="78"/>
              <w:rPr>
                <w:rFonts w:cs="Times New Roman"/>
              </w:rPr>
            </w:pPr>
            <w:r>
              <w:rPr>
                <w:rFonts w:cs="Times New Roman"/>
              </w:rPr>
              <w:t>ND</w:t>
            </w:r>
          </w:p>
        </w:tc>
        <w:tc>
          <w:tcPr>
            <w:tcW w:w="297" w:type="pct"/>
            <w:vAlign w:val="center"/>
          </w:tcPr>
          <w:p w14:paraId="18EA1B31">
            <w:pPr>
              <w:pStyle w:val="78"/>
              <w:rPr>
                <w:rFonts w:cs="Times New Roman"/>
              </w:rPr>
            </w:pPr>
            <w:r>
              <w:rPr>
                <w:rFonts w:cs="Times New Roman"/>
              </w:rPr>
              <w:t>21</w:t>
            </w:r>
          </w:p>
        </w:tc>
        <w:tc>
          <w:tcPr>
            <w:tcW w:w="261" w:type="pct"/>
            <w:vAlign w:val="center"/>
          </w:tcPr>
          <w:p w14:paraId="6821D807">
            <w:pPr>
              <w:pStyle w:val="78"/>
              <w:rPr>
                <w:rFonts w:cs="Times New Roman"/>
              </w:rPr>
            </w:pPr>
            <w:r>
              <w:rPr>
                <w:rFonts w:cs="Times New Roman"/>
              </w:rPr>
              <w:t>ND</w:t>
            </w:r>
          </w:p>
        </w:tc>
        <w:tc>
          <w:tcPr>
            <w:tcW w:w="254" w:type="pct"/>
            <w:vAlign w:val="center"/>
          </w:tcPr>
          <w:p w14:paraId="75696B57">
            <w:pPr>
              <w:pStyle w:val="78"/>
              <w:rPr>
                <w:rFonts w:cs="Times New Roman"/>
              </w:rPr>
            </w:pPr>
            <w:r>
              <w:rPr>
                <w:rFonts w:cs="Times New Roman"/>
              </w:rPr>
              <w:t>——</w:t>
            </w:r>
          </w:p>
        </w:tc>
        <w:tc>
          <w:tcPr>
            <w:tcW w:w="256" w:type="pct"/>
            <w:vAlign w:val="center"/>
          </w:tcPr>
          <w:p w14:paraId="6847F0E6">
            <w:pPr>
              <w:pStyle w:val="78"/>
              <w:rPr>
                <w:rFonts w:cs="Times New Roman"/>
              </w:rPr>
            </w:pPr>
            <w:r>
              <w:rPr>
                <w:rFonts w:cs="Times New Roman"/>
              </w:rPr>
              <w:t>10.8</w:t>
            </w:r>
          </w:p>
        </w:tc>
        <w:tc>
          <w:tcPr>
            <w:tcW w:w="205" w:type="pct"/>
            <w:vAlign w:val="center"/>
          </w:tcPr>
          <w:p w14:paraId="2AF190FB">
            <w:pPr>
              <w:pStyle w:val="78"/>
              <w:rPr>
                <w:rFonts w:cs="Times New Roman"/>
              </w:rPr>
            </w:pPr>
            <w:r>
              <w:rPr>
                <w:rFonts w:cs="Times New Roman"/>
              </w:rPr>
              <w:t>ND</w:t>
            </w:r>
          </w:p>
        </w:tc>
        <w:tc>
          <w:tcPr>
            <w:tcW w:w="450" w:type="pct"/>
            <w:vAlign w:val="center"/>
          </w:tcPr>
          <w:p w14:paraId="1053B677">
            <w:pPr>
              <w:pStyle w:val="78"/>
              <w:rPr>
                <w:rFonts w:cs="Times New Roman"/>
              </w:rPr>
            </w:pPr>
            <w:r>
              <w:rPr>
                <w:rFonts w:cs="Times New Roman"/>
              </w:rPr>
              <w:t>0.064</w:t>
            </w:r>
          </w:p>
        </w:tc>
      </w:tr>
      <w:tr w14:paraId="6F19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6A3BD4BF">
            <w:pPr>
              <w:pStyle w:val="78"/>
              <w:rPr>
                <w:rFonts w:cs="Times New Roman"/>
              </w:rPr>
            </w:pPr>
          </w:p>
        </w:tc>
        <w:tc>
          <w:tcPr>
            <w:tcW w:w="318" w:type="pct"/>
            <w:vAlign w:val="center"/>
          </w:tcPr>
          <w:p w14:paraId="145D91E9">
            <w:pPr>
              <w:pStyle w:val="78"/>
              <w:rPr>
                <w:rFonts w:cs="Times New Roman"/>
              </w:rPr>
            </w:pPr>
            <w:r>
              <w:rPr>
                <w:rFonts w:cs="Times New Roman"/>
              </w:rPr>
              <w:t>SH-6</w:t>
            </w:r>
          </w:p>
        </w:tc>
        <w:tc>
          <w:tcPr>
            <w:tcW w:w="387" w:type="pct"/>
            <w:vAlign w:val="center"/>
          </w:tcPr>
          <w:p w14:paraId="64B3480C">
            <w:pPr>
              <w:pStyle w:val="78"/>
              <w:rPr>
                <w:rFonts w:cs="Times New Roman"/>
              </w:rPr>
            </w:pPr>
            <w:r>
              <w:rPr>
                <w:rFonts w:cs="Times New Roman"/>
              </w:rPr>
              <w:t>0~0.2m</w:t>
            </w:r>
          </w:p>
        </w:tc>
        <w:tc>
          <w:tcPr>
            <w:tcW w:w="385" w:type="pct"/>
            <w:vAlign w:val="center"/>
          </w:tcPr>
          <w:p w14:paraId="4CDFDB3C">
            <w:pPr>
              <w:pStyle w:val="78"/>
              <w:rPr>
                <w:rFonts w:cs="Times New Roman"/>
              </w:rPr>
            </w:pPr>
            <w:r>
              <w:rPr>
                <w:rFonts w:cs="Times New Roman"/>
              </w:rPr>
              <w:t>4.61</w:t>
            </w:r>
          </w:p>
        </w:tc>
        <w:tc>
          <w:tcPr>
            <w:tcW w:w="296" w:type="pct"/>
            <w:vAlign w:val="center"/>
          </w:tcPr>
          <w:p w14:paraId="42EA75B2">
            <w:pPr>
              <w:pStyle w:val="78"/>
              <w:rPr>
                <w:rFonts w:cs="Times New Roman"/>
              </w:rPr>
            </w:pPr>
            <w:r>
              <w:rPr>
                <w:rFonts w:cs="Times New Roman"/>
              </w:rPr>
              <w:t>ND</w:t>
            </w:r>
          </w:p>
        </w:tc>
        <w:tc>
          <w:tcPr>
            <w:tcW w:w="297" w:type="pct"/>
            <w:vAlign w:val="center"/>
          </w:tcPr>
          <w:p w14:paraId="37B212E5">
            <w:pPr>
              <w:pStyle w:val="78"/>
              <w:rPr>
                <w:rFonts w:cs="Times New Roman"/>
              </w:rPr>
            </w:pPr>
            <w:r>
              <w:rPr>
                <w:rFonts w:cs="Times New Roman"/>
              </w:rPr>
              <w:t>0.019</w:t>
            </w:r>
          </w:p>
        </w:tc>
        <w:tc>
          <w:tcPr>
            <w:tcW w:w="297" w:type="pct"/>
            <w:vAlign w:val="center"/>
          </w:tcPr>
          <w:p w14:paraId="458B9DE1">
            <w:pPr>
              <w:pStyle w:val="78"/>
              <w:rPr>
                <w:rFonts w:cs="Times New Roman"/>
              </w:rPr>
            </w:pPr>
            <w:r>
              <w:rPr>
                <w:rFonts w:cs="Times New Roman"/>
              </w:rPr>
              <w:t>1.82</w:t>
            </w:r>
          </w:p>
        </w:tc>
        <w:tc>
          <w:tcPr>
            <w:tcW w:w="296" w:type="pct"/>
            <w:vAlign w:val="center"/>
          </w:tcPr>
          <w:p w14:paraId="18348D8B">
            <w:pPr>
              <w:pStyle w:val="78"/>
              <w:rPr>
                <w:rFonts w:cs="Times New Roman"/>
              </w:rPr>
            </w:pPr>
            <w:r>
              <w:rPr>
                <w:rFonts w:cs="Times New Roman"/>
              </w:rPr>
              <w:t>3</w:t>
            </w:r>
          </w:p>
        </w:tc>
        <w:tc>
          <w:tcPr>
            <w:tcW w:w="297" w:type="pct"/>
            <w:vAlign w:val="center"/>
          </w:tcPr>
          <w:p w14:paraId="3326C7F1">
            <w:pPr>
              <w:pStyle w:val="78"/>
              <w:rPr>
                <w:rFonts w:cs="Times New Roman"/>
              </w:rPr>
            </w:pPr>
            <w:r>
              <w:rPr>
                <w:rFonts w:cs="Times New Roman"/>
              </w:rPr>
              <w:t>12</w:t>
            </w:r>
          </w:p>
        </w:tc>
        <w:tc>
          <w:tcPr>
            <w:tcW w:w="297" w:type="pct"/>
            <w:vAlign w:val="center"/>
          </w:tcPr>
          <w:p w14:paraId="71D13619">
            <w:pPr>
              <w:pStyle w:val="78"/>
              <w:rPr>
                <w:rFonts w:cs="Times New Roman"/>
              </w:rPr>
            </w:pPr>
            <w:r>
              <w:rPr>
                <w:rFonts w:cs="Times New Roman"/>
              </w:rPr>
              <w:t>4</w:t>
            </w:r>
          </w:p>
        </w:tc>
        <w:tc>
          <w:tcPr>
            <w:tcW w:w="297" w:type="pct"/>
            <w:vAlign w:val="center"/>
          </w:tcPr>
          <w:p w14:paraId="02155D37">
            <w:pPr>
              <w:pStyle w:val="78"/>
              <w:rPr>
                <w:rFonts w:cs="Times New Roman"/>
              </w:rPr>
            </w:pPr>
            <w:r>
              <w:rPr>
                <w:rFonts w:cs="Times New Roman"/>
              </w:rPr>
              <w:t>18</w:t>
            </w:r>
          </w:p>
        </w:tc>
        <w:tc>
          <w:tcPr>
            <w:tcW w:w="261" w:type="pct"/>
            <w:vAlign w:val="center"/>
          </w:tcPr>
          <w:p w14:paraId="08A5AB79">
            <w:pPr>
              <w:pStyle w:val="78"/>
              <w:rPr>
                <w:rFonts w:cs="Times New Roman"/>
              </w:rPr>
            </w:pPr>
            <w:r>
              <w:rPr>
                <w:rFonts w:cs="Times New Roman"/>
              </w:rPr>
              <w:t>0.02</w:t>
            </w:r>
          </w:p>
        </w:tc>
        <w:tc>
          <w:tcPr>
            <w:tcW w:w="254" w:type="pct"/>
            <w:vAlign w:val="center"/>
          </w:tcPr>
          <w:p w14:paraId="56B0060B">
            <w:pPr>
              <w:pStyle w:val="78"/>
              <w:rPr>
                <w:rFonts w:cs="Times New Roman"/>
              </w:rPr>
            </w:pPr>
            <w:r>
              <w:rPr>
                <w:rFonts w:cs="Times New Roman"/>
              </w:rPr>
              <w:t>——</w:t>
            </w:r>
          </w:p>
        </w:tc>
        <w:tc>
          <w:tcPr>
            <w:tcW w:w="256" w:type="pct"/>
            <w:vAlign w:val="center"/>
          </w:tcPr>
          <w:p w14:paraId="39E4B099">
            <w:pPr>
              <w:pStyle w:val="78"/>
              <w:rPr>
                <w:rFonts w:cs="Times New Roman"/>
              </w:rPr>
            </w:pPr>
            <w:r>
              <w:rPr>
                <w:rFonts w:cs="Times New Roman"/>
              </w:rPr>
              <w:t>19.7</w:t>
            </w:r>
          </w:p>
        </w:tc>
        <w:tc>
          <w:tcPr>
            <w:tcW w:w="205" w:type="pct"/>
            <w:vAlign w:val="center"/>
          </w:tcPr>
          <w:p w14:paraId="1557BB9F">
            <w:pPr>
              <w:pStyle w:val="78"/>
              <w:rPr>
                <w:rFonts w:cs="Times New Roman"/>
              </w:rPr>
            </w:pPr>
            <w:r>
              <w:rPr>
                <w:rFonts w:cs="Times New Roman"/>
              </w:rPr>
              <w:t>ND</w:t>
            </w:r>
          </w:p>
        </w:tc>
        <w:tc>
          <w:tcPr>
            <w:tcW w:w="450" w:type="pct"/>
            <w:vAlign w:val="center"/>
          </w:tcPr>
          <w:p w14:paraId="61C574AA">
            <w:pPr>
              <w:pStyle w:val="78"/>
              <w:rPr>
                <w:rFonts w:cs="Times New Roman"/>
              </w:rPr>
            </w:pPr>
            <w:r>
              <w:rPr>
                <w:rFonts w:cs="Times New Roman"/>
              </w:rPr>
              <w:t>0.087</w:t>
            </w:r>
          </w:p>
        </w:tc>
      </w:tr>
      <w:tr w14:paraId="2356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3EE5BC11">
            <w:pPr>
              <w:pStyle w:val="78"/>
              <w:rPr>
                <w:rFonts w:cs="Times New Roman"/>
              </w:rPr>
            </w:pPr>
          </w:p>
        </w:tc>
        <w:tc>
          <w:tcPr>
            <w:tcW w:w="318" w:type="pct"/>
            <w:vAlign w:val="center"/>
          </w:tcPr>
          <w:p w14:paraId="0E6C9E89">
            <w:pPr>
              <w:pStyle w:val="78"/>
              <w:rPr>
                <w:rFonts w:cs="Times New Roman"/>
              </w:rPr>
            </w:pPr>
            <w:r>
              <w:rPr>
                <w:rFonts w:cs="Times New Roman"/>
              </w:rPr>
              <w:t>SH-7</w:t>
            </w:r>
          </w:p>
        </w:tc>
        <w:tc>
          <w:tcPr>
            <w:tcW w:w="387" w:type="pct"/>
            <w:vAlign w:val="center"/>
          </w:tcPr>
          <w:p w14:paraId="780AB6BF">
            <w:pPr>
              <w:pStyle w:val="78"/>
              <w:rPr>
                <w:rFonts w:cs="Times New Roman"/>
              </w:rPr>
            </w:pPr>
            <w:r>
              <w:rPr>
                <w:rFonts w:cs="Times New Roman"/>
              </w:rPr>
              <w:t>0~0.2m</w:t>
            </w:r>
          </w:p>
        </w:tc>
        <w:tc>
          <w:tcPr>
            <w:tcW w:w="385" w:type="pct"/>
            <w:vAlign w:val="center"/>
          </w:tcPr>
          <w:p w14:paraId="4E11BA71">
            <w:pPr>
              <w:pStyle w:val="78"/>
              <w:rPr>
                <w:rFonts w:cs="Times New Roman"/>
              </w:rPr>
            </w:pPr>
            <w:r>
              <w:rPr>
                <w:rFonts w:cs="Times New Roman"/>
              </w:rPr>
              <w:t>6.75</w:t>
            </w:r>
          </w:p>
        </w:tc>
        <w:tc>
          <w:tcPr>
            <w:tcW w:w="296" w:type="pct"/>
            <w:vAlign w:val="center"/>
          </w:tcPr>
          <w:p w14:paraId="192A6109">
            <w:pPr>
              <w:pStyle w:val="78"/>
              <w:rPr>
                <w:rFonts w:cs="Times New Roman"/>
              </w:rPr>
            </w:pPr>
            <w:r>
              <w:rPr>
                <w:rFonts w:cs="Times New Roman"/>
              </w:rPr>
              <w:t>ND</w:t>
            </w:r>
          </w:p>
        </w:tc>
        <w:tc>
          <w:tcPr>
            <w:tcW w:w="297" w:type="pct"/>
            <w:vAlign w:val="center"/>
          </w:tcPr>
          <w:p w14:paraId="09D963E6">
            <w:pPr>
              <w:pStyle w:val="78"/>
              <w:rPr>
                <w:rFonts w:cs="Times New Roman"/>
              </w:rPr>
            </w:pPr>
            <w:r>
              <w:rPr>
                <w:rFonts w:cs="Times New Roman"/>
              </w:rPr>
              <w:t>0.008</w:t>
            </w:r>
          </w:p>
        </w:tc>
        <w:tc>
          <w:tcPr>
            <w:tcW w:w="297" w:type="pct"/>
            <w:vAlign w:val="center"/>
          </w:tcPr>
          <w:p w14:paraId="73DA28EC">
            <w:pPr>
              <w:pStyle w:val="78"/>
              <w:rPr>
                <w:rFonts w:cs="Times New Roman"/>
              </w:rPr>
            </w:pPr>
            <w:r>
              <w:rPr>
                <w:rFonts w:cs="Times New Roman"/>
              </w:rPr>
              <w:t>2.23</w:t>
            </w:r>
          </w:p>
        </w:tc>
        <w:tc>
          <w:tcPr>
            <w:tcW w:w="296" w:type="pct"/>
            <w:vAlign w:val="center"/>
          </w:tcPr>
          <w:p w14:paraId="1360D2AF">
            <w:pPr>
              <w:pStyle w:val="78"/>
              <w:rPr>
                <w:rFonts w:cs="Times New Roman"/>
              </w:rPr>
            </w:pPr>
            <w:r>
              <w:rPr>
                <w:rFonts w:cs="Times New Roman"/>
              </w:rPr>
              <w:t>4</w:t>
            </w:r>
          </w:p>
        </w:tc>
        <w:tc>
          <w:tcPr>
            <w:tcW w:w="297" w:type="pct"/>
            <w:vAlign w:val="center"/>
          </w:tcPr>
          <w:p w14:paraId="047F3B40">
            <w:pPr>
              <w:pStyle w:val="78"/>
              <w:rPr>
                <w:rFonts w:cs="Times New Roman"/>
              </w:rPr>
            </w:pPr>
            <w:r>
              <w:rPr>
                <w:rFonts w:cs="Times New Roman"/>
              </w:rPr>
              <w:t>15</w:t>
            </w:r>
          </w:p>
        </w:tc>
        <w:tc>
          <w:tcPr>
            <w:tcW w:w="297" w:type="pct"/>
            <w:vAlign w:val="center"/>
          </w:tcPr>
          <w:p w14:paraId="2010B828">
            <w:pPr>
              <w:pStyle w:val="78"/>
              <w:rPr>
                <w:rFonts w:cs="Times New Roman"/>
              </w:rPr>
            </w:pPr>
            <w:r>
              <w:rPr>
                <w:rFonts w:cs="Times New Roman"/>
              </w:rPr>
              <w:t>5</w:t>
            </w:r>
          </w:p>
        </w:tc>
        <w:tc>
          <w:tcPr>
            <w:tcW w:w="297" w:type="pct"/>
            <w:vAlign w:val="center"/>
          </w:tcPr>
          <w:p w14:paraId="3C7588F5">
            <w:pPr>
              <w:pStyle w:val="78"/>
              <w:rPr>
                <w:rFonts w:cs="Times New Roman"/>
              </w:rPr>
            </w:pPr>
            <w:r>
              <w:rPr>
                <w:rFonts w:cs="Times New Roman"/>
              </w:rPr>
              <w:t>23</w:t>
            </w:r>
          </w:p>
        </w:tc>
        <w:tc>
          <w:tcPr>
            <w:tcW w:w="261" w:type="pct"/>
            <w:vAlign w:val="center"/>
          </w:tcPr>
          <w:p w14:paraId="04140237">
            <w:pPr>
              <w:pStyle w:val="78"/>
              <w:rPr>
                <w:rFonts w:cs="Times New Roman"/>
              </w:rPr>
            </w:pPr>
            <w:r>
              <w:rPr>
                <w:rFonts w:cs="Times New Roman"/>
              </w:rPr>
              <w:t>ND</w:t>
            </w:r>
          </w:p>
        </w:tc>
        <w:tc>
          <w:tcPr>
            <w:tcW w:w="254" w:type="pct"/>
            <w:vAlign w:val="center"/>
          </w:tcPr>
          <w:p w14:paraId="0EA597FA">
            <w:pPr>
              <w:pStyle w:val="78"/>
              <w:rPr>
                <w:rFonts w:cs="Times New Roman"/>
              </w:rPr>
            </w:pPr>
            <w:r>
              <w:rPr>
                <w:rFonts w:cs="Times New Roman"/>
              </w:rPr>
              <w:t>——</w:t>
            </w:r>
          </w:p>
        </w:tc>
        <w:tc>
          <w:tcPr>
            <w:tcW w:w="256" w:type="pct"/>
            <w:vAlign w:val="center"/>
          </w:tcPr>
          <w:p w14:paraId="01C41ACE">
            <w:pPr>
              <w:pStyle w:val="78"/>
              <w:rPr>
                <w:rFonts w:cs="Times New Roman"/>
              </w:rPr>
            </w:pPr>
            <w:r>
              <w:rPr>
                <w:rFonts w:cs="Times New Roman"/>
              </w:rPr>
              <w:t>19.8</w:t>
            </w:r>
          </w:p>
        </w:tc>
        <w:tc>
          <w:tcPr>
            <w:tcW w:w="205" w:type="pct"/>
            <w:vAlign w:val="center"/>
          </w:tcPr>
          <w:p w14:paraId="5B45012A">
            <w:pPr>
              <w:pStyle w:val="78"/>
              <w:rPr>
                <w:rFonts w:cs="Times New Roman"/>
              </w:rPr>
            </w:pPr>
            <w:r>
              <w:rPr>
                <w:rFonts w:cs="Times New Roman"/>
              </w:rPr>
              <w:t>ND</w:t>
            </w:r>
          </w:p>
        </w:tc>
        <w:tc>
          <w:tcPr>
            <w:tcW w:w="450" w:type="pct"/>
            <w:vAlign w:val="center"/>
          </w:tcPr>
          <w:p w14:paraId="014A882C">
            <w:pPr>
              <w:pStyle w:val="78"/>
              <w:rPr>
                <w:rFonts w:cs="Times New Roman"/>
              </w:rPr>
            </w:pPr>
            <w:r>
              <w:rPr>
                <w:rFonts w:cs="Times New Roman"/>
              </w:rPr>
              <w:t>0.087</w:t>
            </w:r>
          </w:p>
        </w:tc>
      </w:tr>
      <w:tr w14:paraId="5B30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50C220F2">
            <w:pPr>
              <w:pStyle w:val="78"/>
              <w:rPr>
                <w:rFonts w:cs="Times New Roman"/>
              </w:rPr>
            </w:pPr>
          </w:p>
        </w:tc>
        <w:tc>
          <w:tcPr>
            <w:tcW w:w="318" w:type="pct"/>
            <w:vAlign w:val="center"/>
          </w:tcPr>
          <w:p w14:paraId="4276B673">
            <w:pPr>
              <w:pStyle w:val="78"/>
              <w:rPr>
                <w:rFonts w:cs="Times New Roman"/>
              </w:rPr>
            </w:pPr>
            <w:r>
              <w:rPr>
                <w:rFonts w:cs="Times New Roman"/>
                <w:sz w:val="22"/>
              </w:rPr>
              <w:t>SH-8</w:t>
            </w:r>
          </w:p>
        </w:tc>
        <w:tc>
          <w:tcPr>
            <w:tcW w:w="387" w:type="pct"/>
            <w:vAlign w:val="center"/>
          </w:tcPr>
          <w:p w14:paraId="5F42235B">
            <w:pPr>
              <w:pStyle w:val="78"/>
              <w:rPr>
                <w:rFonts w:cs="Times New Roman"/>
              </w:rPr>
            </w:pPr>
            <w:r>
              <w:rPr>
                <w:rFonts w:cs="Times New Roman"/>
              </w:rPr>
              <w:t>0~0.2m</w:t>
            </w:r>
          </w:p>
        </w:tc>
        <w:tc>
          <w:tcPr>
            <w:tcW w:w="385" w:type="pct"/>
            <w:vAlign w:val="center"/>
          </w:tcPr>
          <w:p w14:paraId="07534223">
            <w:pPr>
              <w:pStyle w:val="78"/>
              <w:rPr>
                <w:rFonts w:cs="Times New Roman"/>
              </w:rPr>
            </w:pPr>
            <w:r>
              <w:rPr>
                <w:rFonts w:cs="Times New Roman"/>
              </w:rPr>
              <w:t>4.51</w:t>
            </w:r>
          </w:p>
        </w:tc>
        <w:tc>
          <w:tcPr>
            <w:tcW w:w="296" w:type="pct"/>
            <w:vAlign w:val="center"/>
          </w:tcPr>
          <w:p w14:paraId="201CF7A8">
            <w:pPr>
              <w:pStyle w:val="78"/>
              <w:rPr>
                <w:rFonts w:cs="Times New Roman"/>
              </w:rPr>
            </w:pPr>
            <w:r>
              <w:rPr>
                <w:rFonts w:cs="Times New Roman"/>
              </w:rPr>
              <w:t>——</w:t>
            </w:r>
          </w:p>
        </w:tc>
        <w:tc>
          <w:tcPr>
            <w:tcW w:w="297" w:type="pct"/>
            <w:vAlign w:val="center"/>
          </w:tcPr>
          <w:p w14:paraId="1255B1B0">
            <w:pPr>
              <w:pStyle w:val="78"/>
              <w:rPr>
                <w:rFonts w:cs="Times New Roman"/>
              </w:rPr>
            </w:pPr>
            <w:r>
              <w:rPr>
                <w:rFonts w:cs="Times New Roman"/>
              </w:rPr>
              <w:t>0.020</w:t>
            </w:r>
          </w:p>
        </w:tc>
        <w:tc>
          <w:tcPr>
            <w:tcW w:w="297" w:type="pct"/>
            <w:vAlign w:val="center"/>
          </w:tcPr>
          <w:p w14:paraId="7C8E759D">
            <w:pPr>
              <w:pStyle w:val="78"/>
              <w:rPr>
                <w:rFonts w:cs="Times New Roman"/>
              </w:rPr>
            </w:pPr>
            <w:r>
              <w:rPr>
                <w:rFonts w:cs="Times New Roman"/>
              </w:rPr>
              <w:t>2.29</w:t>
            </w:r>
          </w:p>
        </w:tc>
        <w:tc>
          <w:tcPr>
            <w:tcW w:w="296" w:type="pct"/>
            <w:vAlign w:val="center"/>
          </w:tcPr>
          <w:p w14:paraId="00430F96">
            <w:pPr>
              <w:pStyle w:val="78"/>
              <w:rPr>
                <w:rFonts w:cs="Times New Roman"/>
              </w:rPr>
            </w:pPr>
            <w:r>
              <w:rPr>
                <w:rFonts w:cs="Times New Roman"/>
              </w:rPr>
              <w:t>3</w:t>
            </w:r>
          </w:p>
        </w:tc>
        <w:tc>
          <w:tcPr>
            <w:tcW w:w="297" w:type="pct"/>
            <w:vAlign w:val="center"/>
          </w:tcPr>
          <w:p w14:paraId="27B9913C">
            <w:pPr>
              <w:pStyle w:val="78"/>
              <w:rPr>
                <w:rFonts w:cs="Times New Roman"/>
              </w:rPr>
            </w:pPr>
            <w:r>
              <w:rPr>
                <w:rFonts w:cs="Times New Roman"/>
              </w:rPr>
              <w:t>12</w:t>
            </w:r>
          </w:p>
        </w:tc>
        <w:tc>
          <w:tcPr>
            <w:tcW w:w="297" w:type="pct"/>
            <w:vAlign w:val="center"/>
          </w:tcPr>
          <w:p w14:paraId="150576EE">
            <w:pPr>
              <w:pStyle w:val="78"/>
              <w:rPr>
                <w:rFonts w:cs="Times New Roman"/>
              </w:rPr>
            </w:pPr>
            <w:r>
              <w:rPr>
                <w:rFonts w:cs="Times New Roman"/>
              </w:rPr>
              <w:t>ND</w:t>
            </w:r>
          </w:p>
        </w:tc>
        <w:tc>
          <w:tcPr>
            <w:tcW w:w="297" w:type="pct"/>
            <w:vAlign w:val="center"/>
          </w:tcPr>
          <w:p w14:paraId="0DB038F1">
            <w:pPr>
              <w:pStyle w:val="78"/>
              <w:rPr>
                <w:rFonts w:cs="Times New Roman"/>
              </w:rPr>
            </w:pPr>
            <w:r>
              <w:rPr>
                <w:rFonts w:cs="Times New Roman"/>
              </w:rPr>
              <w:t>12</w:t>
            </w:r>
          </w:p>
        </w:tc>
        <w:tc>
          <w:tcPr>
            <w:tcW w:w="261" w:type="pct"/>
            <w:vAlign w:val="center"/>
          </w:tcPr>
          <w:p w14:paraId="3C853D08">
            <w:pPr>
              <w:pStyle w:val="78"/>
              <w:rPr>
                <w:rFonts w:cs="Times New Roman"/>
              </w:rPr>
            </w:pPr>
            <w:r>
              <w:rPr>
                <w:rFonts w:cs="Times New Roman"/>
              </w:rPr>
              <w:t>ND</w:t>
            </w:r>
          </w:p>
        </w:tc>
        <w:tc>
          <w:tcPr>
            <w:tcW w:w="254" w:type="pct"/>
            <w:vAlign w:val="center"/>
          </w:tcPr>
          <w:p w14:paraId="5E8340AF">
            <w:pPr>
              <w:pStyle w:val="78"/>
              <w:rPr>
                <w:rFonts w:cs="Times New Roman"/>
              </w:rPr>
            </w:pPr>
            <w:r>
              <w:rPr>
                <w:rFonts w:cs="Times New Roman"/>
              </w:rPr>
              <w:t>8</w:t>
            </w:r>
          </w:p>
        </w:tc>
        <w:tc>
          <w:tcPr>
            <w:tcW w:w="256" w:type="pct"/>
            <w:vAlign w:val="center"/>
          </w:tcPr>
          <w:p w14:paraId="6C555F2D">
            <w:pPr>
              <w:pStyle w:val="78"/>
              <w:rPr>
                <w:rFonts w:cs="Times New Roman"/>
              </w:rPr>
            </w:pPr>
            <w:r>
              <w:rPr>
                <w:rFonts w:cs="Times New Roman"/>
              </w:rPr>
              <w:t>13.8</w:t>
            </w:r>
          </w:p>
        </w:tc>
        <w:tc>
          <w:tcPr>
            <w:tcW w:w="205" w:type="pct"/>
            <w:vAlign w:val="center"/>
          </w:tcPr>
          <w:p w14:paraId="223126E1">
            <w:pPr>
              <w:pStyle w:val="78"/>
              <w:rPr>
                <w:rFonts w:cs="Times New Roman"/>
              </w:rPr>
            </w:pPr>
            <w:r>
              <w:rPr>
                <w:rFonts w:cs="Times New Roman"/>
              </w:rPr>
              <w:t>ND</w:t>
            </w:r>
          </w:p>
        </w:tc>
        <w:tc>
          <w:tcPr>
            <w:tcW w:w="450" w:type="pct"/>
            <w:vAlign w:val="center"/>
          </w:tcPr>
          <w:p w14:paraId="52AD3E02">
            <w:pPr>
              <w:pStyle w:val="78"/>
              <w:rPr>
                <w:rFonts w:cs="Times New Roman"/>
              </w:rPr>
            </w:pPr>
            <w:r>
              <w:rPr>
                <w:rFonts w:cs="Times New Roman"/>
              </w:rPr>
              <w:t>0.079</w:t>
            </w:r>
          </w:p>
        </w:tc>
      </w:tr>
      <w:tr w14:paraId="30C8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77B78D0F">
            <w:pPr>
              <w:pStyle w:val="78"/>
              <w:rPr>
                <w:rFonts w:cs="Times New Roman"/>
              </w:rPr>
            </w:pPr>
          </w:p>
        </w:tc>
        <w:tc>
          <w:tcPr>
            <w:tcW w:w="318" w:type="pct"/>
            <w:vAlign w:val="center"/>
          </w:tcPr>
          <w:p w14:paraId="57AB5EA6">
            <w:pPr>
              <w:pStyle w:val="78"/>
              <w:rPr>
                <w:rFonts w:cs="Times New Roman"/>
              </w:rPr>
            </w:pPr>
            <w:r>
              <w:rPr>
                <w:rFonts w:cs="Times New Roman"/>
              </w:rPr>
              <w:t>SH-9</w:t>
            </w:r>
          </w:p>
        </w:tc>
        <w:tc>
          <w:tcPr>
            <w:tcW w:w="387" w:type="pct"/>
            <w:vAlign w:val="center"/>
          </w:tcPr>
          <w:p w14:paraId="645AFD37">
            <w:pPr>
              <w:pStyle w:val="78"/>
              <w:rPr>
                <w:rFonts w:cs="Times New Roman"/>
              </w:rPr>
            </w:pPr>
            <w:r>
              <w:rPr>
                <w:rFonts w:cs="Times New Roman"/>
              </w:rPr>
              <w:t>0~0.2m</w:t>
            </w:r>
          </w:p>
        </w:tc>
        <w:tc>
          <w:tcPr>
            <w:tcW w:w="385" w:type="pct"/>
            <w:vAlign w:val="center"/>
          </w:tcPr>
          <w:p w14:paraId="11B10AF0">
            <w:pPr>
              <w:pStyle w:val="78"/>
              <w:rPr>
                <w:rFonts w:cs="Times New Roman"/>
              </w:rPr>
            </w:pPr>
            <w:r>
              <w:rPr>
                <w:rFonts w:cs="Times New Roman"/>
              </w:rPr>
              <w:t>5.42</w:t>
            </w:r>
          </w:p>
        </w:tc>
        <w:tc>
          <w:tcPr>
            <w:tcW w:w="296" w:type="pct"/>
            <w:vAlign w:val="center"/>
          </w:tcPr>
          <w:p w14:paraId="4FFD5880">
            <w:pPr>
              <w:pStyle w:val="78"/>
              <w:rPr>
                <w:rFonts w:cs="Times New Roman"/>
              </w:rPr>
            </w:pPr>
            <w:r>
              <w:rPr>
                <w:rFonts w:cs="Times New Roman"/>
              </w:rPr>
              <w:t>ND</w:t>
            </w:r>
          </w:p>
        </w:tc>
        <w:tc>
          <w:tcPr>
            <w:tcW w:w="297" w:type="pct"/>
            <w:vAlign w:val="center"/>
          </w:tcPr>
          <w:p w14:paraId="453912FF">
            <w:pPr>
              <w:pStyle w:val="78"/>
              <w:rPr>
                <w:rFonts w:cs="Times New Roman"/>
              </w:rPr>
            </w:pPr>
            <w:r>
              <w:rPr>
                <w:rFonts w:cs="Times New Roman"/>
              </w:rPr>
              <w:t>0.027</w:t>
            </w:r>
          </w:p>
        </w:tc>
        <w:tc>
          <w:tcPr>
            <w:tcW w:w="297" w:type="pct"/>
            <w:vAlign w:val="center"/>
          </w:tcPr>
          <w:p w14:paraId="399A9B13">
            <w:pPr>
              <w:pStyle w:val="78"/>
              <w:rPr>
                <w:rFonts w:cs="Times New Roman"/>
              </w:rPr>
            </w:pPr>
            <w:r>
              <w:rPr>
                <w:rFonts w:cs="Times New Roman"/>
              </w:rPr>
              <w:t>3.94</w:t>
            </w:r>
          </w:p>
        </w:tc>
        <w:tc>
          <w:tcPr>
            <w:tcW w:w="296" w:type="pct"/>
            <w:vAlign w:val="center"/>
          </w:tcPr>
          <w:p w14:paraId="7B3C0AF4">
            <w:pPr>
              <w:pStyle w:val="78"/>
              <w:rPr>
                <w:rFonts w:cs="Times New Roman"/>
              </w:rPr>
            </w:pPr>
            <w:r>
              <w:rPr>
                <w:rFonts w:cs="Times New Roman"/>
              </w:rPr>
              <w:t>7</w:t>
            </w:r>
          </w:p>
        </w:tc>
        <w:tc>
          <w:tcPr>
            <w:tcW w:w="297" w:type="pct"/>
            <w:vAlign w:val="center"/>
          </w:tcPr>
          <w:p w14:paraId="497D37CA">
            <w:pPr>
              <w:pStyle w:val="78"/>
              <w:rPr>
                <w:rFonts w:cs="Times New Roman"/>
              </w:rPr>
            </w:pPr>
            <w:r>
              <w:rPr>
                <w:rFonts w:cs="Times New Roman"/>
              </w:rPr>
              <w:t>48</w:t>
            </w:r>
          </w:p>
        </w:tc>
        <w:tc>
          <w:tcPr>
            <w:tcW w:w="297" w:type="pct"/>
            <w:vAlign w:val="center"/>
          </w:tcPr>
          <w:p w14:paraId="63D211AE">
            <w:pPr>
              <w:pStyle w:val="78"/>
              <w:rPr>
                <w:rFonts w:cs="Times New Roman"/>
              </w:rPr>
            </w:pPr>
            <w:r>
              <w:rPr>
                <w:rFonts w:cs="Times New Roman"/>
              </w:rPr>
              <w:t>10</w:t>
            </w:r>
          </w:p>
        </w:tc>
        <w:tc>
          <w:tcPr>
            <w:tcW w:w="297" w:type="pct"/>
            <w:vAlign w:val="center"/>
          </w:tcPr>
          <w:p w14:paraId="0CFD1D20">
            <w:pPr>
              <w:pStyle w:val="78"/>
              <w:rPr>
                <w:rFonts w:cs="Times New Roman"/>
              </w:rPr>
            </w:pPr>
            <w:r>
              <w:rPr>
                <w:rFonts w:cs="Times New Roman"/>
              </w:rPr>
              <w:t>42</w:t>
            </w:r>
          </w:p>
        </w:tc>
        <w:tc>
          <w:tcPr>
            <w:tcW w:w="261" w:type="pct"/>
            <w:vAlign w:val="center"/>
          </w:tcPr>
          <w:p w14:paraId="65531117">
            <w:pPr>
              <w:pStyle w:val="78"/>
              <w:rPr>
                <w:rFonts w:cs="Times New Roman"/>
              </w:rPr>
            </w:pPr>
            <w:r>
              <w:rPr>
                <w:rFonts w:cs="Times New Roman"/>
              </w:rPr>
              <w:t>0.01</w:t>
            </w:r>
          </w:p>
        </w:tc>
        <w:tc>
          <w:tcPr>
            <w:tcW w:w="254" w:type="pct"/>
            <w:vAlign w:val="center"/>
          </w:tcPr>
          <w:p w14:paraId="3EC38F99">
            <w:pPr>
              <w:pStyle w:val="78"/>
              <w:rPr>
                <w:rFonts w:cs="Times New Roman"/>
              </w:rPr>
            </w:pPr>
            <w:r>
              <w:rPr>
                <w:rFonts w:cs="Times New Roman"/>
              </w:rPr>
              <w:t>——</w:t>
            </w:r>
          </w:p>
        </w:tc>
        <w:tc>
          <w:tcPr>
            <w:tcW w:w="256" w:type="pct"/>
            <w:vAlign w:val="center"/>
          </w:tcPr>
          <w:p w14:paraId="6F68BE2A">
            <w:pPr>
              <w:pStyle w:val="78"/>
              <w:rPr>
                <w:rFonts w:cs="Times New Roman"/>
              </w:rPr>
            </w:pPr>
            <w:r>
              <w:rPr>
                <w:rFonts w:cs="Times New Roman"/>
              </w:rPr>
              <w:t>30.5</w:t>
            </w:r>
          </w:p>
        </w:tc>
        <w:tc>
          <w:tcPr>
            <w:tcW w:w="205" w:type="pct"/>
            <w:vAlign w:val="center"/>
          </w:tcPr>
          <w:p w14:paraId="20544C71">
            <w:pPr>
              <w:pStyle w:val="78"/>
              <w:rPr>
                <w:rFonts w:cs="Times New Roman"/>
              </w:rPr>
            </w:pPr>
            <w:r>
              <w:rPr>
                <w:rFonts w:cs="Times New Roman"/>
              </w:rPr>
              <w:t>3</w:t>
            </w:r>
          </w:p>
        </w:tc>
        <w:tc>
          <w:tcPr>
            <w:tcW w:w="450" w:type="pct"/>
            <w:vAlign w:val="center"/>
          </w:tcPr>
          <w:p w14:paraId="5D055634">
            <w:pPr>
              <w:pStyle w:val="78"/>
              <w:rPr>
                <w:rFonts w:cs="Times New Roman"/>
              </w:rPr>
            </w:pPr>
            <w:r>
              <w:rPr>
                <w:rFonts w:cs="Times New Roman"/>
              </w:rPr>
              <w:t>0.068</w:t>
            </w:r>
          </w:p>
        </w:tc>
      </w:tr>
      <w:tr w14:paraId="4A81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26C00552">
            <w:pPr>
              <w:pStyle w:val="78"/>
              <w:rPr>
                <w:rFonts w:cs="Times New Roman"/>
              </w:rPr>
            </w:pPr>
          </w:p>
        </w:tc>
        <w:tc>
          <w:tcPr>
            <w:tcW w:w="318" w:type="pct"/>
            <w:vAlign w:val="center"/>
          </w:tcPr>
          <w:p w14:paraId="2F98EC50">
            <w:pPr>
              <w:pStyle w:val="78"/>
              <w:rPr>
                <w:rFonts w:cs="Times New Roman"/>
              </w:rPr>
            </w:pPr>
            <w:r>
              <w:rPr>
                <w:rFonts w:cs="Times New Roman"/>
              </w:rPr>
              <w:t>SH-10</w:t>
            </w:r>
          </w:p>
        </w:tc>
        <w:tc>
          <w:tcPr>
            <w:tcW w:w="387" w:type="pct"/>
            <w:vAlign w:val="center"/>
          </w:tcPr>
          <w:p w14:paraId="18AE8485">
            <w:pPr>
              <w:pStyle w:val="78"/>
              <w:rPr>
                <w:rFonts w:cs="Times New Roman"/>
              </w:rPr>
            </w:pPr>
            <w:r>
              <w:rPr>
                <w:rFonts w:cs="Times New Roman"/>
              </w:rPr>
              <w:t>0~0.2m</w:t>
            </w:r>
          </w:p>
        </w:tc>
        <w:tc>
          <w:tcPr>
            <w:tcW w:w="385" w:type="pct"/>
            <w:vAlign w:val="center"/>
          </w:tcPr>
          <w:p w14:paraId="7A1E926B">
            <w:pPr>
              <w:pStyle w:val="78"/>
              <w:rPr>
                <w:rFonts w:cs="Times New Roman"/>
              </w:rPr>
            </w:pPr>
            <w:r>
              <w:rPr>
                <w:rFonts w:cs="Times New Roman"/>
              </w:rPr>
              <w:t>5.93</w:t>
            </w:r>
          </w:p>
        </w:tc>
        <w:tc>
          <w:tcPr>
            <w:tcW w:w="296" w:type="pct"/>
            <w:vAlign w:val="center"/>
          </w:tcPr>
          <w:p w14:paraId="01E4043E">
            <w:pPr>
              <w:pStyle w:val="78"/>
              <w:rPr>
                <w:rFonts w:cs="Times New Roman"/>
              </w:rPr>
            </w:pPr>
            <w:r>
              <w:rPr>
                <w:rFonts w:cs="Times New Roman"/>
              </w:rPr>
              <w:t>ND</w:t>
            </w:r>
          </w:p>
        </w:tc>
        <w:tc>
          <w:tcPr>
            <w:tcW w:w="297" w:type="pct"/>
            <w:vAlign w:val="center"/>
          </w:tcPr>
          <w:p w14:paraId="23836B42">
            <w:pPr>
              <w:pStyle w:val="78"/>
              <w:rPr>
                <w:rFonts w:cs="Times New Roman"/>
              </w:rPr>
            </w:pPr>
            <w:r>
              <w:rPr>
                <w:rFonts w:cs="Times New Roman"/>
              </w:rPr>
              <w:t>0.014</w:t>
            </w:r>
          </w:p>
        </w:tc>
        <w:tc>
          <w:tcPr>
            <w:tcW w:w="297" w:type="pct"/>
            <w:vAlign w:val="center"/>
          </w:tcPr>
          <w:p w14:paraId="03B68751">
            <w:pPr>
              <w:pStyle w:val="78"/>
              <w:rPr>
                <w:rFonts w:cs="Times New Roman"/>
              </w:rPr>
            </w:pPr>
            <w:r>
              <w:rPr>
                <w:rFonts w:cs="Times New Roman"/>
              </w:rPr>
              <w:t>1.52</w:t>
            </w:r>
          </w:p>
        </w:tc>
        <w:tc>
          <w:tcPr>
            <w:tcW w:w="296" w:type="pct"/>
            <w:vAlign w:val="center"/>
          </w:tcPr>
          <w:p w14:paraId="0C71EBB8">
            <w:pPr>
              <w:pStyle w:val="78"/>
              <w:rPr>
                <w:rFonts w:cs="Times New Roman"/>
              </w:rPr>
            </w:pPr>
            <w:r>
              <w:rPr>
                <w:rFonts w:cs="Times New Roman"/>
              </w:rPr>
              <w:t>2</w:t>
            </w:r>
          </w:p>
        </w:tc>
        <w:tc>
          <w:tcPr>
            <w:tcW w:w="297" w:type="pct"/>
            <w:vAlign w:val="center"/>
          </w:tcPr>
          <w:p w14:paraId="096CBBA7">
            <w:pPr>
              <w:pStyle w:val="78"/>
              <w:rPr>
                <w:rFonts w:cs="Times New Roman"/>
              </w:rPr>
            </w:pPr>
            <w:r>
              <w:rPr>
                <w:rFonts w:cs="Times New Roman"/>
              </w:rPr>
              <w:t>11</w:t>
            </w:r>
          </w:p>
        </w:tc>
        <w:tc>
          <w:tcPr>
            <w:tcW w:w="297" w:type="pct"/>
            <w:vAlign w:val="center"/>
          </w:tcPr>
          <w:p w14:paraId="2B67A5EC">
            <w:pPr>
              <w:pStyle w:val="78"/>
              <w:rPr>
                <w:rFonts w:cs="Times New Roman"/>
              </w:rPr>
            </w:pPr>
            <w:r>
              <w:rPr>
                <w:rFonts w:cs="Times New Roman"/>
              </w:rPr>
              <w:t>4</w:t>
            </w:r>
          </w:p>
        </w:tc>
        <w:tc>
          <w:tcPr>
            <w:tcW w:w="297" w:type="pct"/>
            <w:vAlign w:val="center"/>
          </w:tcPr>
          <w:p w14:paraId="425527AD">
            <w:pPr>
              <w:pStyle w:val="78"/>
              <w:rPr>
                <w:rFonts w:cs="Times New Roman"/>
              </w:rPr>
            </w:pPr>
            <w:r>
              <w:rPr>
                <w:rFonts w:cs="Times New Roman"/>
              </w:rPr>
              <w:t>19</w:t>
            </w:r>
          </w:p>
        </w:tc>
        <w:tc>
          <w:tcPr>
            <w:tcW w:w="261" w:type="pct"/>
            <w:vAlign w:val="center"/>
          </w:tcPr>
          <w:p w14:paraId="57DFE2A0">
            <w:pPr>
              <w:pStyle w:val="78"/>
              <w:rPr>
                <w:rFonts w:cs="Times New Roman"/>
              </w:rPr>
            </w:pPr>
            <w:r>
              <w:rPr>
                <w:rFonts w:cs="Times New Roman"/>
              </w:rPr>
              <w:t>0.02</w:t>
            </w:r>
          </w:p>
        </w:tc>
        <w:tc>
          <w:tcPr>
            <w:tcW w:w="254" w:type="pct"/>
            <w:vAlign w:val="center"/>
          </w:tcPr>
          <w:p w14:paraId="4305F89B">
            <w:pPr>
              <w:pStyle w:val="78"/>
              <w:rPr>
                <w:rFonts w:cs="Times New Roman"/>
              </w:rPr>
            </w:pPr>
            <w:r>
              <w:rPr>
                <w:rFonts w:cs="Times New Roman"/>
              </w:rPr>
              <w:t>——</w:t>
            </w:r>
          </w:p>
        </w:tc>
        <w:tc>
          <w:tcPr>
            <w:tcW w:w="256" w:type="pct"/>
            <w:vAlign w:val="center"/>
          </w:tcPr>
          <w:p w14:paraId="571F1C09">
            <w:pPr>
              <w:pStyle w:val="78"/>
              <w:rPr>
                <w:rFonts w:cs="Times New Roman"/>
              </w:rPr>
            </w:pPr>
            <w:r>
              <w:rPr>
                <w:rFonts w:cs="Times New Roman"/>
              </w:rPr>
              <w:t>14.8</w:t>
            </w:r>
          </w:p>
        </w:tc>
        <w:tc>
          <w:tcPr>
            <w:tcW w:w="205" w:type="pct"/>
            <w:vAlign w:val="center"/>
          </w:tcPr>
          <w:p w14:paraId="5F837B48">
            <w:pPr>
              <w:pStyle w:val="78"/>
              <w:rPr>
                <w:rFonts w:cs="Times New Roman"/>
              </w:rPr>
            </w:pPr>
            <w:r>
              <w:rPr>
                <w:rFonts w:cs="Times New Roman"/>
              </w:rPr>
              <w:t>ND</w:t>
            </w:r>
          </w:p>
        </w:tc>
        <w:tc>
          <w:tcPr>
            <w:tcW w:w="450" w:type="pct"/>
            <w:vAlign w:val="center"/>
          </w:tcPr>
          <w:p w14:paraId="521D5637">
            <w:pPr>
              <w:pStyle w:val="78"/>
              <w:rPr>
                <w:rFonts w:cs="Times New Roman"/>
              </w:rPr>
            </w:pPr>
            <w:r>
              <w:rPr>
                <w:rFonts w:cs="Times New Roman"/>
              </w:rPr>
              <w:t>0.064</w:t>
            </w:r>
          </w:p>
        </w:tc>
      </w:tr>
      <w:tr w14:paraId="10C8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7" w:type="pct"/>
            <w:vMerge w:val="continue"/>
            <w:vAlign w:val="center"/>
          </w:tcPr>
          <w:p w14:paraId="6235C363">
            <w:pPr>
              <w:pStyle w:val="78"/>
              <w:rPr>
                <w:rFonts w:cs="Times New Roman"/>
              </w:rPr>
            </w:pPr>
          </w:p>
        </w:tc>
        <w:tc>
          <w:tcPr>
            <w:tcW w:w="318" w:type="pct"/>
            <w:vAlign w:val="center"/>
          </w:tcPr>
          <w:p w14:paraId="43958B4D">
            <w:pPr>
              <w:pStyle w:val="78"/>
              <w:rPr>
                <w:rFonts w:cs="Times New Roman"/>
              </w:rPr>
            </w:pPr>
            <w:r>
              <w:rPr>
                <w:rFonts w:cs="Times New Roman"/>
              </w:rPr>
              <w:t>SH-11</w:t>
            </w:r>
          </w:p>
        </w:tc>
        <w:tc>
          <w:tcPr>
            <w:tcW w:w="387" w:type="pct"/>
            <w:vAlign w:val="center"/>
          </w:tcPr>
          <w:p w14:paraId="5B0DD6BF">
            <w:pPr>
              <w:pStyle w:val="78"/>
              <w:rPr>
                <w:rFonts w:cs="Times New Roman"/>
              </w:rPr>
            </w:pPr>
            <w:r>
              <w:rPr>
                <w:rFonts w:cs="Times New Roman"/>
              </w:rPr>
              <w:t>0~0.2m</w:t>
            </w:r>
          </w:p>
        </w:tc>
        <w:tc>
          <w:tcPr>
            <w:tcW w:w="385" w:type="pct"/>
            <w:vAlign w:val="center"/>
          </w:tcPr>
          <w:p w14:paraId="3CF44C0E">
            <w:pPr>
              <w:pStyle w:val="78"/>
              <w:rPr>
                <w:rFonts w:cs="Times New Roman"/>
              </w:rPr>
            </w:pPr>
            <w:r>
              <w:rPr>
                <w:rFonts w:cs="Times New Roman"/>
              </w:rPr>
              <w:t>5.40</w:t>
            </w:r>
          </w:p>
        </w:tc>
        <w:tc>
          <w:tcPr>
            <w:tcW w:w="296" w:type="pct"/>
            <w:vAlign w:val="center"/>
          </w:tcPr>
          <w:p w14:paraId="031699CB">
            <w:pPr>
              <w:pStyle w:val="78"/>
              <w:rPr>
                <w:rFonts w:cs="Times New Roman"/>
              </w:rPr>
            </w:pPr>
            <w:r>
              <w:rPr>
                <w:rFonts w:cs="Times New Roman"/>
              </w:rPr>
              <w:t>ND</w:t>
            </w:r>
          </w:p>
        </w:tc>
        <w:tc>
          <w:tcPr>
            <w:tcW w:w="297" w:type="pct"/>
            <w:vAlign w:val="center"/>
          </w:tcPr>
          <w:p w14:paraId="1516B905">
            <w:pPr>
              <w:pStyle w:val="78"/>
              <w:rPr>
                <w:rFonts w:cs="Times New Roman"/>
              </w:rPr>
            </w:pPr>
            <w:r>
              <w:rPr>
                <w:rFonts w:cs="Times New Roman"/>
              </w:rPr>
              <w:t>0.008</w:t>
            </w:r>
          </w:p>
        </w:tc>
        <w:tc>
          <w:tcPr>
            <w:tcW w:w="297" w:type="pct"/>
            <w:vAlign w:val="center"/>
          </w:tcPr>
          <w:p w14:paraId="23C4B81B">
            <w:pPr>
              <w:pStyle w:val="78"/>
              <w:rPr>
                <w:rFonts w:cs="Times New Roman"/>
              </w:rPr>
            </w:pPr>
            <w:r>
              <w:rPr>
                <w:rFonts w:cs="Times New Roman"/>
              </w:rPr>
              <w:t>1.41</w:t>
            </w:r>
          </w:p>
        </w:tc>
        <w:tc>
          <w:tcPr>
            <w:tcW w:w="296" w:type="pct"/>
            <w:vAlign w:val="center"/>
          </w:tcPr>
          <w:p w14:paraId="4CD7B2A2">
            <w:pPr>
              <w:pStyle w:val="78"/>
              <w:rPr>
                <w:rFonts w:cs="Times New Roman"/>
              </w:rPr>
            </w:pPr>
            <w:r>
              <w:rPr>
                <w:rFonts w:cs="Times New Roman"/>
              </w:rPr>
              <w:t>2</w:t>
            </w:r>
          </w:p>
        </w:tc>
        <w:tc>
          <w:tcPr>
            <w:tcW w:w="297" w:type="pct"/>
            <w:vAlign w:val="center"/>
          </w:tcPr>
          <w:p w14:paraId="09ECCDFE">
            <w:pPr>
              <w:pStyle w:val="78"/>
              <w:rPr>
                <w:rFonts w:cs="Times New Roman"/>
              </w:rPr>
            </w:pPr>
            <w:r>
              <w:rPr>
                <w:rFonts w:cs="Times New Roman"/>
              </w:rPr>
              <w:t>ND</w:t>
            </w:r>
          </w:p>
        </w:tc>
        <w:tc>
          <w:tcPr>
            <w:tcW w:w="297" w:type="pct"/>
            <w:vAlign w:val="center"/>
          </w:tcPr>
          <w:p w14:paraId="5CA73448">
            <w:pPr>
              <w:pStyle w:val="78"/>
              <w:rPr>
                <w:rFonts w:cs="Times New Roman"/>
              </w:rPr>
            </w:pPr>
            <w:r>
              <w:rPr>
                <w:rFonts w:cs="Times New Roman"/>
              </w:rPr>
              <w:t>4</w:t>
            </w:r>
          </w:p>
        </w:tc>
        <w:tc>
          <w:tcPr>
            <w:tcW w:w="297" w:type="pct"/>
            <w:vAlign w:val="center"/>
          </w:tcPr>
          <w:p w14:paraId="158D920A">
            <w:pPr>
              <w:pStyle w:val="78"/>
              <w:rPr>
                <w:rFonts w:cs="Times New Roman"/>
              </w:rPr>
            </w:pPr>
            <w:r>
              <w:rPr>
                <w:rFonts w:cs="Times New Roman"/>
              </w:rPr>
              <w:t>13</w:t>
            </w:r>
          </w:p>
        </w:tc>
        <w:tc>
          <w:tcPr>
            <w:tcW w:w="261" w:type="pct"/>
            <w:vAlign w:val="center"/>
          </w:tcPr>
          <w:p w14:paraId="732841FA">
            <w:pPr>
              <w:pStyle w:val="78"/>
              <w:rPr>
                <w:rFonts w:cs="Times New Roman"/>
              </w:rPr>
            </w:pPr>
            <w:r>
              <w:rPr>
                <w:rFonts w:cs="Times New Roman"/>
              </w:rPr>
              <w:t>0.01</w:t>
            </w:r>
          </w:p>
        </w:tc>
        <w:tc>
          <w:tcPr>
            <w:tcW w:w="254" w:type="pct"/>
            <w:vAlign w:val="center"/>
          </w:tcPr>
          <w:p w14:paraId="6A78046F">
            <w:pPr>
              <w:pStyle w:val="78"/>
              <w:rPr>
                <w:rFonts w:cs="Times New Roman"/>
              </w:rPr>
            </w:pPr>
            <w:r>
              <w:rPr>
                <w:rFonts w:cs="Times New Roman"/>
              </w:rPr>
              <w:t>——</w:t>
            </w:r>
          </w:p>
        </w:tc>
        <w:tc>
          <w:tcPr>
            <w:tcW w:w="256" w:type="pct"/>
            <w:vAlign w:val="center"/>
          </w:tcPr>
          <w:p w14:paraId="194F16D4">
            <w:pPr>
              <w:pStyle w:val="78"/>
              <w:rPr>
                <w:rFonts w:cs="Times New Roman"/>
              </w:rPr>
            </w:pPr>
            <w:r>
              <w:rPr>
                <w:rFonts w:cs="Times New Roman"/>
              </w:rPr>
              <w:t>13.6</w:t>
            </w:r>
          </w:p>
        </w:tc>
        <w:tc>
          <w:tcPr>
            <w:tcW w:w="205" w:type="pct"/>
            <w:vAlign w:val="center"/>
          </w:tcPr>
          <w:p w14:paraId="0A2B8A33">
            <w:pPr>
              <w:pStyle w:val="78"/>
              <w:rPr>
                <w:rFonts w:cs="Times New Roman"/>
              </w:rPr>
            </w:pPr>
            <w:r>
              <w:rPr>
                <w:rFonts w:cs="Times New Roman"/>
              </w:rPr>
              <w:t>ND</w:t>
            </w:r>
          </w:p>
        </w:tc>
        <w:tc>
          <w:tcPr>
            <w:tcW w:w="450" w:type="pct"/>
            <w:vAlign w:val="center"/>
          </w:tcPr>
          <w:p w14:paraId="43618F6F">
            <w:pPr>
              <w:pStyle w:val="78"/>
              <w:rPr>
                <w:rFonts w:cs="Times New Roman"/>
              </w:rPr>
            </w:pPr>
            <w:r>
              <w:rPr>
                <w:rFonts w:cs="Times New Roman"/>
              </w:rPr>
              <w:t>0.080</w:t>
            </w:r>
          </w:p>
        </w:tc>
      </w:tr>
    </w:tbl>
    <w:p w14:paraId="72D96163">
      <w:pPr>
        <w:ind w:firstLine="480"/>
        <w:rPr>
          <w:rFonts w:ascii="Times New Roman" w:hAnsi="Times New Roman" w:cs="Times New Roman"/>
        </w:rPr>
      </w:pPr>
    </w:p>
    <w:p w14:paraId="1879FF9D">
      <w:pPr>
        <w:pStyle w:val="14"/>
        <w:rPr>
          <w:rFonts w:cs="Times New Roman"/>
          <w:color w:val="auto"/>
        </w:rPr>
      </w:pPr>
    </w:p>
    <w:p w14:paraId="1B4FEC33">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18</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②</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975"/>
        <w:gridCol w:w="1160"/>
        <w:gridCol w:w="1211"/>
        <w:gridCol w:w="1211"/>
        <w:gridCol w:w="1211"/>
        <w:gridCol w:w="1211"/>
        <w:gridCol w:w="1211"/>
        <w:gridCol w:w="1211"/>
        <w:gridCol w:w="1212"/>
        <w:gridCol w:w="1212"/>
        <w:gridCol w:w="1207"/>
      </w:tblGrid>
      <w:tr w14:paraId="5BAC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7" w:type="pct"/>
            <w:vMerge w:val="restart"/>
            <w:vAlign w:val="center"/>
          </w:tcPr>
          <w:p w14:paraId="642522E9">
            <w:pPr>
              <w:pStyle w:val="78"/>
              <w:rPr>
                <w:rFonts w:cs="Times New Roman"/>
                <w:b/>
              </w:rPr>
            </w:pPr>
            <w:r>
              <w:rPr>
                <w:rFonts w:cs="Times New Roman"/>
                <w:b/>
              </w:rPr>
              <w:t>采样日期</w:t>
            </w:r>
          </w:p>
        </w:tc>
        <w:tc>
          <w:tcPr>
            <w:tcW w:w="751" w:type="pct"/>
            <w:gridSpan w:val="2"/>
            <w:vMerge w:val="restart"/>
            <w:vAlign w:val="center"/>
          </w:tcPr>
          <w:p w14:paraId="7FB9424C">
            <w:pPr>
              <w:pStyle w:val="78"/>
              <w:rPr>
                <w:rFonts w:cs="Times New Roman"/>
                <w:b/>
              </w:rPr>
            </w:pPr>
            <w:r>
              <w:rPr>
                <w:rFonts w:cs="Times New Roman"/>
                <w:b/>
              </w:rPr>
              <w:t>采样点位</w:t>
            </w:r>
          </w:p>
        </w:tc>
        <w:tc>
          <w:tcPr>
            <w:tcW w:w="3832" w:type="pct"/>
            <w:gridSpan w:val="9"/>
            <w:vAlign w:val="center"/>
          </w:tcPr>
          <w:p w14:paraId="01314EE8">
            <w:pPr>
              <w:pStyle w:val="78"/>
              <w:rPr>
                <w:rFonts w:cs="Times New Roman"/>
                <w:b/>
              </w:rPr>
            </w:pPr>
            <w:r>
              <w:rPr>
                <w:rFonts w:cs="Times New Roman"/>
                <w:b/>
              </w:rPr>
              <w:t>检测结果（μg/kg）</w:t>
            </w:r>
          </w:p>
        </w:tc>
      </w:tr>
      <w:tr w14:paraId="1EA4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7" w:type="pct"/>
            <w:vMerge w:val="continue"/>
            <w:vAlign w:val="center"/>
          </w:tcPr>
          <w:p w14:paraId="0D4D74F3">
            <w:pPr>
              <w:pStyle w:val="78"/>
              <w:rPr>
                <w:rFonts w:cs="Times New Roman"/>
                <w:b/>
              </w:rPr>
            </w:pPr>
          </w:p>
        </w:tc>
        <w:tc>
          <w:tcPr>
            <w:tcW w:w="751" w:type="pct"/>
            <w:gridSpan w:val="2"/>
            <w:vMerge w:val="continue"/>
            <w:vAlign w:val="center"/>
          </w:tcPr>
          <w:p w14:paraId="6F8C43C6">
            <w:pPr>
              <w:pStyle w:val="78"/>
              <w:rPr>
                <w:rFonts w:cs="Times New Roman"/>
                <w:b/>
              </w:rPr>
            </w:pPr>
          </w:p>
        </w:tc>
        <w:tc>
          <w:tcPr>
            <w:tcW w:w="426" w:type="pct"/>
            <w:vAlign w:val="center"/>
          </w:tcPr>
          <w:p w14:paraId="7310F74A">
            <w:pPr>
              <w:pStyle w:val="78"/>
              <w:rPr>
                <w:rFonts w:cs="Times New Roman"/>
                <w:b/>
              </w:rPr>
            </w:pPr>
            <w:r>
              <w:rPr>
                <w:rFonts w:cs="Times New Roman"/>
                <w:b/>
              </w:rPr>
              <w:t>四氯化碳</w:t>
            </w:r>
          </w:p>
        </w:tc>
        <w:tc>
          <w:tcPr>
            <w:tcW w:w="426" w:type="pct"/>
            <w:vAlign w:val="center"/>
          </w:tcPr>
          <w:p w14:paraId="6CEBD588">
            <w:pPr>
              <w:pStyle w:val="78"/>
              <w:rPr>
                <w:rFonts w:cs="Times New Roman"/>
                <w:b/>
              </w:rPr>
            </w:pPr>
            <w:r>
              <w:rPr>
                <w:rFonts w:cs="Times New Roman"/>
                <w:b/>
              </w:rPr>
              <w:t>氯仿</w:t>
            </w:r>
          </w:p>
        </w:tc>
        <w:tc>
          <w:tcPr>
            <w:tcW w:w="426" w:type="pct"/>
            <w:vAlign w:val="center"/>
          </w:tcPr>
          <w:p w14:paraId="2E6BA1CB">
            <w:pPr>
              <w:pStyle w:val="78"/>
              <w:rPr>
                <w:rFonts w:cs="Times New Roman"/>
                <w:b/>
              </w:rPr>
            </w:pPr>
            <w:r>
              <w:rPr>
                <w:rFonts w:cs="Times New Roman"/>
                <w:b/>
              </w:rPr>
              <w:t>氯甲烷</w:t>
            </w:r>
          </w:p>
        </w:tc>
        <w:tc>
          <w:tcPr>
            <w:tcW w:w="426" w:type="pct"/>
            <w:vAlign w:val="center"/>
          </w:tcPr>
          <w:p w14:paraId="722AA510">
            <w:pPr>
              <w:pStyle w:val="78"/>
              <w:rPr>
                <w:rFonts w:cs="Times New Roman"/>
                <w:b/>
              </w:rPr>
            </w:pPr>
            <w:r>
              <w:rPr>
                <w:rFonts w:cs="Times New Roman"/>
                <w:b/>
              </w:rPr>
              <w:t>1,1-二氯乙烷</w:t>
            </w:r>
          </w:p>
        </w:tc>
        <w:tc>
          <w:tcPr>
            <w:tcW w:w="426" w:type="pct"/>
            <w:vAlign w:val="center"/>
          </w:tcPr>
          <w:p w14:paraId="690B391E">
            <w:pPr>
              <w:pStyle w:val="78"/>
              <w:rPr>
                <w:rFonts w:cs="Times New Roman"/>
                <w:b/>
              </w:rPr>
            </w:pPr>
            <w:r>
              <w:rPr>
                <w:rFonts w:cs="Times New Roman"/>
                <w:b/>
              </w:rPr>
              <w:t>1,2-二氯乙烷</w:t>
            </w:r>
          </w:p>
        </w:tc>
        <w:tc>
          <w:tcPr>
            <w:tcW w:w="426" w:type="pct"/>
            <w:vAlign w:val="center"/>
          </w:tcPr>
          <w:p w14:paraId="6E9B19B9">
            <w:pPr>
              <w:pStyle w:val="78"/>
              <w:rPr>
                <w:rFonts w:cs="Times New Roman"/>
                <w:b/>
              </w:rPr>
            </w:pPr>
            <w:r>
              <w:rPr>
                <w:rFonts w:cs="Times New Roman"/>
                <w:b/>
              </w:rPr>
              <w:t>1,1-二氯乙烯</w:t>
            </w:r>
          </w:p>
        </w:tc>
        <w:tc>
          <w:tcPr>
            <w:tcW w:w="426" w:type="pct"/>
            <w:vAlign w:val="center"/>
          </w:tcPr>
          <w:p w14:paraId="4F36C8A4">
            <w:pPr>
              <w:pStyle w:val="78"/>
              <w:rPr>
                <w:rFonts w:cs="Times New Roman"/>
                <w:b/>
              </w:rPr>
            </w:pPr>
            <w:r>
              <w:rPr>
                <w:rFonts w:cs="Times New Roman"/>
                <w:b/>
              </w:rPr>
              <w:t>顺式-1,2-二氯乙烯</w:t>
            </w:r>
          </w:p>
        </w:tc>
        <w:tc>
          <w:tcPr>
            <w:tcW w:w="426" w:type="pct"/>
            <w:vAlign w:val="center"/>
          </w:tcPr>
          <w:p w14:paraId="03BC0DEE">
            <w:pPr>
              <w:pStyle w:val="78"/>
              <w:rPr>
                <w:rFonts w:cs="Times New Roman"/>
                <w:b/>
              </w:rPr>
            </w:pPr>
            <w:r>
              <w:rPr>
                <w:rFonts w:cs="Times New Roman"/>
                <w:b/>
              </w:rPr>
              <w:t>反式-1,2-二氯乙烯</w:t>
            </w:r>
          </w:p>
        </w:tc>
        <w:tc>
          <w:tcPr>
            <w:tcW w:w="424" w:type="pct"/>
            <w:vAlign w:val="center"/>
          </w:tcPr>
          <w:p w14:paraId="606F0879">
            <w:pPr>
              <w:pStyle w:val="78"/>
              <w:rPr>
                <w:rFonts w:cs="Times New Roman"/>
                <w:b/>
              </w:rPr>
            </w:pPr>
            <w:r>
              <w:rPr>
                <w:rFonts w:cs="Times New Roman"/>
                <w:b/>
              </w:rPr>
              <w:t>二氯甲烷</w:t>
            </w:r>
          </w:p>
        </w:tc>
      </w:tr>
      <w:tr w14:paraId="3B54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restart"/>
            <w:vAlign w:val="center"/>
          </w:tcPr>
          <w:p w14:paraId="3AF6EA6A">
            <w:pPr>
              <w:pStyle w:val="78"/>
              <w:rPr>
                <w:rFonts w:cs="Times New Roman"/>
              </w:rPr>
            </w:pPr>
            <w:r>
              <w:rPr>
                <w:rFonts w:cs="Times New Roman"/>
              </w:rPr>
              <w:t>2023.08.18</w:t>
            </w:r>
          </w:p>
        </w:tc>
        <w:tc>
          <w:tcPr>
            <w:tcW w:w="343" w:type="pct"/>
            <w:vMerge w:val="restart"/>
            <w:vAlign w:val="center"/>
          </w:tcPr>
          <w:p w14:paraId="2D8BB728">
            <w:pPr>
              <w:pStyle w:val="78"/>
              <w:rPr>
                <w:rFonts w:cs="Times New Roman"/>
              </w:rPr>
            </w:pPr>
            <w:r>
              <w:rPr>
                <w:rFonts w:cs="Times New Roman"/>
              </w:rPr>
              <w:t>SH-1</w:t>
            </w:r>
          </w:p>
        </w:tc>
        <w:tc>
          <w:tcPr>
            <w:tcW w:w="408" w:type="pct"/>
            <w:vAlign w:val="center"/>
          </w:tcPr>
          <w:p w14:paraId="63FE3A6B">
            <w:pPr>
              <w:pStyle w:val="78"/>
              <w:rPr>
                <w:rFonts w:cs="Times New Roman"/>
              </w:rPr>
            </w:pPr>
            <w:r>
              <w:rPr>
                <w:rFonts w:cs="Times New Roman"/>
              </w:rPr>
              <w:t>0~0.5m</w:t>
            </w:r>
          </w:p>
        </w:tc>
        <w:tc>
          <w:tcPr>
            <w:tcW w:w="426" w:type="pct"/>
            <w:vAlign w:val="center"/>
          </w:tcPr>
          <w:p w14:paraId="2B140040">
            <w:pPr>
              <w:pStyle w:val="78"/>
              <w:rPr>
                <w:rFonts w:cs="Times New Roman"/>
              </w:rPr>
            </w:pPr>
            <w:r>
              <w:rPr>
                <w:rFonts w:cs="Times New Roman"/>
              </w:rPr>
              <w:t>ND</w:t>
            </w:r>
          </w:p>
        </w:tc>
        <w:tc>
          <w:tcPr>
            <w:tcW w:w="426" w:type="pct"/>
            <w:vAlign w:val="center"/>
          </w:tcPr>
          <w:p w14:paraId="395A67E0">
            <w:pPr>
              <w:pStyle w:val="78"/>
              <w:rPr>
                <w:rFonts w:cs="Times New Roman"/>
              </w:rPr>
            </w:pPr>
            <w:r>
              <w:rPr>
                <w:rFonts w:cs="Times New Roman"/>
              </w:rPr>
              <w:t>ND</w:t>
            </w:r>
          </w:p>
        </w:tc>
        <w:tc>
          <w:tcPr>
            <w:tcW w:w="426" w:type="pct"/>
            <w:vAlign w:val="center"/>
          </w:tcPr>
          <w:p w14:paraId="5C4FC0EF">
            <w:pPr>
              <w:pStyle w:val="78"/>
              <w:rPr>
                <w:rFonts w:cs="Times New Roman"/>
              </w:rPr>
            </w:pPr>
            <w:r>
              <w:rPr>
                <w:rFonts w:cs="Times New Roman"/>
              </w:rPr>
              <w:t>ND</w:t>
            </w:r>
          </w:p>
        </w:tc>
        <w:tc>
          <w:tcPr>
            <w:tcW w:w="426" w:type="pct"/>
            <w:vAlign w:val="center"/>
          </w:tcPr>
          <w:p w14:paraId="7AA97261">
            <w:pPr>
              <w:pStyle w:val="78"/>
              <w:rPr>
                <w:rFonts w:cs="Times New Roman"/>
              </w:rPr>
            </w:pPr>
            <w:r>
              <w:rPr>
                <w:rFonts w:cs="Times New Roman"/>
              </w:rPr>
              <w:t>ND</w:t>
            </w:r>
          </w:p>
        </w:tc>
        <w:tc>
          <w:tcPr>
            <w:tcW w:w="426" w:type="pct"/>
            <w:vAlign w:val="center"/>
          </w:tcPr>
          <w:p w14:paraId="5195E01C">
            <w:pPr>
              <w:pStyle w:val="78"/>
              <w:rPr>
                <w:rFonts w:cs="Times New Roman"/>
              </w:rPr>
            </w:pPr>
            <w:r>
              <w:rPr>
                <w:rFonts w:cs="Times New Roman"/>
              </w:rPr>
              <w:t>ND</w:t>
            </w:r>
          </w:p>
        </w:tc>
        <w:tc>
          <w:tcPr>
            <w:tcW w:w="426" w:type="pct"/>
            <w:vAlign w:val="center"/>
          </w:tcPr>
          <w:p w14:paraId="7DC36929">
            <w:pPr>
              <w:pStyle w:val="78"/>
              <w:rPr>
                <w:rFonts w:cs="Times New Roman"/>
              </w:rPr>
            </w:pPr>
            <w:r>
              <w:rPr>
                <w:rFonts w:cs="Times New Roman"/>
              </w:rPr>
              <w:t>ND</w:t>
            </w:r>
          </w:p>
        </w:tc>
        <w:tc>
          <w:tcPr>
            <w:tcW w:w="426" w:type="pct"/>
            <w:vAlign w:val="center"/>
          </w:tcPr>
          <w:p w14:paraId="4CA645AD">
            <w:pPr>
              <w:pStyle w:val="78"/>
              <w:rPr>
                <w:rFonts w:cs="Times New Roman"/>
              </w:rPr>
            </w:pPr>
            <w:r>
              <w:rPr>
                <w:rFonts w:cs="Times New Roman"/>
              </w:rPr>
              <w:t>ND</w:t>
            </w:r>
          </w:p>
        </w:tc>
        <w:tc>
          <w:tcPr>
            <w:tcW w:w="426" w:type="pct"/>
            <w:vAlign w:val="center"/>
          </w:tcPr>
          <w:p w14:paraId="21CBDA63">
            <w:pPr>
              <w:pStyle w:val="78"/>
              <w:rPr>
                <w:rFonts w:cs="Times New Roman"/>
              </w:rPr>
            </w:pPr>
            <w:r>
              <w:rPr>
                <w:rFonts w:cs="Times New Roman"/>
              </w:rPr>
              <w:t>ND</w:t>
            </w:r>
          </w:p>
        </w:tc>
        <w:tc>
          <w:tcPr>
            <w:tcW w:w="424" w:type="pct"/>
            <w:vAlign w:val="center"/>
          </w:tcPr>
          <w:p w14:paraId="2485C7F5">
            <w:pPr>
              <w:pStyle w:val="78"/>
              <w:rPr>
                <w:rFonts w:cs="Times New Roman"/>
              </w:rPr>
            </w:pPr>
            <w:r>
              <w:rPr>
                <w:rFonts w:cs="Times New Roman"/>
              </w:rPr>
              <w:t>ND</w:t>
            </w:r>
          </w:p>
        </w:tc>
      </w:tr>
      <w:tr w14:paraId="169F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3C753956">
            <w:pPr>
              <w:pStyle w:val="78"/>
              <w:rPr>
                <w:rFonts w:cs="Times New Roman"/>
              </w:rPr>
            </w:pPr>
          </w:p>
        </w:tc>
        <w:tc>
          <w:tcPr>
            <w:tcW w:w="343" w:type="pct"/>
            <w:vMerge w:val="continue"/>
            <w:vAlign w:val="center"/>
          </w:tcPr>
          <w:p w14:paraId="78257EAB">
            <w:pPr>
              <w:pStyle w:val="78"/>
              <w:rPr>
                <w:rFonts w:cs="Times New Roman"/>
              </w:rPr>
            </w:pPr>
          </w:p>
        </w:tc>
        <w:tc>
          <w:tcPr>
            <w:tcW w:w="408" w:type="pct"/>
            <w:vAlign w:val="center"/>
          </w:tcPr>
          <w:p w14:paraId="51794B93">
            <w:pPr>
              <w:pStyle w:val="78"/>
              <w:rPr>
                <w:rFonts w:cs="Times New Roman"/>
              </w:rPr>
            </w:pPr>
            <w:r>
              <w:rPr>
                <w:rFonts w:cs="Times New Roman"/>
              </w:rPr>
              <w:t>1.0~1.5m</w:t>
            </w:r>
          </w:p>
        </w:tc>
        <w:tc>
          <w:tcPr>
            <w:tcW w:w="426" w:type="pct"/>
            <w:vAlign w:val="center"/>
          </w:tcPr>
          <w:p w14:paraId="35551E25">
            <w:pPr>
              <w:pStyle w:val="78"/>
              <w:rPr>
                <w:rFonts w:cs="Times New Roman"/>
              </w:rPr>
            </w:pPr>
            <w:r>
              <w:rPr>
                <w:rFonts w:cs="Times New Roman"/>
              </w:rPr>
              <w:t>ND</w:t>
            </w:r>
          </w:p>
        </w:tc>
        <w:tc>
          <w:tcPr>
            <w:tcW w:w="426" w:type="pct"/>
            <w:vAlign w:val="center"/>
          </w:tcPr>
          <w:p w14:paraId="1D723FD2">
            <w:pPr>
              <w:pStyle w:val="78"/>
              <w:rPr>
                <w:rFonts w:cs="Times New Roman"/>
              </w:rPr>
            </w:pPr>
            <w:r>
              <w:rPr>
                <w:rFonts w:cs="Times New Roman"/>
              </w:rPr>
              <w:t>ND</w:t>
            </w:r>
          </w:p>
        </w:tc>
        <w:tc>
          <w:tcPr>
            <w:tcW w:w="426" w:type="pct"/>
            <w:vAlign w:val="center"/>
          </w:tcPr>
          <w:p w14:paraId="43070E9D">
            <w:pPr>
              <w:pStyle w:val="78"/>
              <w:rPr>
                <w:rFonts w:cs="Times New Roman"/>
              </w:rPr>
            </w:pPr>
            <w:r>
              <w:rPr>
                <w:rFonts w:cs="Times New Roman"/>
              </w:rPr>
              <w:t>ND</w:t>
            </w:r>
          </w:p>
        </w:tc>
        <w:tc>
          <w:tcPr>
            <w:tcW w:w="426" w:type="pct"/>
            <w:vAlign w:val="center"/>
          </w:tcPr>
          <w:p w14:paraId="00C88723">
            <w:pPr>
              <w:pStyle w:val="78"/>
              <w:rPr>
                <w:rFonts w:cs="Times New Roman"/>
              </w:rPr>
            </w:pPr>
            <w:r>
              <w:rPr>
                <w:rFonts w:cs="Times New Roman"/>
              </w:rPr>
              <w:t>ND</w:t>
            </w:r>
          </w:p>
        </w:tc>
        <w:tc>
          <w:tcPr>
            <w:tcW w:w="426" w:type="pct"/>
            <w:vAlign w:val="center"/>
          </w:tcPr>
          <w:p w14:paraId="27F504FC">
            <w:pPr>
              <w:pStyle w:val="78"/>
              <w:rPr>
                <w:rFonts w:cs="Times New Roman"/>
              </w:rPr>
            </w:pPr>
            <w:r>
              <w:rPr>
                <w:rFonts w:cs="Times New Roman"/>
              </w:rPr>
              <w:t>ND</w:t>
            </w:r>
          </w:p>
        </w:tc>
        <w:tc>
          <w:tcPr>
            <w:tcW w:w="426" w:type="pct"/>
            <w:vAlign w:val="center"/>
          </w:tcPr>
          <w:p w14:paraId="7DCD0505">
            <w:pPr>
              <w:pStyle w:val="78"/>
              <w:rPr>
                <w:rFonts w:cs="Times New Roman"/>
              </w:rPr>
            </w:pPr>
            <w:r>
              <w:rPr>
                <w:rFonts w:cs="Times New Roman"/>
              </w:rPr>
              <w:t>ND</w:t>
            </w:r>
          </w:p>
        </w:tc>
        <w:tc>
          <w:tcPr>
            <w:tcW w:w="426" w:type="pct"/>
            <w:vAlign w:val="center"/>
          </w:tcPr>
          <w:p w14:paraId="3D46957A">
            <w:pPr>
              <w:pStyle w:val="78"/>
              <w:rPr>
                <w:rFonts w:cs="Times New Roman"/>
              </w:rPr>
            </w:pPr>
            <w:r>
              <w:rPr>
                <w:rFonts w:cs="Times New Roman"/>
              </w:rPr>
              <w:t>ND</w:t>
            </w:r>
          </w:p>
        </w:tc>
        <w:tc>
          <w:tcPr>
            <w:tcW w:w="426" w:type="pct"/>
            <w:vAlign w:val="center"/>
          </w:tcPr>
          <w:p w14:paraId="57E146E8">
            <w:pPr>
              <w:pStyle w:val="78"/>
              <w:rPr>
                <w:rFonts w:cs="Times New Roman"/>
              </w:rPr>
            </w:pPr>
            <w:r>
              <w:rPr>
                <w:rFonts w:cs="Times New Roman"/>
              </w:rPr>
              <w:t>ND</w:t>
            </w:r>
          </w:p>
        </w:tc>
        <w:tc>
          <w:tcPr>
            <w:tcW w:w="424" w:type="pct"/>
            <w:vAlign w:val="center"/>
          </w:tcPr>
          <w:p w14:paraId="786A0719">
            <w:pPr>
              <w:pStyle w:val="78"/>
              <w:rPr>
                <w:rFonts w:cs="Times New Roman"/>
              </w:rPr>
            </w:pPr>
            <w:r>
              <w:rPr>
                <w:rFonts w:cs="Times New Roman"/>
              </w:rPr>
              <w:t>ND</w:t>
            </w:r>
          </w:p>
        </w:tc>
      </w:tr>
      <w:tr w14:paraId="736D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75BE3D9C">
            <w:pPr>
              <w:pStyle w:val="78"/>
              <w:rPr>
                <w:rFonts w:cs="Times New Roman"/>
              </w:rPr>
            </w:pPr>
          </w:p>
        </w:tc>
        <w:tc>
          <w:tcPr>
            <w:tcW w:w="343" w:type="pct"/>
            <w:vMerge w:val="continue"/>
            <w:vAlign w:val="center"/>
          </w:tcPr>
          <w:p w14:paraId="1E4E927E">
            <w:pPr>
              <w:pStyle w:val="78"/>
              <w:rPr>
                <w:rFonts w:cs="Times New Roman"/>
              </w:rPr>
            </w:pPr>
          </w:p>
        </w:tc>
        <w:tc>
          <w:tcPr>
            <w:tcW w:w="408" w:type="pct"/>
            <w:vAlign w:val="center"/>
          </w:tcPr>
          <w:p w14:paraId="4756B953">
            <w:pPr>
              <w:pStyle w:val="78"/>
              <w:rPr>
                <w:rFonts w:cs="Times New Roman"/>
              </w:rPr>
            </w:pPr>
            <w:r>
              <w:rPr>
                <w:rFonts w:cs="Times New Roman"/>
              </w:rPr>
              <w:t>2.0~2.5m</w:t>
            </w:r>
          </w:p>
        </w:tc>
        <w:tc>
          <w:tcPr>
            <w:tcW w:w="426" w:type="pct"/>
            <w:vAlign w:val="center"/>
          </w:tcPr>
          <w:p w14:paraId="65107EEA">
            <w:pPr>
              <w:pStyle w:val="78"/>
              <w:rPr>
                <w:rFonts w:cs="Times New Roman"/>
              </w:rPr>
            </w:pPr>
            <w:r>
              <w:rPr>
                <w:rFonts w:cs="Times New Roman"/>
              </w:rPr>
              <w:t>ND</w:t>
            </w:r>
          </w:p>
        </w:tc>
        <w:tc>
          <w:tcPr>
            <w:tcW w:w="426" w:type="pct"/>
            <w:vAlign w:val="center"/>
          </w:tcPr>
          <w:p w14:paraId="44E1C813">
            <w:pPr>
              <w:pStyle w:val="78"/>
              <w:rPr>
                <w:rFonts w:cs="Times New Roman"/>
              </w:rPr>
            </w:pPr>
            <w:r>
              <w:rPr>
                <w:rFonts w:cs="Times New Roman"/>
              </w:rPr>
              <w:t>ND</w:t>
            </w:r>
          </w:p>
        </w:tc>
        <w:tc>
          <w:tcPr>
            <w:tcW w:w="426" w:type="pct"/>
            <w:vAlign w:val="center"/>
          </w:tcPr>
          <w:p w14:paraId="24C55E6A">
            <w:pPr>
              <w:pStyle w:val="78"/>
              <w:rPr>
                <w:rFonts w:cs="Times New Roman"/>
              </w:rPr>
            </w:pPr>
            <w:r>
              <w:rPr>
                <w:rFonts w:cs="Times New Roman"/>
              </w:rPr>
              <w:t>ND</w:t>
            </w:r>
          </w:p>
        </w:tc>
        <w:tc>
          <w:tcPr>
            <w:tcW w:w="426" w:type="pct"/>
            <w:vAlign w:val="center"/>
          </w:tcPr>
          <w:p w14:paraId="42C3D65C">
            <w:pPr>
              <w:pStyle w:val="78"/>
              <w:rPr>
                <w:rFonts w:cs="Times New Roman"/>
              </w:rPr>
            </w:pPr>
            <w:r>
              <w:rPr>
                <w:rFonts w:cs="Times New Roman"/>
              </w:rPr>
              <w:t>ND</w:t>
            </w:r>
          </w:p>
        </w:tc>
        <w:tc>
          <w:tcPr>
            <w:tcW w:w="426" w:type="pct"/>
            <w:vAlign w:val="center"/>
          </w:tcPr>
          <w:p w14:paraId="6E0356B2">
            <w:pPr>
              <w:pStyle w:val="78"/>
              <w:rPr>
                <w:rFonts w:cs="Times New Roman"/>
              </w:rPr>
            </w:pPr>
            <w:r>
              <w:rPr>
                <w:rFonts w:cs="Times New Roman"/>
              </w:rPr>
              <w:t>ND</w:t>
            </w:r>
          </w:p>
        </w:tc>
        <w:tc>
          <w:tcPr>
            <w:tcW w:w="426" w:type="pct"/>
            <w:vAlign w:val="center"/>
          </w:tcPr>
          <w:p w14:paraId="1121CB40">
            <w:pPr>
              <w:pStyle w:val="78"/>
              <w:rPr>
                <w:rFonts w:cs="Times New Roman"/>
              </w:rPr>
            </w:pPr>
            <w:r>
              <w:rPr>
                <w:rFonts w:cs="Times New Roman"/>
              </w:rPr>
              <w:t>ND</w:t>
            </w:r>
          </w:p>
        </w:tc>
        <w:tc>
          <w:tcPr>
            <w:tcW w:w="426" w:type="pct"/>
            <w:vAlign w:val="center"/>
          </w:tcPr>
          <w:p w14:paraId="587F0EF8">
            <w:pPr>
              <w:pStyle w:val="78"/>
              <w:rPr>
                <w:rFonts w:cs="Times New Roman"/>
              </w:rPr>
            </w:pPr>
            <w:r>
              <w:rPr>
                <w:rFonts w:cs="Times New Roman"/>
              </w:rPr>
              <w:t>ND</w:t>
            </w:r>
          </w:p>
        </w:tc>
        <w:tc>
          <w:tcPr>
            <w:tcW w:w="426" w:type="pct"/>
            <w:vAlign w:val="center"/>
          </w:tcPr>
          <w:p w14:paraId="1D6E2D31">
            <w:pPr>
              <w:pStyle w:val="78"/>
              <w:rPr>
                <w:rFonts w:cs="Times New Roman"/>
              </w:rPr>
            </w:pPr>
            <w:r>
              <w:rPr>
                <w:rFonts w:cs="Times New Roman"/>
              </w:rPr>
              <w:t>ND</w:t>
            </w:r>
          </w:p>
        </w:tc>
        <w:tc>
          <w:tcPr>
            <w:tcW w:w="424" w:type="pct"/>
            <w:vAlign w:val="center"/>
          </w:tcPr>
          <w:p w14:paraId="26C87643">
            <w:pPr>
              <w:pStyle w:val="78"/>
              <w:rPr>
                <w:rFonts w:cs="Times New Roman"/>
              </w:rPr>
            </w:pPr>
            <w:r>
              <w:rPr>
                <w:rFonts w:cs="Times New Roman"/>
              </w:rPr>
              <w:t>ND</w:t>
            </w:r>
          </w:p>
        </w:tc>
      </w:tr>
      <w:tr w14:paraId="3ABD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512FF961">
            <w:pPr>
              <w:pStyle w:val="78"/>
              <w:rPr>
                <w:rFonts w:cs="Times New Roman"/>
              </w:rPr>
            </w:pPr>
          </w:p>
        </w:tc>
        <w:tc>
          <w:tcPr>
            <w:tcW w:w="343" w:type="pct"/>
            <w:vMerge w:val="continue"/>
            <w:vAlign w:val="center"/>
          </w:tcPr>
          <w:p w14:paraId="387ED9BA">
            <w:pPr>
              <w:pStyle w:val="78"/>
              <w:rPr>
                <w:rFonts w:cs="Times New Roman"/>
              </w:rPr>
            </w:pPr>
          </w:p>
        </w:tc>
        <w:tc>
          <w:tcPr>
            <w:tcW w:w="408" w:type="pct"/>
            <w:vAlign w:val="center"/>
          </w:tcPr>
          <w:p w14:paraId="75738617">
            <w:pPr>
              <w:pStyle w:val="78"/>
              <w:rPr>
                <w:rFonts w:cs="Times New Roman"/>
              </w:rPr>
            </w:pPr>
            <w:r>
              <w:rPr>
                <w:rFonts w:cs="Times New Roman"/>
              </w:rPr>
              <w:t>4.0~4.5m</w:t>
            </w:r>
          </w:p>
        </w:tc>
        <w:tc>
          <w:tcPr>
            <w:tcW w:w="426" w:type="pct"/>
            <w:vAlign w:val="center"/>
          </w:tcPr>
          <w:p w14:paraId="6BEC122B">
            <w:pPr>
              <w:pStyle w:val="78"/>
              <w:rPr>
                <w:rFonts w:cs="Times New Roman"/>
              </w:rPr>
            </w:pPr>
            <w:r>
              <w:rPr>
                <w:rFonts w:cs="Times New Roman"/>
              </w:rPr>
              <w:t>ND</w:t>
            </w:r>
          </w:p>
        </w:tc>
        <w:tc>
          <w:tcPr>
            <w:tcW w:w="426" w:type="pct"/>
            <w:vAlign w:val="center"/>
          </w:tcPr>
          <w:p w14:paraId="5A81F886">
            <w:pPr>
              <w:pStyle w:val="78"/>
              <w:rPr>
                <w:rFonts w:cs="Times New Roman"/>
              </w:rPr>
            </w:pPr>
            <w:r>
              <w:rPr>
                <w:rFonts w:cs="Times New Roman"/>
              </w:rPr>
              <w:t>ND</w:t>
            </w:r>
          </w:p>
        </w:tc>
        <w:tc>
          <w:tcPr>
            <w:tcW w:w="426" w:type="pct"/>
            <w:vAlign w:val="center"/>
          </w:tcPr>
          <w:p w14:paraId="47282517">
            <w:pPr>
              <w:pStyle w:val="78"/>
              <w:rPr>
                <w:rFonts w:cs="Times New Roman"/>
              </w:rPr>
            </w:pPr>
            <w:r>
              <w:rPr>
                <w:rFonts w:cs="Times New Roman"/>
              </w:rPr>
              <w:t>ND</w:t>
            </w:r>
          </w:p>
        </w:tc>
        <w:tc>
          <w:tcPr>
            <w:tcW w:w="426" w:type="pct"/>
            <w:vAlign w:val="center"/>
          </w:tcPr>
          <w:p w14:paraId="6A23B939">
            <w:pPr>
              <w:pStyle w:val="78"/>
              <w:rPr>
                <w:rFonts w:cs="Times New Roman"/>
              </w:rPr>
            </w:pPr>
            <w:r>
              <w:rPr>
                <w:rFonts w:cs="Times New Roman"/>
              </w:rPr>
              <w:t>ND</w:t>
            </w:r>
          </w:p>
        </w:tc>
        <w:tc>
          <w:tcPr>
            <w:tcW w:w="426" w:type="pct"/>
            <w:vAlign w:val="center"/>
          </w:tcPr>
          <w:p w14:paraId="77859FB0">
            <w:pPr>
              <w:pStyle w:val="78"/>
              <w:rPr>
                <w:rFonts w:cs="Times New Roman"/>
              </w:rPr>
            </w:pPr>
            <w:r>
              <w:rPr>
                <w:rFonts w:cs="Times New Roman"/>
              </w:rPr>
              <w:t>ND</w:t>
            </w:r>
          </w:p>
        </w:tc>
        <w:tc>
          <w:tcPr>
            <w:tcW w:w="426" w:type="pct"/>
            <w:vAlign w:val="center"/>
          </w:tcPr>
          <w:p w14:paraId="5C4C16ED">
            <w:pPr>
              <w:pStyle w:val="78"/>
              <w:rPr>
                <w:rFonts w:cs="Times New Roman"/>
              </w:rPr>
            </w:pPr>
            <w:r>
              <w:rPr>
                <w:rFonts w:cs="Times New Roman"/>
              </w:rPr>
              <w:t>ND</w:t>
            </w:r>
          </w:p>
        </w:tc>
        <w:tc>
          <w:tcPr>
            <w:tcW w:w="426" w:type="pct"/>
            <w:vAlign w:val="center"/>
          </w:tcPr>
          <w:p w14:paraId="6E1862D4">
            <w:pPr>
              <w:pStyle w:val="78"/>
              <w:rPr>
                <w:rFonts w:cs="Times New Roman"/>
              </w:rPr>
            </w:pPr>
            <w:r>
              <w:rPr>
                <w:rFonts w:cs="Times New Roman"/>
              </w:rPr>
              <w:t>ND</w:t>
            </w:r>
          </w:p>
        </w:tc>
        <w:tc>
          <w:tcPr>
            <w:tcW w:w="426" w:type="pct"/>
            <w:vAlign w:val="center"/>
          </w:tcPr>
          <w:p w14:paraId="38944BF6">
            <w:pPr>
              <w:pStyle w:val="78"/>
              <w:rPr>
                <w:rFonts w:cs="Times New Roman"/>
              </w:rPr>
            </w:pPr>
            <w:r>
              <w:rPr>
                <w:rFonts w:cs="Times New Roman"/>
              </w:rPr>
              <w:t>ND</w:t>
            </w:r>
          </w:p>
        </w:tc>
        <w:tc>
          <w:tcPr>
            <w:tcW w:w="424" w:type="pct"/>
            <w:vAlign w:val="center"/>
          </w:tcPr>
          <w:p w14:paraId="2C32FA67">
            <w:pPr>
              <w:pStyle w:val="78"/>
              <w:rPr>
                <w:rFonts w:cs="Times New Roman"/>
              </w:rPr>
            </w:pPr>
            <w:r>
              <w:rPr>
                <w:rFonts w:cs="Times New Roman"/>
              </w:rPr>
              <w:t>ND</w:t>
            </w:r>
          </w:p>
        </w:tc>
      </w:tr>
      <w:tr w14:paraId="59E6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038F275E">
            <w:pPr>
              <w:pStyle w:val="78"/>
              <w:rPr>
                <w:rFonts w:cs="Times New Roman"/>
              </w:rPr>
            </w:pPr>
          </w:p>
        </w:tc>
        <w:tc>
          <w:tcPr>
            <w:tcW w:w="343" w:type="pct"/>
            <w:vAlign w:val="center"/>
          </w:tcPr>
          <w:p w14:paraId="25E5FDFE">
            <w:pPr>
              <w:pStyle w:val="78"/>
              <w:rPr>
                <w:rFonts w:cs="Times New Roman"/>
              </w:rPr>
            </w:pPr>
            <w:r>
              <w:rPr>
                <w:rFonts w:cs="Times New Roman"/>
                <w:sz w:val="22"/>
              </w:rPr>
              <w:t>SH-8</w:t>
            </w:r>
          </w:p>
        </w:tc>
        <w:tc>
          <w:tcPr>
            <w:tcW w:w="408" w:type="pct"/>
            <w:vAlign w:val="center"/>
          </w:tcPr>
          <w:p w14:paraId="034DBFA3">
            <w:pPr>
              <w:pStyle w:val="78"/>
              <w:rPr>
                <w:rFonts w:cs="Times New Roman"/>
              </w:rPr>
            </w:pPr>
            <w:r>
              <w:rPr>
                <w:rFonts w:cs="Times New Roman"/>
              </w:rPr>
              <w:t>0~0.2m</w:t>
            </w:r>
          </w:p>
        </w:tc>
        <w:tc>
          <w:tcPr>
            <w:tcW w:w="426" w:type="pct"/>
            <w:vAlign w:val="center"/>
          </w:tcPr>
          <w:p w14:paraId="58BD72D5">
            <w:pPr>
              <w:pStyle w:val="78"/>
              <w:rPr>
                <w:rFonts w:cs="Times New Roman"/>
              </w:rPr>
            </w:pPr>
            <w:r>
              <w:rPr>
                <w:rFonts w:cs="Times New Roman"/>
              </w:rPr>
              <w:t>ND</w:t>
            </w:r>
          </w:p>
        </w:tc>
        <w:tc>
          <w:tcPr>
            <w:tcW w:w="426" w:type="pct"/>
            <w:vAlign w:val="center"/>
          </w:tcPr>
          <w:p w14:paraId="76EB2C12">
            <w:pPr>
              <w:pStyle w:val="78"/>
              <w:rPr>
                <w:rFonts w:cs="Times New Roman"/>
              </w:rPr>
            </w:pPr>
            <w:r>
              <w:rPr>
                <w:rFonts w:cs="Times New Roman"/>
              </w:rPr>
              <w:t>ND</w:t>
            </w:r>
          </w:p>
        </w:tc>
        <w:tc>
          <w:tcPr>
            <w:tcW w:w="426" w:type="pct"/>
            <w:vAlign w:val="center"/>
          </w:tcPr>
          <w:p w14:paraId="3706A573">
            <w:pPr>
              <w:pStyle w:val="78"/>
              <w:rPr>
                <w:rFonts w:cs="Times New Roman"/>
              </w:rPr>
            </w:pPr>
            <w:r>
              <w:rPr>
                <w:rFonts w:cs="Times New Roman"/>
              </w:rPr>
              <w:t>ND</w:t>
            </w:r>
          </w:p>
        </w:tc>
        <w:tc>
          <w:tcPr>
            <w:tcW w:w="426" w:type="pct"/>
            <w:vAlign w:val="center"/>
          </w:tcPr>
          <w:p w14:paraId="150610CF">
            <w:pPr>
              <w:pStyle w:val="78"/>
              <w:rPr>
                <w:rFonts w:cs="Times New Roman"/>
              </w:rPr>
            </w:pPr>
            <w:r>
              <w:rPr>
                <w:rFonts w:cs="Times New Roman"/>
              </w:rPr>
              <w:t>ND</w:t>
            </w:r>
          </w:p>
        </w:tc>
        <w:tc>
          <w:tcPr>
            <w:tcW w:w="426" w:type="pct"/>
            <w:vAlign w:val="center"/>
          </w:tcPr>
          <w:p w14:paraId="24BF9B7C">
            <w:pPr>
              <w:pStyle w:val="78"/>
              <w:rPr>
                <w:rFonts w:cs="Times New Roman"/>
              </w:rPr>
            </w:pPr>
            <w:r>
              <w:rPr>
                <w:rFonts w:cs="Times New Roman"/>
              </w:rPr>
              <w:t>ND</w:t>
            </w:r>
          </w:p>
        </w:tc>
        <w:tc>
          <w:tcPr>
            <w:tcW w:w="426" w:type="pct"/>
            <w:vAlign w:val="center"/>
          </w:tcPr>
          <w:p w14:paraId="65BCA60F">
            <w:pPr>
              <w:pStyle w:val="78"/>
              <w:rPr>
                <w:rFonts w:cs="Times New Roman"/>
              </w:rPr>
            </w:pPr>
            <w:r>
              <w:rPr>
                <w:rFonts w:cs="Times New Roman"/>
              </w:rPr>
              <w:t>ND</w:t>
            </w:r>
          </w:p>
        </w:tc>
        <w:tc>
          <w:tcPr>
            <w:tcW w:w="426" w:type="pct"/>
            <w:vAlign w:val="center"/>
          </w:tcPr>
          <w:p w14:paraId="113B6844">
            <w:pPr>
              <w:pStyle w:val="78"/>
              <w:rPr>
                <w:rFonts w:cs="Times New Roman"/>
              </w:rPr>
            </w:pPr>
            <w:r>
              <w:rPr>
                <w:rFonts w:cs="Times New Roman"/>
              </w:rPr>
              <w:t>ND</w:t>
            </w:r>
          </w:p>
        </w:tc>
        <w:tc>
          <w:tcPr>
            <w:tcW w:w="426" w:type="pct"/>
            <w:vAlign w:val="center"/>
          </w:tcPr>
          <w:p w14:paraId="2F1BB1E0">
            <w:pPr>
              <w:pStyle w:val="78"/>
              <w:rPr>
                <w:rFonts w:cs="Times New Roman"/>
              </w:rPr>
            </w:pPr>
            <w:r>
              <w:rPr>
                <w:rFonts w:cs="Times New Roman"/>
              </w:rPr>
              <w:t>ND</w:t>
            </w:r>
          </w:p>
        </w:tc>
        <w:tc>
          <w:tcPr>
            <w:tcW w:w="424" w:type="pct"/>
            <w:vAlign w:val="center"/>
          </w:tcPr>
          <w:p w14:paraId="5483A88E">
            <w:pPr>
              <w:pStyle w:val="78"/>
              <w:rPr>
                <w:rFonts w:cs="Times New Roman"/>
              </w:rPr>
            </w:pPr>
            <w:r>
              <w:rPr>
                <w:rFonts w:cs="Times New Roman"/>
              </w:rPr>
              <w:t>ND</w:t>
            </w:r>
          </w:p>
        </w:tc>
      </w:tr>
    </w:tbl>
    <w:p w14:paraId="6CCD57E8">
      <w:pPr>
        <w:pStyle w:val="14"/>
        <w:spacing w:before="240"/>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19</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③</w:t>
      </w:r>
    </w:p>
    <w:tbl>
      <w:tblPr>
        <w:tblStyle w:val="41"/>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971"/>
        <w:gridCol w:w="1159"/>
        <w:gridCol w:w="1207"/>
        <w:gridCol w:w="1207"/>
        <w:gridCol w:w="1207"/>
        <w:gridCol w:w="1207"/>
        <w:gridCol w:w="1207"/>
        <w:gridCol w:w="1207"/>
        <w:gridCol w:w="1207"/>
        <w:gridCol w:w="1207"/>
        <w:gridCol w:w="1198"/>
      </w:tblGrid>
      <w:tr w14:paraId="6D45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7" w:type="pct"/>
            <w:vMerge w:val="restart"/>
            <w:vAlign w:val="center"/>
          </w:tcPr>
          <w:p w14:paraId="1CB2524C">
            <w:pPr>
              <w:pStyle w:val="78"/>
              <w:rPr>
                <w:rFonts w:cs="Times New Roman"/>
                <w:b/>
              </w:rPr>
            </w:pPr>
            <w:r>
              <w:rPr>
                <w:rFonts w:cs="Times New Roman"/>
                <w:b/>
              </w:rPr>
              <w:t>采样日期</w:t>
            </w:r>
          </w:p>
        </w:tc>
        <w:tc>
          <w:tcPr>
            <w:tcW w:w="752" w:type="pct"/>
            <w:gridSpan w:val="2"/>
            <w:vMerge w:val="restart"/>
            <w:vAlign w:val="center"/>
          </w:tcPr>
          <w:p w14:paraId="000C008F">
            <w:pPr>
              <w:pStyle w:val="78"/>
              <w:rPr>
                <w:rFonts w:cs="Times New Roman"/>
                <w:b/>
              </w:rPr>
            </w:pPr>
            <w:r>
              <w:rPr>
                <w:rFonts w:cs="Times New Roman"/>
                <w:b/>
              </w:rPr>
              <w:t>采样点位</w:t>
            </w:r>
          </w:p>
        </w:tc>
        <w:tc>
          <w:tcPr>
            <w:tcW w:w="3831" w:type="pct"/>
            <w:gridSpan w:val="9"/>
            <w:vAlign w:val="center"/>
          </w:tcPr>
          <w:p w14:paraId="677E2458">
            <w:pPr>
              <w:pStyle w:val="78"/>
              <w:rPr>
                <w:rFonts w:cs="Times New Roman"/>
                <w:b/>
              </w:rPr>
            </w:pPr>
            <w:r>
              <w:rPr>
                <w:rFonts w:cs="Times New Roman"/>
                <w:b/>
              </w:rPr>
              <w:t>检测结果（μg/kg）</w:t>
            </w:r>
          </w:p>
        </w:tc>
      </w:tr>
      <w:tr w14:paraId="40D6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7" w:type="pct"/>
            <w:vMerge w:val="continue"/>
            <w:vAlign w:val="center"/>
          </w:tcPr>
          <w:p w14:paraId="149773D5">
            <w:pPr>
              <w:pStyle w:val="78"/>
              <w:rPr>
                <w:rFonts w:cs="Times New Roman"/>
                <w:b/>
              </w:rPr>
            </w:pPr>
          </w:p>
        </w:tc>
        <w:tc>
          <w:tcPr>
            <w:tcW w:w="752" w:type="pct"/>
            <w:gridSpan w:val="2"/>
            <w:vMerge w:val="continue"/>
            <w:vAlign w:val="center"/>
          </w:tcPr>
          <w:p w14:paraId="11436B41">
            <w:pPr>
              <w:pStyle w:val="78"/>
              <w:rPr>
                <w:rFonts w:cs="Times New Roman"/>
                <w:b/>
              </w:rPr>
            </w:pPr>
          </w:p>
        </w:tc>
        <w:tc>
          <w:tcPr>
            <w:tcW w:w="426" w:type="pct"/>
            <w:vAlign w:val="center"/>
          </w:tcPr>
          <w:p w14:paraId="62764AEB">
            <w:pPr>
              <w:pStyle w:val="78"/>
              <w:rPr>
                <w:rFonts w:cs="Times New Roman"/>
                <w:b/>
              </w:rPr>
            </w:pPr>
            <w:r>
              <w:rPr>
                <w:rFonts w:cs="Times New Roman"/>
                <w:b/>
              </w:rPr>
              <w:t>1,2-二氯丙烷</w:t>
            </w:r>
          </w:p>
        </w:tc>
        <w:tc>
          <w:tcPr>
            <w:tcW w:w="426" w:type="pct"/>
            <w:vAlign w:val="center"/>
          </w:tcPr>
          <w:p w14:paraId="6F24FCF3">
            <w:pPr>
              <w:pStyle w:val="78"/>
              <w:rPr>
                <w:rFonts w:cs="Times New Roman"/>
                <w:b/>
              </w:rPr>
            </w:pPr>
            <w:r>
              <w:rPr>
                <w:rFonts w:cs="Times New Roman"/>
                <w:b/>
              </w:rPr>
              <w:t>1,1,1,2-四氯乙烷</w:t>
            </w:r>
          </w:p>
        </w:tc>
        <w:tc>
          <w:tcPr>
            <w:tcW w:w="426" w:type="pct"/>
            <w:vAlign w:val="center"/>
          </w:tcPr>
          <w:p w14:paraId="7908DF79">
            <w:pPr>
              <w:pStyle w:val="78"/>
              <w:rPr>
                <w:rFonts w:cs="Times New Roman"/>
                <w:b/>
              </w:rPr>
            </w:pPr>
            <w:r>
              <w:rPr>
                <w:rFonts w:cs="Times New Roman"/>
                <w:b/>
              </w:rPr>
              <w:t>1,1,2,2-四氯乙烷</w:t>
            </w:r>
          </w:p>
        </w:tc>
        <w:tc>
          <w:tcPr>
            <w:tcW w:w="426" w:type="pct"/>
            <w:vAlign w:val="center"/>
          </w:tcPr>
          <w:p w14:paraId="6472260E">
            <w:pPr>
              <w:pStyle w:val="78"/>
              <w:rPr>
                <w:rFonts w:cs="Times New Roman"/>
                <w:b/>
              </w:rPr>
            </w:pPr>
            <w:r>
              <w:rPr>
                <w:rFonts w:cs="Times New Roman"/>
                <w:b/>
              </w:rPr>
              <w:t>四氯乙烯</w:t>
            </w:r>
          </w:p>
        </w:tc>
        <w:tc>
          <w:tcPr>
            <w:tcW w:w="426" w:type="pct"/>
            <w:vAlign w:val="center"/>
          </w:tcPr>
          <w:p w14:paraId="0A2AE618">
            <w:pPr>
              <w:pStyle w:val="78"/>
              <w:rPr>
                <w:rFonts w:cs="Times New Roman"/>
                <w:b/>
              </w:rPr>
            </w:pPr>
            <w:r>
              <w:rPr>
                <w:rFonts w:cs="Times New Roman"/>
                <w:b/>
              </w:rPr>
              <w:t>1,1,1-三氯乙烷</w:t>
            </w:r>
          </w:p>
        </w:tc>
        <w:tc>
          <w:tcPr>
            <w:tcW w:w="426" w:type="pct"/>
            <w:vAlign w:val="center"/>
          </w:tcPr>
          <w:p w14:paraId="2AC9D5A0">
            <w:pPr>
              <w:pStyle w:val="78"/>
              <w:rPr>
                <w:rFonts w:cs="Times New Roman"/>
                <w:b/>
              </w:rPr>
            </w:pPr>
            <w:r>
              <w:rPr>
                <w:rFonts w:cs="Times New Roman"/>
                <w:b/>
              </w:rPr>
              <w:t>1,1,2-三氯乙烷</w:t>
            </w:r>
          </w:p>
        </w:tc>
        <w:tc>
          <w:tcPr>
            <w:tcW w:w="426" w:type="pct"/>
            <w:vAlign w:val="center"/>
          </w:tcPr>
          <w:p w14:paraId="1C1529BA">
            <w:pPr>
              <w:pStyle w:val="78"/>
              <w:rPr>
                <w:rFonts w:cs="Times New Roman"/>
                <w:b/>
              </w:rPr>
            </w:pPr>
            <w:r>
              <w:rPr>
                <w:rFonts w:cs="Times New Roman"/>
                <w:b/>
              </w:rPr>
              <w:t>三氯乙烯</w:t>
            </w:r>
          </w:p>
        </w:tc>
        <w:tc>
          <w:tcPr>
            <w:tcW w:w="426" w:type="pct"/>
            <w:vAlign w:val="center"/>
          </w:tcPr>
          <w:p w14:paraId="72EE8CCC">
            <w:pPr>
              <w:pStyle w:val="78"/>
              <w:rPr>
                <w:rFonts w:cs="Times New Roman"/>
                <w:b/>
              </w:rPr>
            </w:pPr>
            <w:r>
              <w:rPr>
                <w:rFonts w:cs="Times New Roman"/>
                <w:b/>
              </w:rPr>
              <w:t>1,2,3-三氯丙烷</w:t>
            </w:r>
          </w:p>
        </w:tc>
        <w:tc>
          <w:tcPr>
            <w:tcW w:w="423" w:type="pct"/>
            <w:vAlign w:val="center"/>
          </w:tcPr>
          <w:p w14:paraId="449C7235">
            <w:pPr>
              <w:pStyle w:val="78"/>
              <w:rPr>
                <w:rFonts w:cs="Times New Roman"/>
                <w:b/>
              </w:rPr>
            </w:pPr>
            <w:r>
              <w:rPr>
                <w:rFonts w:cs="Times New Roman"/>
                <w:b/>
              </w:rPr>
              <w:t>氯乙烯</w:t>
            </w:r>
          </w:p>
        </w:tc>
      </w:tr>
      <w:tr w14:paraId="4DD0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restart"/>
            <w:vAlign w:val="center"/>
          </w:tcPr>
          <w:p w14:paraId="76189BDE">
            <w:pPr>
              <w:pStyle w:val="78"/>
              <w:rPr>
                <w:rFonts w:cs="Times New Roman"/>
              </w:rPr>
            </w:pPr>
            <w:r>
              <w:rPr>
                <w:rFonts w:cs="Times New Roman"/>
              </w:rPr>
              <w:t>2023.08.18</w:t>
            </w:r>
          </w:p>
        </w:tc>
        <w:tc>
          <w:tcPr>
            <w:tcW w:w="343" w:type="pct"/>
            <w:vMerge w:val="restart"/>
            <w:vAlign w:val="center"/>
          </w:tcPr>
          <w:p w14:paraId="29209799">
            <w:pPr>
              <w:pStyle w:val="78"/>
              <w:rPr>
                <w:rFonts w:cs="Times New Roman"/>
              </w:rPr>
            </w:pPr>
            <w:r>
              <w:rPr>
                <w:rFonts w:cs="Times New Roman"/>
              </w:rPr>
              <w:t>SH-1</w:t>
            </w:r>
          </w:p>
        </w:tc>
        <w:tc>
          <w:tcPr>
            <w:tcW w:w="409" w:type="pct"/>
            <w:vAlign w:val="center"/>
          </w:tcPr>
          <w:p w14:paraId="62649D79">
            <w:pPr>
              <w:pStyle w:val="78"/>
              <w:rPr>
                <w:rFonts w:cs="Times New Roman"/>
              </w:rPr>
            </w:pPr>
            <w:r>
              <w:rPr>
                <w:rFonts w:cs="Times New Roman"/>
              </w:rPr>
              <w:t>0~0.5m</w:t>
            </w:r>
          </w:p>
        </w:tc>
        <w:tc>
          <w:tcPr>
            <w:tcW w:w="426" w:type="pct"/>
            <w:vAlign w:val="center"/>
          </w:tcPr>
          <w:p w14:paraId="48FA2371">
            <w:pPr>
              <w:pStyle w:val="78"/>
              <w:rPr>
                <w:rFonts w:cs="Times New Roman"/>
              </w:rPr>
            </w:pPr>
            <w:r>
              <w:rPr>
                <w:rFonts w:cs="Times New Roman"/>
              </w:rPr>
              <w:t>ND</w:t>
            </w:r>
          </w:p>
        </w:tc>
        <w:tc>
          <w:tcPr>
            <w:tcW w:w="426" w:type="pct"/>
            <w:vAlign w:val="center"/>
          </w:tcPr>
          <w:p w14:paraId="3F2E82E3">
            <w:pPr>
              <w:pStyle w:val="78"/>
              <w:rPr>
                <w:rFonts w:cs="Times New Roman"/>
              </w:rPr>
            </w:pPr>
            <w:r>
              <w:rPr>
                <w:rFonts w:cs="Times New Roman"/>
              </w:rPr>
              <w:t>ND</w:t>
            </w:r>
          </w:p>
        </w:tc>
        <w:tc>
          <w:tcPr>
            <w:tcW w:w="426" w:type="pct"/>
            <w:vAlign w:val="center"/>
          </w:tcPr>
          <w:p w14:paraId="76601A53">
            <w:pPr>
              <w:pStyle w:val="78"/>
              <w:rPr>
                <w:rFonts w:cs="Times New Roman"/>
              </w:rPr>
            </w:pPr>
            <w:r>
              <w:rPr>
                <w:rFonts w:cs="Times New Roman"/>
              </w:rPr>
              <w:t>ND</w:t>
            </w:r>
          </w:p>
        </w:tc>
        <w:tc>
          <w:tcPr>
            <w:tcW w:w="426" w:type="pct"/>
            <w:vAlign w:val="center"/>
          </w:tcPr>
          <w:p w14:paraId="5FDED684">
            <w:pPr>
              <w:pStyle w:val="78"/>
              <w:rPr>
                <w:rFonts w:cs="Times New Roman"/>
              </w:rPr>
            </w:pPr>
            <w:r>
              <w:rPr>
                <w:rFonts w:cs="Times New Roman"/>
              </w:rPr>
              <w:t>ND</w:t>
            </w:r>
          </w:p>
        </w:tc>
        <w:tc>
          <w:tcPr>
            <w:tcW w:w="426" w:type="pct"/>
            <w:vAlign w:val="center"/>
          </w:tcPr>
          <w:p w14:paraId="02D8633E">
            <w:pPr>
              <w:pStyle w:val="78"/>
              <w:rPr>
                <w:rFonts w:cs="Times New Roman"/>
              </w:rPr>
            </w:pPr>
            <w:r>
              <w:rPr>
                <w:rFonts w:cs="Times New Roman"/>
              </w:rPr>
              <w:t>ND</w:t>
            </w:r>
          </w:p>
        </w:tc>
        <w:tc>
          <w:tcPr>
            <w:tcW w:w="426" w:type="pct"/>
            <w:vAlign w:val="center"/>
          </w:tcPr>
          <w:p w14:paraId="4263FA78">
            <w:pPr>
              <w:pStyle w:val="78"/>
              <w:rPr>
                <w:rFonts w:cs="Times New Roman"/>
              </w:rPr>
            </w:pPr>
            <w:r>
              <w:rPr>
                <w:rFonts w:cs="Times New Roman"/>
              </w:rPr>
              <w:t>ND</w:t>
            </w:r>
          </w:p>
        </w:tc>
        <w:tc>
          <w:tcPr>
            <w:tcW w:w="426" w:type="pct"/>
            <w:vAlign w:val="center"/>
          </w:tcPr>
          <w:p w14:paraId="108CA93D">
            <w:pPr>
              <w:pStyle w:val="78"/>
              <w:rPr>
                <w:rFonts w:cs="Times New Roman"/>
              </w:rPr>
            </w:pPr>
            <w:r>
              <w:rPr>
                <w:rFonts w:cs="Times New Roman"/>
              </w:rPr>
              <w:t>ND</w:t>
            </w:r>
          </w:p>
        </w:tc>
        <w:tc>
          <w:tcPr>
            <w:tcW w:w="426" w:type="pct"/>
            <w:vAlign w:val="center"/>
          </w:tcPr>
          <w:p w14:paraId="7F4532E4">
            <w:pPr>
              <w:pStyle w:val="78"/>
              <w:rPr>
                <w:rFonts w:cs="Times New Roman"/>
              </w:rPr>
            </w:pPr>
            <w:r>
              <w:rPr>
                <w:rFonts w:cs="Times New Roman"/>
              </w:rPr>
              <w:t>ND</w:t>
            </w:r>
          </w:p>
        </w:tc>
        <w:tc>
          <w:tcPr>
            <w:tcW w:w="423" w:type="pct"/>
            <w:vAlign w:val="center"/>
          </w:tcPr>
          <w:p w14:paraId="1CBE5BB4">
            <w:pPr>
              <w:pStyle w:val="78"/>
              <w:rPr>
                <w:rFonts w:cs="Times New Roman"/>
              </w:rPr>
            </w:pPr>
            <w:r>
              <w:rPr>
                <w:rFonts w:cs="Times New Roman"/>
              </w:rPr>
              <w:t>ND</w:t>
            </w:r>
          </w:p>
        </w:tc>
      </w:tr>
      <w:tr w14:paraId="2737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5B7F086C">
            <w:pPr>
              <w:pStyle w:val="78"/>
              <w:rPr>
                <w:rFonts w:cs="Times New Roman"/>
              </w:rPr>
            </w:pPr>
          </w:p>
        </w:tc>
        <w:tc>
          <w:tcPr>
            <w:tcW w:w="343" w:type="pct"/>
            <w:vMerge w:val="continue"/>
            <w:vAlign w:val="center"/>
          </w:tcPr>
          <w:p w14:paraId="337306CE">
            <w:pPr>
              <w:pStyle w:val="78"/>
              <w:rPr>
                <w:rFonts w:cs="Times New Roman"/>
              </w:rPr>
            </w:pPr>
          </w:p>
        </w:tc>
        <w:tc>
          <w:tcPr>
            <w:tcW w:w="409" w:type="pct"/>
            <w:vAlign w:val="center"/>
          </w:tcPr>
          <w:p w14:paraId="5ED8D211">
            <w:pPr>
              <w:pStyle w:val="78"/>
              <w:rPr>
                <w:rFonts w:cs="Times New Roman"/>
              </w:rPr>
            </w:pPr>
            <w:r>
              <w:rPr>
                <w:rFonts w:cs="Times New Roman"/>
              </w:rPr>
              <w:t>1.0~1.5m</w:t>
            </w:r>
          </w:p>
        </w:tc>
        <w:tc>
          <w:tcPr>
            <w:tcW w:w="426" w:type="pct"/>
            <w:vAlign w:val="center"/>
          </w:tcPr>
          <w:p w14:paraId="3EFFD016">
            <w:pPr>
              <w:pStyle w:val="78"/>
              <w:rPr>
                <w:rFonts w:cs="Times New Roman"/>
              </w:rPr>
            </w:pPr>
            <w:r>
              <w:rPr>
                <w:rFonts w:cs="Times New Roman"/>
              </w:rPr>
              <w:t>ND</w:t>
            </w:r>
          </w:p>
        </w:tc>
        <w:tc>
          <w:tcPr>
            <w:tcW w:w="426" w:type="pct"/>
            <w:vAlign w:val="center"/>
          </w:tcPr>
          <w:p w14:paraId="76DEA3C5">
            <w:pPr>
              <w:pStyle w:val="78"/>
              <w:rPr>
                <w:rFonts w:cs="Times New Roman"/>
              </w:rPr>
            </w:pPr>
            <w:r>
              <w:rPr>
                <w:rFonts w:cs="Times New Roman"/>
              </w:rPr>
              <w:t>ND</w:t>
            </w:r>
          </w:p>
        </w:tc>
        <w:tc>
          <w:tcPr>
            <w:tcW w:w="426" w:type="pct"/>
            <w:vAlign w:val="center"/>
          </w:tcPr>
          <w:p w14:paraId="563DBD38">
            <w:pPr>
              <w:pStyle w:val="78"/>
              <w:rPr>
                <w:rFonts w:cs="Times New Roman"/>
              </w:rPr>
            </w:pPr>
            <w:r>
              <w:rPr>
                <w:rFonts w:cs="Times New Roman"/>
              </w:rPr>
              <w:t>ND</w:t>
            </w:r>
          </w:p>
        </w:tc>
        <w:tc>
          <w:tcPr>
            <w:tcW w:w="426" w:type="pct"/>
            <w:vAlign w:val="center"/>
          </w:tcPr>
          <w:p w14:paraId="1990E28A">
            <w:pPr>
              <w:pStyle w:val="78"/>
              <w:rPr>
                <w:rFonts w:cs="Times New Roman"/>
              </w:rPr>
            </w:pPr>
            <w:r>
              <w:rPr>
                <w:rFonts w:cs="Times New Roman"/>
              </w:rPr>
              <w:t>ND</w:t>
            </w:r>
          </w:p>
        </w:tc>
        <w:tc>
          <w:tcPr>
            <w:tcW w:w="426" w:type="pct"/>
            <w:vAlign w:val="center"/>
          </w:tcPr>
          <w:p w14:paraId="664F8FC3">
            <w:pPr>
              <w:pStyle w:val="78"/>
              <w:rPr>
                <w:rFonts w:cs="Times New Roman"/>
              </w:rPr>
            </w:pPr>
            <w:r>
              <w:rPr>
                <w:rFonts w:cs="Times New Roman"/>
              </w:rPr>
              <w:t>ND</w:t>
            </w:r>
          </w:p>
        </w:tc>
        <w:tc>
          <w:tcPr>
            <w:tcW w:w="426" w:type="pct"/>
            <w:vAlign w:val="center"/>
          </w:tcPr>
          <w:p w14:paraId="154B1E8F">
            <w:pPr>
              <w:pStyle w:val="78"/>
              <w:rPr>
                <w:rFonts w:cs="Times New Roman"/>
              </w:rPr>
            </w:pPr>
            <w:r>
              <w:rPr>
                <w:rFonts w:cs="Times New Roman"/>
              </w:rPr>
              <w:t>ND</w:t>
            </w:r>
          </w:p>
        </w:tc>
        <w:tc>
          <w:tcPr>
            <w:tcW w:w="426" w:type="pct"/>
            <w:vAlign w:val="center"/>
          </w:tcPr>
          <w:p w14:paraId="7DE00AF1">
            <w:pPr>
              <w:pStyle w:val="78"/>
              <w:rPr>
                <w:rFonts w:cs="Times New Roman"/>
              </w:rPr>
            </w:pPr>
            <w:r>
              <w:rPr>
                <w:rFonts w:cs="Times New Roman"/>
              </w:rPr>
              <w:t>ND</w:t>
            </w:r>
          </w:p>
        </w:tc>
        <w:tc>
          <w:tcPr>
            <w:tcW w:w="426" w:type="pct"/>
            <w:vAlign w:val="center"/>
          </w:tcPr>
          <w:p w14:paraId="1710CC32">
            <w:pPr>
              <w:pStyle w:val="78"/>
              <w:rPr>
                <w:rFonts w:cs="Times New Roman"/>
              </w:rPr>
            </w:pPr>
            <w:r>
              <w:rPr>
                <w:rFonts w:cs="Times New Roman"/>
              </w:rPr>
              <w:t>ND</w:t>
            </w:r>
          </w:p>
        </w:tc>
        <w:tc>
          <w:tcPr>
            <w:tcW w:w="423" w:type="pct"/>
            <w:vAlign w:val="center"/>
          </w:tcPr>
          <w:p w14:paraId="7A764B64">
            <w:pPr>
              <w:pStyle w:val="78"/>
              <w:rPr>
                <w:rFonts w:cs="Times New Roman"/>
              </w:rPr>
            </w:pPr>
            <w:r>
              <w:rPr>
                <w:rFonts w:cs="Times New Roman"/>
              </w:rPr>
              <w:t>ND</w:t>
            </w:r>
          </w:p>
        </w:tc>
      </w:tr>
      <w:tr w14:paraId="3E14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09252DEC">
            <w:pPr>
              <w:pStyle w:val="78"/>
              <w:rPr>
                <w:rFonts w:cs="Times New Roman"/>
              </w:rPr>
            </w:pPr>
          </w:p>
        </w:tc>
        <w:tc>
          <w:tcPr>
            <w:tcW w:w="343" w:type="pct"/>
            <w:vMerge w:val="continue"/>
            <w:vAlign w:val="center"/>
          </w:tcPr>
          <w:p w14:paraId="725F79B8">
            <w:pPr>
              <w:pStyle w:val="78"/>
              <w:rPr>
                <w:rFonts w:cs="Times New Roman"/>
              </w:rPr>
            </w:pPr>
          </w:p>
        </w:tc>
        <w:tc>
          <w:tcPr>
            <w:tcW w:w="409" w:type="pct"/>
            <w:vAlign w:val="center"/>
          </w:tcPr>
          <w:p w14:paraId="53CD7085">
            <w:pPr>
              <w:pStyle w:val="78"/>
              <w:rPr>
                <w:rFonts w:cs="Times New Roman"/>
              </w:rPr>
            </w:pPr>
            <w:r>
              <w:rPr>
                <w:rFonts w:cs="Times New Roman"/>
              </w:rPr>
              <w:t>2.0~2.5m</w:t>
            </w:r>
          </w:p>
        </w:tc>
        <w:tc>
          <w:tcPr>
            <w:tcW w:w="426" w:type="pct"/>
            <w:vAlign w:val="center"/>
          </w:tcPr>
          <w:p w14:paraId="0B626EB8">
            <w:pPr>
              <w:pStyle w:val="78"/>
              <w:rPr>
                <w:rFonts w:cs="Times New Roman"/>
              </w:rPr>
            </w:pPr>
            <w:r>
              <w:rPr>
                <w:rFonts w:cs="Times New Roman"/>
              </w:rPr>
              <w:t>ND</w:t>
            </w:r>
          </w:p>
        </w:tc>
        <w:tc>
          <w:tcPr>
            <w:tcW w:w="426" w:type="pct"/>
            <w:vAlign w:val="center"/>
          </w:tcPr>
          <w:p w14:paraId="5A3E387F">
            <w:pPr>
              <w:pStyle w:val="78"/>
              <w:rPr>
                <w:rFonts w:cs="Times New Roman"/>
              </w:rPr>
            </w:pPr>
            <w:r>
              <w:rPr>
                <w:rFonts w:cs="Times New Roman"/>
              </w:rPr>
              <w:t>ND</w:t>
            </w:r>
          </w:p>
        </w:tc>
        <w:tc>
          <w:tcPr>
            <w:tcW w:w="426" w:type="pct"/>
            <w:vAlign w:val="center"/>
          </w:tcPr>
          <w:p w14:paraId="200A4E0F">
            <w:pPr>
              <w:pStyle w:val="78"/>
              <w:rPr>
                <w:rFonts w:cs="Times New Roman"/>
              </w:rPr>
            </w:pPr>
            <w:r>
              <w:rPr>
                <w:rFonts w:cs="Times New Roman"/>
              </w:rPr>
              <w:t>ND</w:t>
            </w:r>
          </w:p>
        </w:tc>
        <w:tc>
          <w:tcPr>
            <w:tcW w:w="426" w:type="pct"/>
            <w:vAlign w:val="center"/>
          </w:tcPr>
          <w:p w14:paraId="46615AD5">
            <w:pPr>
              <w:pStyle w:val="78"/>
              <w:rPr>
                <w:rFonts w:cs="Times New Roman"/>
              </w:rPr>
            </w:pPr>
            <w:r>
              <w:rPr>
                <w:rFonts w:cs="Times New Roman"/>
              </w:rPr>
              <w:t>ND</w:t>
            </w:r>
          </w:p>
        </w:tc>
        <w:tc>
          <w:tcPr>
            <w:tcW w:w="426" w:type="pct"/>
            <w:vAlign w:val="center"/>
          </w:tcPr>
          <w:p w14:paraId="1FE67EDD">
            <w:pPr>
              <w:pStyle w:val="78"/>
              <w:rPr>
                <w:rFonts w:cs="Times New Roman"/>
              </w:rPr>
            </w:pPr>
            <w:r>
              <w:rPr>
                <w:rFonts w:cs="Times New Roman"/>
              </w:rPr>
              <w:t>ND</w:t>
            </w:r>
          </w:p>
        </w:tc>
        <w:tc>
          <w:tcPr>
            <w:tcW w:w="426" w:type="pct"/>
            <w:vAlign w:val="center"/>
          </w:tcPr>
          <w:p w14:paraId="689DA3D2">
            <w:pPr>
              <w:pStyle w:val="78"/>
              <w:rPr>
                <w:rFonts w:cs="Times New Roman"/>
              </w:rPr>
            </w:pPr>
            <w:r>
              <w:rPr>
                <w:rFonts w:cs="Times New Roman"/>
              </w:rPr>
              <w:t>ND</w:t>
            </w:r>
          </w:p>
        </w:tc>
        <w:tc>
          <w:tcPr>
            <w:tcW w:w="426" w:type="pct"/>
            <w:vAlign w:val="center"/>
          </w:tcPr>
          <w:p w14:paraId="02A2B0B2">
            <w:pPr>
              <w:pStyle w:val="78"/>
              <w:rPr>
                <w:rFonts w:cs="Times New Roman"/>
              </w:rPr>
            </w:pPr>
            <w:r>
              <w:rPr>
                <w:rFonts w:cs="Times New Roman"/>
              </w:rPr>
              <w:t>ND</w:t>
            </w:r>
          </w:p>
        </w:tc>
        <w:tc>
          <w:tcPr>
            <w:tcW w:w="426" w:type="pct"/>
            <w:vAlign w:val="center"/>
          </w:tcPr>
          <w:p w14:paraId="36614461">
            <w:pPr>
              <w:pStyle w:val="78"/>
              <w:rPr>
                <w:rFonts w:cs="Times New Roman"/>
              </w:rPr>
            </w:pPr>
            <w:r>
              <w:rPr>
                <w:rFonts w:cs="Times New Roman"/>
              </w:rPr>
              <w:t>ND</w:t>
            </w:r>
          </w:p>
        </w:tc>
        <w:tc>
          <w:tcPr>
            <w:tcW w:w="423" w:type="pct"/>
            <w:vAlign w:val="center"/>
          </w:tcPr>
          <w:p w14:paraId="4C88FB0E">
            <w:pPr>
              <w:pStyle w:val="78"/>
              <w:rPr>
                <w:rFonts w:cs="Times New Roman"/>
              </w:rPr>
            </w:pPr>
            <w:r>
              <w:rPr>
                <w:rFonts w:cs="Times New Roman"/>
              </w:rPr>
              <w:t>ND</w:t>
            </w:r>
          </w:p>
        </w:tc>
      </w:tr>
      <w:tr w14:paraId="1AD8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280134C5">
            <w:pPr>
              <w:pStyle w:val="78"/>
              <w:rPr>
                <w:rFonts w:cs="Times New Roman"/>
              </w:rPr>
            </w:pPr>
          </w:p>
        </w:tc>
        <w:tc>
          <w:tcPr>
            <w:tcW w:w="343" w:type="pct"/>
            <w:vMerge w:val="continue"/>
            <w:vAlign w:val="center"/>
          </w:tcPr>
          <w:p w14:paraId="51521F97">
            <w:pPr>
              <w:pStyle w:val="78"/>
              <w:rPr>
                <w:rFonts w:cs="Times New Roman"/>
              </w:rPr>
            </w:pPr>
          </w:p>
        </w:tc>
        <w:tc>
          <w:tcPr>
            <w:tcW w:w="409" w:type="pct"/>
            <w:vAlign w:val="center"/>
          </w:tcPr>
          <w:p w14:paraId="5692BC45">
            <w:pPr>
              <w:pStyle w:val="78"/>
              <w:rPr>
                <w:rFonts w:cs="Times New Roman"/>
              </w:rPr>
            </w:pPr>
            <w:r>
              <w:rPr>
                <w:rFonts w:cs="Times New Roman"/>
              </w:rPr>
              <w:t>4.0~4.5m</w:t>
            </w:r>
          </w:p>
        </w:tc>
        <w:tc>
          <w:tcPr>
            <w:tcW w:w="426" w:type="pct"/>
            <w:vAlign w:val="center"/>
          </w:tcPr>
          <w:p w14:paraId="564D89CB">
            <w:pPr>
              <w:pStyle w:val="78"/>
              <w:rPr>
                <w:rFonts w:cs="Times New Roman"/>
              </w:rPr>
            </w:pPr>
            <w:r>
              <w:rPr>
                <w:rFonts w:cs="Times New Roman"/>
              </w:rPr>
              <w:t>ND</w:t>
            </w:r>
          </w:p>
        </w:tc>
        <w:tc>
          <w:tcPr>
            <w:tcW w:w="426" w:type="pct"/>
            <w:vAlign w:val="center"/>
          </w:tcPr>
          <w:p w14:paraId="77AC0BB5">
            <w:pPr>
              <w:pStyle w:val="78"/>
              <w:rPr>
                <w:rFonts w:cs="Times New Roman"/>
              </w:rPr>
            </w:pPr>
            <w:r>
              <w:rPr>
                <w:rFonts w:cs="Times New Roman"/>
              </w:rPr>
              <w:t>ND</w:t>
            </w:r>
          </w:p>
        </w:tc>
        <w:tc>
          <w:tcPr>
            <w:tcW w:w="426" w:type="pct"/>
            <w:vAlign w:val="center"/>
          </w:tcPr>
          <w:p w14:paraId="1E4A0C3A">
            <w:pPr>
              <w:pStyle w:val="78"/>
              <w:rPr>
                <w:rFonts w:cs="Times New Roman"/>
              </w:rPr>
            </w:pPr>
            <w:r>
              <w:rPr>
                <w:rFonts w:cs="Times New Roman"/>
              </w:rPr>
              <w:t>ND</w:t>
            </w:r>
          </w:p>
        </w:tc>
        <w:tc>
          <w:tcPr>
            <w:tcW w:w="426" w:type="pct"/>
            <w:vAlign w:val="center"/>
          </w:tcPr>
          <w:p w14:paraId="19C3CF16">
            <w:pPr>
              <w:pStyle w:val="78"/>
              <w:rPr>
                <w:rFonts w:cs="Times New Roman"/>
              </w:rPr>
            </w:pPr>
            <w:r>
              <w:rPr>
                <w:rFonts w:cs="Times New Roman"/>
              </w:rPr>
              <w:t>ND</w:t>
            </w:r>
          </w:p>
        </w:tc>
        <w:tc>
          <w:tcPr>
            <w:tcW w:w="426" w:type="pct"/>
            <w:vAlign w:val="center"/>
          </w:tcPr>
          <w:p w14:paraId="07EC3372">
            <w:pPr>
              <w:pStyle w:val="78"/>
              <w:rPr>
                <w:rFonts w:cs="Times New Roman"/>
              </w:rPr>
            </w:pPr>
            <w:r>
              <w:rPr>
                <w:rFonts w:cs="Times New Roman"/>
              </w:rPr>
              <w:t>ND</w:t>
            </w:r>
          </w:p>
        </w:tc>
        <w:tc>
          <w:tcPr>
            <w:tcW w:w="426" w:type="pct"/>
            <w:vAlign w:val="center"/>
          </w:tcPr>
          <w:p w14:paraId="0B7E5596">
            <w:pPr>
              <w:pStyle w:val="78"/>
              <w:rPr>
                <w:rFonts w:cs="Times New Roman"/>
              </w:rPr>
            </w:pPr>
            <w:r>
              <w:rPr>
                <w:rFonts w:cs="Times New Roman"/>
              </w:rPr>
              <w:t>ND</w:t>
            </w:r>
          </w:p>
        </w:tc>
        <w:tc>
          <w:tcPr>
            <w:tcW w:w="426" w:type="pct"/>
            <w:vAlign w:val="center"/>
          </w:tcPr>
          <w:p w14:paraId="08A625AD">
            <w:pPr>
              <w:pStyle w:val="78"/>
              <w:rPr>
                <w:rFonts w:cs="Times New Roman"/>
              </w:rPr>
            </w:pPr>
            <w:r>
              <w:rPr>
                <w:rFonts w:cs="Times New Roman"/>
              </w:rPr>
              <w:t>ND</w:t>
            </w:r>
          </w:p>
        </w:tc>
        <w:tc>
          <w:tcPr>
            <w:tcW w:w="426" w:type="pct"/>
            <w:vAlign w:val="center"/>
          </w:tcPr>
          <w:p w14:paraId="69000A94">
            <w:pPr>
              <w:pStyle w:val="78"/>
              <w:rPr>
                <w:rFonts w:cs="Times New Roman"/>
              </w:rPr>
            </w:pPr>
            <w:r>
              <w:rPr>
                <w:rFonts w:cs="Times New Roman"/>
              </w:rPr>
              <w:t>ND</w:t>
            </w:r>
          </w:p>
        </w:tc>
        <w:tc>
          <w:tcPr>
            <w:tcW w:w="423" w:type="pct"/>
            <w:vAlign w:val="center"/>
          </w:tcPr>
          <w:p w14:paraId="41A2BA77">
            <w:pPr>
              <w:pStyle w:val="78"/>
              <w:rPr>
                <w:rFonts w:cs="Times New Roman"/>
              </w:rPr>
            </w:pPr>
            <w:r>
              <w:rPr>
                <w:rFonts w:cs="Times New Roman"/>
              </w:rPr>
              <w:t>ND</w:t>
            </w:r>
          </w:p>
        </w:tc>
      </w:tr>
      <w:tr w14:paraId="06B3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vMerge w:val="continue"/>
            <w:vAlign w:val="center"/>
          </w:tcPr>
          <w:p w14:paraId="734B37F8">
            <w:pPr>
              <w:pStyle w:val="78"/>
              <w:rPr>
                <w:rFonts w:cs="Times New Roman"/>
              </w:rPr>
            </w:pPr>
          </w:p>
        </w:tc>
        <w:tc>
          <w:tcPr>
            <w:tcW w:w="343" w:type="pct"/>
            <w:vAlign w:val="center"/>
          </w:tcPr>
          <w:p w14:paraId="27AF2140">
            <w:pPr>
              <w:pStyle w:val="78"/>
              <w:rPr>
                <w:rFonts w:cs="Times New Roman"/>
              </w:rPr>
            </w:pPr>
            <w:r>
              <w:rPr>
                <w:rFonts w:cs="Times New Roman"/>
                <w:sz w:val="22"/>
              </w:rPr>
              <w:t>SH-8</w:t>
            </w:r>
          </w:p>
        </w:tc>
        <w:tc>
          <w:tcPr>
            <w:tcW w:w="409" w:type="pct"/>
            <w:vAlign w:val="center"/>
          </w:tcPr>
          <w:p w14:paraId="049B6D58">
            <w:pPr>
              <w:pStyle w:val="78"/>
              <w:rPr>
                <w:rFonts w:cs="Times New Roman"/>
              </w:rPr>
            </w:pPr>
            <w:r>
              <w:rPr>
                <w:rFonts w:cs="Times New Roman"/>
              </w:rPr>
              <w:t>0~0.2m</w:t>
            </w:r>
          </w:p>
        </w:tc>
        <w:tc>
          <w:tcPr>
            <w:tcW w:w="426" w:type="pct"/>
            <w:vAlign w:val="center"/>
          </w:tcPr>
          <w:p w14:paraId="59BE7B52">
            <w:pPr>
              <w:pStyle w:val="78"/>
              <w:rPr>
                <w:rFonts w:cs="Times New Roman"/>
              </w:rPr>
            </w:pPr>
            <w:r>
              <w:rPr>
                <w:rFonts w:cs="Times New Roman"/>
              </w:rPr>
              <w:t>ND</w:t>
            </w:r>
          </w:p>
        </w:tc>
        <w:tc>
          <w:tcPr>
            <w:tcW w:w="426" w:type="pct"/>
            <w:vAlign w:val="center"/>
          </w:tcPr>
          <w:p w14:paraId="7B8DD506">
            <w:pPr>
              <w:pStyle w:val="78"/>
              <w:rPr>
                <w:rFonts w:cs="Times New Roman"/>
              </w:rPr>
            </w:pPr>
            <w:r>
              <w:rPr>
                <w:rFonts w:cs="Times New Roman"/>
              </w:rPr>
              <w:t>ND</w:t>
            </w:r>
          </w:p>
        </w:tc>
        <w:tc>
          <w:tcPr>
            <w:tcW w:w="426" w:type="pct"/>
            <w:vAlign w:val="center"/>
          </w:tcPr>
          <w:p w14:paraId="0B323806">
            <w:pPr>
              <w:pStyle w:val="78"/>
              <w:rPr>
                <w:rFonts w:cs="Times New Roman"/>
              </w:rPr>
            </w:pPr>
            <w:r>
              <w:rPr>
                <w:rFonts w:cs="Times New Roman"/>
              </w:rPr>
              <w:t>ND</w:t>
            </w:r>
          </w:p>
        </w:tc>
        <w:tc>
          <w:tcPr>
            <w:tcW w:w="426" w:type="pct"/>
            <w:vAlign w:val="center"/>
          </w:tcPr>
          <w:p w14:paraId="209C06F0">
            <w:pPr>
              <w:pStyle w:val="78"/>
              <w:rPr>
                <w:rFonts w:cs="Times New Roman"/>
              </w:rPr>
            </w:pPr>
            <w:r>
              <w:rPr>
                <w:rFonts w:cs="Times New Roman"/>
              </w:rPr>
              <w:t>ND</w:t>
            </w:r>
          </w:p>
        </w:tc>
        <w:tc>
          <w:tcPr>
            <w:tcW w:w="426" w:type="pct"/>
            <w:vAlign w:val="center"/>
          </w:tcPr>
          <w:p w14:paraId="1CC2E6FA">
            <w:pPr>
              <w:pStyle w:val="78"/>
              <w:rPr>
                <w:rFonts w:cs="Times New Roman"/>
              </w:rPr>
            </w:pPr>
            <w:r>
              <w:rPr>
                <w:rFonts w:cs="Times New Roman"/>
              </w:rPr>
              <w:t>ND</w:t>
            </w:r>
          </w:p>
        </w:tc>
        <w:tc>
          <w:tcPr>
            <w:tcW w:w="426" w:type="pct"/>
            <w:vAlign w:val="center"/>
          </w:tcPr>
          <w:p w14:paraId="7C23CABA">
            <w:pPr>
              <w:pStyle w:val="78"/>
              <w:rPr>
                <w:rFonts w:cs="Times New Roman"/>
              </w:rPr>
            </w:pPr>
            <w:r>
              <w:rPr>
                <w:rFonts w:cs="Times New Roman"/>
              </w:rPr>
              <w:t>ND</w:t>
            </w:r>
          </w:p>
        </w:tc>
        <w:tc>
          <w:tcPr>
            <w:tcW w:w="426" w:type="pct"/>
            <w:vAlign w:val="center"/>
          </w:tcPr>
          <w:p w14:paraId="04252D79">
            <w:pPr>
              <w:pStyle w:val="78"/>
              <w:rPr>
                <w:rFonts w:cs="Times New Roman"/>
              </w:rPr>
            </w:pPr>
            <w:r>
              <w:rPr>
                <w:rFonts w:cs="Times New Roman"/>
              </w:rPr>
              <w:t>ND</w:t>
            </w:r>
          </w:p>
        </w:tc>
        <w:tc>
          <w:tcPr>
            <w:tcW w:w="426" w:type="pct"/>
            <w:vAlign w:val="center"/>
          </w:tcPr>
          <w:p w14:paraId="214E1DA7">
            <w:pPr>
              <w:pStyle w:val="78"/>
              <w:rPr>
                <w:rFonts w:cs="Times New Roman"/>
              </w:rPr>
            </w:pPr>
            <w:r>
              <w:rPr>
                <w:rFonts w:cs="Times New Roman"/>
              </w:rPr>
              <w:t>ND</w:t>
            </w:r>
          </w:p>
        </w:tc>
        <w:tc>
          <w:tcPr>
            <w:tcW w:w="423" w:type="pct"/>
            <w:vAlign w:val="center"/>
          </w:tcPr>
          <w:p w14:paraId="4CD446F7">
            <w:pPr>
              <w:pStyle w:val="78"/>
              <w:rPr>
                <w:rFonts w:cs="Times New Roman"/>
              </w:rPr>
            </w:pPr>
            <w:r>
              <w:rPr>
                <w:rFonts w:cs="Times New Roman"/>
              </w:rPr>
              <w:t>ND</w:t>
            </w:r>
          </w:p>
        </w:tc>
      </w:tr>
    </w:tbl>
    <w:p w14:paraId="27B1AE5A">
      <w:pPr>
        <w:ind w:firstLine="480"/>
        <w:rPr>
          <w:rFonts w:ascii="Times New Roman" w:hAnsi="Times New Roman" w:cs="Times New Roman"/>
        </w:rPr>
      </w:pPr>
    </w:p>
    <w:p w14:paraId="667A6DA9">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20</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④</w:t>
      </w:r>
    </w:p>
    <w:tbl>
      <w:tblPr>
        <w:tblStyle w:val="41"/>
        <w:tblW w:w="49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957"/>
        <w:gridCol w:w="1147"/>
        <w:gridCol w:w="1189"/>
        <w:gridCol w:w="1189"/>
        <w:gridCol w:w="1189"/>
        <w:gridCol w:w="1192"/>
        <w:gridCol w:w="1192"/>
        <w:gridCol w:w="1192"/>
        <w:gridCol w:w="1193"/>
        <w:gridCol w:w="1193"/>
        <w:gridCol w:w="1182"/>
      </w:tblGrid>
      <w:tr w14:paraId="1BB1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21" w:type="pct"/>
            <w:vMerge w:val="restart"/>
            <w:vAlign w:val="center"/>
          </w:tcPr>
          <w:p w14:paraId="01CDEABA">
            <w:pPr>
              <w:pStyle w:val="78"/>
              <w:rPr>
                <w:rFonts w:cs="Times New Roman"/>
                <w:b/>
              </w:rPr>
            </w:pPr>
            <w:r>
              <w:rPr>
                <w:rFonts w:cs="Times New Roman"/>
                <w:b/>
              </w:rPr>
              <w:t>采样日期</w:t>
            </w:r>
          </w:p>
        </w:tc>
        <w:tc>
          <w:tcPr>
            <w:tcW w:w="752" w:type="pct"/>
            <w:gridSpan w:val="2"/>
            <w:vMerge w:val="restart"/>
            <w:vAlign w:val="center"/>
          </w:tcPr>
          <w:p w14:paraId="53B29E7C">
            <w:pPr>
              <w:pStyle w:val="78"/>
              <w:rPr>
                <w:rFonts w:cs="Times New Roman"/>
                <w:b/>
              </w:rPr>
            </w:pPr>
            <w:r>
              <w:rPr>
                <w:rFonts w:cs="Times New Roman"/>
                <w:b/>
              </w:rPr>
              <w:t>采样点位</w:t>
            </w:r>
          </w:p>
        </w:tc>
        <w:tc>
          <w:tcPr>
            <w:tcW w:w="3828" w:type="pct"/>
            <w:gridSpan w:val="9"/>
            <w:vAlign w:val="center"/>
          </w:tcPr>
          <w:p w14:paraId="0676EEBE">
            <w:pPr>
              <w:pStyle w:val="78"/>
              <w:rPr>
                <w:rFonts w:cs="Times New Roman"/>
                <w:b/>
              </w:rPr>
            </w:pPr>
            <w:r>
              <w:rPr>
                <w:rFonts w:cs="Times New Roman"/>
                <w:b/>
              </w:rPr>
              <w:t>检测结果（μg/kg）</w:t>
            </w:r>
          </w:p>
        </w:tc>
      </w:tr>
      <w:tr w14:paraId="5374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21" w:type="pct"/>
            <w:vMerge w:val="continue"/>
            <w:vAlign w:val="center"/>
          </w:tcPr>
          <w:p w14:paraId="090176AF">
            <w:pPr>
              <w:pStyle w:val="78"/>
              <w:rPr>
                <w:rFonts w:cs="Times New Roman"/>
                <w:b/>
              </w:rPr>
            </w:pPr>
          </w:p>
        </w:tc>
        <w:tc>
          <w:tcPr>
            <w:tcW w:w="752" w:type="pct"/>
            <w:gridSpan w:val="2"/>
            <w:vMerge w:val="continue"/>
            <w:vAlign w:val="center"/>
          </w:tcPr>
          <w:p w14:paraId="1832CE6D">
            <w:pPr>
              <w:pStyle w:val="78"/>
              <w:rPr>
                <w:rFonts w:cs="Times New Roman"/>
                <w:b/>
              </w:rPr>
            </w:pPr>
          </w:p>
        </w:tc>
        <w:tc>
          <w:tcPr>
            <w:tcW w:w="425" w:type="pct"/>
            <w:vAlign w:val="center"/>
          </w:tcPr>
          <w:p w14:paraId="7025DD92">
            <w:pPr>
              <w:pStyle w:val="78"/>
              <w:rPr>
                <w:rFonts w:cs="Times New Roman"/>
                <w:b/>
              </w:rPr>
            </w:pPr>
            <w:r>
              <w:rPr>
                <w:rFonts w:cs="Times New Roman"/>
                <w:b/>
              </w:rPr>
              <w:t>苯</w:t>
            </w:r>
          </w:p>
        </w:tc>
        <w:tc>
          <w:tcPr>
            <w:tcW w:w="425" w:type="pct"/>
            <w:vAlign w:val="center"/>
          </w:tcPr>
          <w:p w14:paraId="77B23028">
            <w:pPr>
              <w:pStyle w:val="78"/>
              <w:rPr>
                <w:rFonts w:cs="Times New Roman"/>
                <w:b/>
              </w:rPr>
            </w:pPr>
            <w:r>
              <w:rPr>
                <w:rFonts w:cs="Times New Roman"/>
                <w:b/>
              </w:rPr>
              <w:t>氯苯</w:t>
            </w:r>
          </w:p>
        </w:tc>
        <w:tc>
          <w:tcPr>
            <w:tcW w:w="425" w:type="pct"/>
            <w:vAlign w:val="center"/>
          </w:tcPr>
          <w:p w14:paraId="09EE7422">
            <w:pPr>
              <w:pStyle w:val="78"/>
              <w:rPr>
                <w:rFonts w:cs="Times New Roman"/>
                <w:b/>
              </w:rPr>
            </w:pPr>
            <w:r>
              <w:rPr>
                <w:rFonts w:cs="Times New Roman"/>
                <w:b/>
              </w:rPr>
              <w:t>1,2-二氯苯</w:t>
            </w:r>
          </w:p>
        </w:tc>
        <w:tc>
          <w:tcPr>
            <w:tcW w:w="426" w:type="pct"/>
            <w:vAlign w:val="center"/>
          </w:tcPr>
          <w:p w14:paraId="1BE9EABC">
            <w:pPr>
              <w:pStyle w:val="78"/>
              <w:rPr>
                <w:rFonts w:cs="Times New Roman"/>
                <w:b/>
              </w:rPr>
            </w:pPr>
            <w:r>
              <w:rPr>
                <w:rFonts w:cs="Times New Roman"/>
                <w:b/>
              </w:rPr>
              <w:t>1,4-二氯苯</w:t>
            </w:r>
          </w:p>
        </w:tc>
        <w:tc>
          <w:tcPr>
            <w:tcW w:w="426" w:type="pct"/>
            <w:vAlign w:val="center"/>
          </w:tcPr>
          <w:p w14:paraId="77DEF27B">
            <w:pPr>
              <w:pStyle w:val="78"/>
              <w:rPr>
                <w:rFonts w:cs="Times New Roman"/>
                <w:b/>
              </w:rPr>
            </w:pPr>
            <w:r>
              <w:rPr>
                <w:rFonts w:cs="Times New Roman"/>
                <w:b/>
              </w:rPr>
              <w:t>乙苯</w:t>
            </w:r>
          </w:p>
        </w:tc>
        <w:tc>
          <w:tcPr>
            <w:tcW w:w="426" w:type="pct"/>
            <w:vAlign w:val="center"/>
          </w:tcPr>
          <w:p w14:paraId="3F093DC3">
            <w:pPr>
              <w:pStyle w:val="78"/>
              <w:rPr>
                <w:rFonts w:cs="Times New Roman"/>
                <w:b/>
              </w:rPr>
            </w:pPr>
            <w:r>
              <w:rPr>
                <w:rFonts w:cs="Times New Roman"/>
                <w:b/>
              </w:rPr>
              <w:t>苯乙烯</w:t>
            </w:r>
          </w:p>
        </w:tc>
        <w:tc>
          <w:tcPr>
            <w:tcW w:w="426" w:type="pct"/>
            <w:vAlign w:val="center"/>
          </w:tcPr>
          <w:p w14:paraId="60933D07">
            <w:pPr>
              <w:pStyle w:val="78"/>
              <w:rPr>
                <w:rFonts w:cs="Times New Roman"/>
                <w:b/>
              </w:rPr>
            </w:pPr>
            <w:r>
              <w:rPr>
                <w:rFonts w:cs="Times New Roman"/>
                <w:b/>
              </w:rPr>
              <w:t>甲苯</w:t>
            </w:r>
          </w:p>
        </w:tc>
        <w:tc>
          <w:tcPr>
            <w:tcW w:w="426" w:type="pct"/>
            <w:vAlign w:val="center"/>
          </w:tcPr>
          <w:p w14:paraId="0B99118F">
            <w:pPr>
              <w:pStyle w:val="78"/>
              <w:rPr>
                <w:rFonts w:cs="Times New Roman"/>
                <w:b/>
              </w:rPr>
            </w:pPr>
            <w:r>
              <w:rPr>
                <w:rFonts w:cs="Times New Roman"/>
                <w:b/>
              </w:rPr>
              <w:t>间、对-二甲苯</w:t>
            </w:r>
          </w:p>
        </w:tc>
        <w:tc>
          <w:tcPr>
            <w:tcW w:w="422" w:type="pct"/>
            <w:vAlign w:val="center"/>
          </w:tcPr>
          <w:p w14:paraId="0A435087">
            <w:pPr>
              <w:pStyle w:val="78"/>
              <w:rPr>
                <w:rFonts w:cs="Times New Roman"/>
                <w:b/>
              </w:rPr>
            </w:pPr>
            <w:r>
              <w:rPr>
                <w:rFonts w:cs="Times New Roman"/>
                <w:b/>
              </w:rPr>
              <w:t>邻-二甲苯</w:t>
            </w:r>
          </w:p>
        </w:tc>
      </w:tr>
      <w:tr w14:paraId="3E3A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restart"/>
            <w:vAlign w:val="center"/>
          </w:tcPr>
          <w:p w14:paraId="499A2E65">
            <w:pPr>
              <w:pStyle w:val="78"/>
              <w:rPr>
                <w:rFonts w:cs="Times New Roman"/>
              </w:rPr>
            </w:pPr>
            <w:r>
              <w:rPr>
                <w:rFonts w:cs="Times New Roman"/>
              </w:rPr>
              <w:t>2023.08.18</w:t>
            </w:r>
          </w:p>
        </w:tc>
        <w:tc>
          <w:tcPr>
            <w:tcW w:w="342" w:type="pct"/>
            <w:vMerge w:val="restart"/>
            <w:vAlign w:val="center"/>
          </w:tcPr>
          <w:p w14:paraId="3AF2B168">
            <w:pPr>
              <w:pStyle w:val="78"/>
              <w:rPr>
                <w:rFonts w:cs="Times New Roman"/>
              </w:rPr>
            </w:pPr>
            <w:r>
              <w:rPr>
                <w:rFonts w:cs="Times New Roman"/>
              </w:rPr>
              <w:t>SH-1</w:t>
            </w:r>
          </w:p>
        </w:tc>
        <w:tc>
          <w:tcPr>
            <w:tcW w:w="409" w:type="pct"/>
            <w:vAlign w:val="center"/>
          </w:tcPr>
          <w:p w14:paraId="0B8CBF06">
            <w:pPr>
              <w:pStyle w:val="78"/>
              <w:rPr>
                <w:rFonts w:cs="Times New Roman"/>
              </w:rPr>
            </w:pPr>
            <w:r>
              <w:rPr>
                <w:rFonts w:cs="Times New Roman"/>
              </w:rPr>
              <w:t>0~0.5m</w:t>
            </w:r>
          </w:p>
        </w:tc>
        <w:tc>
          <w:tcPr>
            <w:tcW w:w="425" w:type="pct"/>
            <w:vAlign w:val="center"/>
          </w:tcPr>
          <w:p w14:paraId="3188ED4C">
            <w:pPr>
              <w:pStyle w:val="78"/>
              <w:rPr>
                <w:rFonts w:cs="Times New Roman"/>
              </w:rPr>
            </w:pPr>
            <w:r>
              <w:rPr>
                <w:rFonts w:cs="Times New Roman"/>
              </w:rPr>
              <w:t>ND</w:t>
            </w:r>
          </w:p>
        </w:tc>
        <w:tc>
          <w:tcPr>
            <w:tcW w:w="425" w:type="pct"/>
            <w:vAlign w:val="center"/>
          </w:tcPr>
          <w:p w14:paraId="6D044536">
            <w:pPr>
              <w:pStyle w:val="78"/>
              <w:rPr>
                <w:rFonts w:cs="Times New Roman"/>
              </w:rPr>
            </w:pPr>
            <w:r>
              <w:rPr>
                <w:rFonts w:cs="Times New Roman"/>
              </w:rPr>
              <w:t>ND</w:t>
            </w:r>
          </w:p>
        </w:tc>
        <w:tc>
          <w:tcPr>
            <w:tcW w:w="425" w:type="pct"/>
            <w:vAlign w:val="center"/>
          </w:tcPr>
          <w:p w14:paraId="57E02931">
            <w:pPr>
              <w:pStyle w:val="78"/>
              <w:rPr>
                <w:rFonts w:cs="Times New Roman"/>
              </w:rPr>
            </w:pPr>
            <w:r>
              <w:rPr>
                <w:rFonts w:cs="Times New Roman"/>
              </w:rPr>
              <w:t>ND</w:t>
            </w:r>
          </w:p>
        </w:tc>
        <w:tc>
          <w:tcPr>
            <w:tcW w:w="426" w:type="pct"/>
            <w:vAlign w:val="center"/>
          </w:tcPr>
          <w:p w14:paraId="4D993150">
            <w:pPr>
              <w:pStyle w:val="78"/>
              <w:rPr>
                <w:rFonts w:cs="Times New Roman"/>
              </w:rPr>
            </w:pPr>
            <w:r>
              <w:rPr>
                <w:rFonts w:cs="Times New Roman"/>
              </w:rPr>
              <w:t>ND</w:t>
            </w:r>
          </w:p>
        </w:tc>
        <w:tc>
          <w:tcPr>
            <w:tcW w:w="426" w:type="pct"/>
            <w:vAlign w:val="center"/>
          </w:tcPr>
          <w:p w14:paraId="0905B537">
            <w:pPr>
              <w:pStyle w:val="78"/>
              <w:rPr>
                <w:rFonts w:cs="Times New Roman"/>
              </w:rPr>
            </w:pPr>
            <w:r>
              <w:rPr>
                <w:rFonts w:cs="Times New Roman"/>
              </w:rPr>
              <w:t>ND</w:t>
            </w:r>
          </w:p>
        </w:tc>
        <w:tc>
          <w:tcPr>
            <w:tcW w:w="426" w:type="pct"/>
            <w:vAlign w:val="center"/>
          </w:tcPr>
          <w:p w14:paraId="3B05A8B7">
            <w:pPr>
              <w:pStyle w:val="78"/>
              <w:rPr>
                <w:rFonts w:cs="Times New Roman"/>
              </w:rPr>
            </w:pPr>
            <w:r>
              <w:rPr>
                <w:rFonts w:cs="Times New Roman"/>
              </w:rPr>
              <w:t>ND</w:t>
            </w:r>
          </w:p>
        </w:tc>
        <w:tc>
          <w:tcPr>
            <w:tcW w:w="426" w:type="pct"/>
            <w:vAlign w:val="center"/>
          </w:tcPr>
          <w:p w14:paraId="632654FC">
            <w:pPr>
              <w:pStyle w:val="78"/>
              <w:rPr>
                <w:rFonts w:cs="Times New Roman"/>
              </w:rPr>
            </w:pPr>
            <w:r>
              <w:rPr>
                <w:rFonts w:cs="Times New Roman"/>
              </w:rPr>
              <w:t>ND</w:t>
            </w:r>
          </w:p>
        </w:tc>
        <w:tc>
          <w:tcPr>
            <w:tcW w:w="426" w:type="pct"/>
            <w:vAlign w:val="center"/>
          </w:tcPr>
          <w:p w14:paraId="509745F3">
            <w:pPr>
              <w:pStyle w:val="78"/>
              <w:rPr>
                <w:rFonts w:cs="Times New Roman"/>
              </w:rPr>
            </w:pPr>
            <w:r>
              <w:rPr>
                <w:rFonts w:cs="Times New Roman"/>
              </w:rPr>
              <w:t>ND</w:t>
            </w:r>
          </w:p>
        </w:tc>
        <w:tc>
          <w:tcPr>
            <w:tcW w:w="422" w:type="pct"/>
            <w:vAlign w:val="center"/>
          </w:tcPr>
          <w:p w14:paraId="56636586">
            <w:pPr>
              <w:pStyle w:val="78"/>
              <w:rPr>
                <w:rFonts w:cs="Times New Roman"/>
              </w:rPr>
            </w:pPr>
            <w:r>
              <w:rPr>
                <w:rFonts w:cs="Times New Roman"/>
              </w:rPr>
              <w:t>ND</w:t>
            </w:r>
          </w:p>
        </w:tc>
      </w:tr>
      <w:tr w14:paraId="743E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continue"/>
            <w:vAlign w:val="center"/>
          </w:tcPr>
          <w:p w14:paraId="6D481D7B">
            <w:pPr>
              <w:pStyle w:val="78"/>
              <w:rPr>
                <w:rFonts w:cs="Times New Roman"/>
              </w:rPr>
            </w:pPr>
          </w:p>
        </w:tc>
        <w:tc>
          <w:tcPr>
            <w:tcW w:w="342" w:type="pct"/>
            <w:vMerge w:val="continue"/>
            <w:vAlign w:val="center"/>
          </w:tcPr>
          <w:p w14:paraId="029FF199">
            <w:pPr>
              <w:pStyle w:val="78"/>
              <w:rPr>
                <w:rFonts w:cs="Times New Roman"/>
              </w:rPr>
            </w:pPr>
          </w:p>
        </w:tc>
        <w:tc>
          <w:tcPr>
            <w:tcW w:w="409" w:type="pct"/>
            <w:vAlign w:val="center"/>
          </w:tcPr>
          <w:p w14:paraId="4D041C13">
            <w:pPr>
              <w:pStyle w:val="78"/>
              <w:rPr>
                <w:rFonts w:cs="Times New Roman"/>
              </w:rPr>
            </w:pPr>
            <w:r>
              <w:rPr>
                <w:rFonts w:cs="Times New Roman"/>
              </w:rPr>
              <w:t>1.0~1.5m</w:t>
            </w:r>
          </w:p>
        </w:tc>
        <w:tc>
          <w:tcPr>
            <w:tcW w:w="425" w:type="pct"/>
            <w:vAlign w:val="center"/>
          </w:tcPr>
          <w:p w14:paraId="31B5E62A">
            <w:pPr>
              <w:pStyle w:val="78"/>
              <w:rPr>
                <w:rFonts w:cs="Times New Roman"/>
              </w:rPr>
            </w:pPr>
            <w:r>
              <w:rPr>
                <w:rFonts w:cs="Times New Roman"/>
              </w:rPr>
              <w:t>ND</w:t>
            </w:r>
          </w:p>
        </w:tc>
        <w:tc>
          <w:tcPr>
            <w:tcW w:w="425" w:type="pct"/>
            <w:vAlign w:val="center"/>
          </w:tcPr>
          <w:p w14:paraId="2A4B9AE6">
            <w:pPr>
              <w:pStyle w:val="78"/>
              <w:rPr>
                <w:rFonts w:cs="Times New Roman"/>
              </w:rPr>
            </w:pPr>
            <w:r>
              <w:rPr>
                <w:rFonts w:cs="Times New Roman"/>
              </w:rPr>
              <w:t>ND</w:t>
            </w:r>
          </w:p>
        </w:tc>
        <w:tc>
          <w:tcPr>
            <w:tcW w:w="425" w:type="pct"/>
            <w:vAlign w:val="center"/>
          </w:tcPr>
          <w:p w14:paraId="31822187">
            <w:pPr>
              <w:pStyle w:val="78"/>
              <w:rPr>
                <w:rFonts w:cs="Times New Roman"/>
              </w:rPr>
            </w:pPr>
            <w:r>
              <w:rPr>
                <w:rFonts w:cs="Times New Roman"/>
              </w:rPr>
              <w:t>ND</w:t>
            </w:r>
          </w:p>
        </w:tc>
        <w:tc>
          <w:tcPr>
            <w:tcW w:w="426" w:type="pct"/>
            <w:vAlign w:val="center"/>
          </w:tcPr>
          <w:p w14:paraId="684D05D1">
            <w:pPr>
              <w:pStyle w:val="78"/>
              <w:rPr>
                <w:rFonts w:cs="Times New Roman"/>
              </w:rPr>
            </w:pPr>
            <w:r>
              <w:rPr>
                <w:rFonts w:cs="Times New Roman"/>
              </w:rPr>
              <w:t>ND</w:t>
            </w:r>
          </w:p>
        </w:tc>
        <w:tc>
          <w:tcPr>
            <w:tcW w:w="426" w:type="pct"/>
            <w:vAlign w:val="center"/>
          </w:tcPr>
          <w:p w14:paraId="6DE51198">
            <w:pPr>
              <w:pStyle w:val="78"/>
              <w:rPr>
                <w:rFonts w:cs="Times New Roman"/>
              </w:rPr>
            </w:pPr>
            <w:r>
              <w:rPr>
                <w:rFonts w:cs="Times New Roman"/>
              </w:rPr>
              <w:t>ND</w:t>
            </w:r>
          </w:p>
        </w:tc>
        <w:tc>
          <w:tcPr>
            <w:tcW w:w="426" w:type="pct"/>
            <w:vAlign w:val="center"/>
          </w:tcPr>
          <w:p w14:paraId="07E0D8ED">
            <w:pPr>
              <w:pStyle w:val="78"/>
              <w:rPr>
                <w:rFonts w:cs="Times New Roman"/>
              </w:rPr>
            </w:pPr>
            <w:r>
              <w:rPr>
                <w:rFonts w:cs="Times New Roman"/>
              </w:rPr>
              <w:t>ND</w:t>
            </w:r>
          </w:p>
        </w:tc>
        <w:tc>
          <w:tcPr>
            <w:tcW w:w="426" w:type="pct"/>
            <w:vAlign w:val="center"/>
          </w:tcPr>
          <w:p w14:paraId="57EEB45E">
            <w:pPr>
              <w:pStyle w:val="78"/>
              <w:rPr>
                <w:rFonts w:cs="Times New Roman"/>
              </w:rPr>
            </w:pPr>
            <w:r>
              <w:rPr>
                <w:rFonts w:cs="Times New Roman"/>
              </w:rPr>
              <w:t>ND</w:t>
            </w:r>
          </w:p>
        </w:tc>
        <w:tc>
          <w:tcPr>
            <w:tcW w:w="426" w:type="pct"/>
            <w:vAlign w:val="center"/>
          </w:tcPr>
          <w:p w14:paraId="7B8A63CB">
            <w:pPr>
              <w:pStyle w:val="78"/>
              <w:rPr>
                <w:rFonts w:cs="Times New Roman"/>
              </w:rPr>
            </w:pPr>
            <w:r>
              <w:rPr>
                <w:rFonts w:cs="Times New Roman"/>
              </w:rPr>
              <w:t>ND</w:t>
            </w:r>
          </w:p>
        </w:tc>
        <w:tc>
          <w:tcPr>
            <w:tcW w:w="422" w:type="pct"/>
            <w:vAlign w:val="center"/>
          </w:tcPr>
          <w:p w14:paraId="0723674C">
            <w:pPr>
              <w:pStyle w:val="78"/>
              <w:rPr>
                <w:rFonts w:cs="Times New Roman"/>
              </w:rPr>
            </w:pPr>
            <w:r>
              <w:rPr>
                <w:rFonts w:cs="Times New Roman"/>
              </w:rPr>
              <w:t>ND</w:t>
            </w:r>
          </w:p>
        </w:tc>
      </w:tr>
      <w:tr w14:paraId="1BEE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continue"/>
            <w:vAlign w:val="center"/>
          </w:tcPr>
          <w:p w14:paraId="1EEE8233">
            <w:pPr>
              <w:pStyle w:val="78"/>
              <w:rPr>
                <w:rFonts w:cs="Times New Roman"/>
              </w:rPr>
            </w:pPr>
          </w:p>
        </w:tc>
        <w:tc>
          <w:tcPr>
            <w:tcW w:w="342" w:type="pct"/>
            <w:vMerge w:val="continue"/>
            <w:vAlign w:val="center"/>
          </w:tcPr>
          <w:p w14:paraId="3F0597FF">
            <w:pPr>
              <w:pStyle w:val="78"/>
              <w:rPr>
                <w:rFonts w:cs="Times New Roman"/>
              </w:rPr>
            </w:pPr>
          </w:p>
        </w:tc>
        <w:tc>
          <w:tcPr>
            <w:tcW w:w="409" w:type="pct"/>
            <w:vAlign w:val="center"/>
          </w:tcPr>
          <w:p w14:paraId="54A4F7B0">
            <w:pPr>
              <w:pStyle w:val="78"/>
              <w:rPr>
                <w:rFonts w:cs="Times New Roman"/>
              </w:rPr>
            </w:pPr>
            <w:r>
              <w:rPr>
                <w:rFonts w:cs="Times New Roman"/>
              </w:rPr>
              <w:t>2.0~2.5m</w:t>
            </w:r>
          </w:p>
        </w:tc>
        <w:tc>
          <w:tcPr>
            <w:tcW w:w="425" w:type="pct"/>
            <w:vAlign w:val="center"/>
          </w:tcPr>
          <w:p w14:paraId="57BF03E9">
            <w:pPr>
              <w:pStyle w:val="78"/>
              <w:rPr>
                <w:rFonts w:cs="Times New Roman"/>
              </w:rPr>
            </w:pPr>
            <w:r>
              <w:rPr>
                <w:rFonts w:cs="Times New Roman"/>
              </w:rPr>
              <w:t>ND</w:t>
            </w:r>
          </w:p>
        </w:tc>
        <w:tc>
          <w:tcPr>
            <w:tcW w:w="425" w:type="pct"/>
            <w:vAlign w:val="center"/>
          </w:tcPr>
          <w:p w14:paraId="5605EDD7">
            <w:pPr>
              <w:pStyle w:val="78"/>
              <w:rPr>
                <w:rFonts w:cs="Times New Roman"/>
              </w:rPr>
            </w:pPr>
            <w:r>
              <w:rPr>
                <w:rFonts w:cs="Times New Roman"/>
              </w:rPr>
              <w:t>ND</w:t>
            </w:r>
          </w:p>
        </w:tc>
        <w:tc>
          <w:tcPr>
            <w:tcW w:w="425" w:type="pct"/>
            <w:vAlign w:val="center"/>
          </w:tcPr>
          <w:p w14:paraId="3C823609">
            <w:pPr>
              <w:pStyle w:val="78"/>
              <w:rPr>
                <w:rFonts w:cs="Times New Roman"/>
              </w:rPr>
            </w:pPr>
            <w:r>
              <w:rPr>
                <w:rFonts w:cs="Times New Roman"/>
              </w:rPr>
              <w:t>ND</w:t>
            </w:r>
          </w:p>
        </w:tc>
        <w:tc>
          <w:tcPr>
            <w:tcW w:w="426" w:type="pct"/>
            <w:vAlign w:val="center"/>
          </w:tcPr>
          <w:p w14:paraId="6A5FC472">
            <w:pPr>
              <w:pStyle w:val="78"/>
              <w:rPr>
                <w:rFonts w:cs="Times New Roman"/>
              </w:rPr>
            </w:pPr>
            <w:r>
              <w:rPr>
                <w:rFonts w:cs="Times New Roman"/>
              </w:rPr>
              <w:t>ND</w:t>
            </w:r>
          </w:p>
        </w:tc>
        <w:tc>
          <w:tcPr>
            <w:tcW w:w="426" w:type="pct"/>
            <w:vAlign w:val="center"/>
          </w:tcPr>
          <w:p w14:paraId="770026B2">
            <w:pPr>
              <w:pStyle w:val="78"/>
              <w:rPr>
                <w:rFonts w:cs="Times New Roman"/>
              </w:rPr>
            </w:pPr>
            <w:r>
              <w:rPr>
                <w:rFonts w:cs="Times New Roman"/>
              </w:rPr>
              <w:t>ND</w:t>
            </w:r>
          </w:p>
        </w:tc>
        <w:tc>
          <w:tcPr>
            <w:tcW w:w="426" w:type="pct"/>
            <w:vAlign w:val="center"/>
          </w:tcPr>
          <w:p w14:paraId="5BD98056">
            <w:pPr>
              <w:pStyle w:val="78"/>
              <w:rPr>
                <w:rFonts w:cs="Times New Roman"/>
              </w:rPr>
            </w:pPr>
            <w:r>
              <w:rPr>
                <w:rFonts w:cs="Times New Roman"/>
              </w:rPr>
              <w:t>ND</w:t>
            </w:r>
          </w:p>
        </w:tc>
        <w:tc>
          <w:tcPr>
            <w:tcW w:w="426" w:type="pct"/>
            <w:vAlign w:val="center"/>
          </w:tcPr>
          <w:p w14:paraId="421D3EE1">
            <w:pPr>
              <w:pStyle w:val="78"/>
              <w:rPr>
                <w:rFonts w:cs="Times New Roman"/>
              </w:rPr>
            </w:pPr>
            <w:r>
              <w:rPr>
                <w:rFonts w:cs="Times New Roman"/>
              </w:rPr>
              <w:t>ND</w:t>
            </w:r>
          </w:p>
        </w:tc>
        <w:tc>
          <w:tcPr>
            <w:tcW w:w="426" w:type="pct"/>
            <w:vAlign w:val="center"/>
          </w:tcPr>
          <w:p w14:paraId="77021D32">
            <w:pPr>
              <w:pStyle w:val="78"/>
              <w:rPr>
                <w:rFonts w:cs="Times New Roman"/>
              </w:rPr>
            </w:pPr>
            <w:r>
              <w:rPr>
                <w:rFonts w:cs="Times New Roman"/>
              </w:rPr>
              <w:t>ND</w:t>
            </w:r>
          </w:p>
        </w:tc>
        <w:tc>
          <w:tcPr>
            <w:tcW w:w="422" w:type="pct"/>
            <w:vAlign w:val="center"/>
          </w:tcPr>
          <w:p w14:paraId="2726F0BD">
            <w:pPr>
              <w:pStyle w:val="78"/>
              <w:rPr>
                <w:rFonts w:cs="Times New Roman"/>
              </w:rPr>
            </w:pPr>
            <w:r>
              <w:rPr>
                <w:rFonts w:cs="Times New Roman"/>
              </w:rPr>
              <w:t>ND</w:t>
            </w:r>
          </w:p>
        </w:tc>
      </w:tr>
      <w:tr w14:paraId="1BDD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continue"/>
            <w:vAlign w:val="center"/>
          </w:tcPr>
          <w:p w14:paraId="21FDB092">
            <w:pPr>
              <w:pStyle w:val="78"/>
              <w:rPr>
                <w:rFonts w:cs="Times New Roman"/>
              </w:rPr>
            </w:pPr>
          </w:p>
        </w:tc>
        <w:tc>
          <w:tcPr>
            <w:tcW w:w="342" w:type="pct"/>
            <w:vMerge w:val="continue"/>
            <w:vAlign w:val="center"/>
          </w:tcPr>
          <w:p w14:paraId="1C6B9D18">
            <w:pPr>
              <w:pStyle w:val="78"/>
              <w:rPr>
                <w:rFonts w:cs="Times New Roman"/>
              </w:rPr>
            </w:pPr>
          </w:p>
        </w:tc>
        <w:tc>
          <w:tcPr>
            <w:tcW w:w="409" w:type="pct"/>
            <w:vAlign w:val="center"/>
          </w:tcPr>
          <w:p w14:paraId="67766334">
            <w:pPr>
              <w:pStyle w:val="78"/>
              <w:rPr>
                <w:rFonts w:cs="Times New Roman"/>
              </w:rPr>
            </w:pPr>
            <w:r>
              <w:rPr>
                <w:rFonts w:cs="Times New Roman"/>
              </w:rPr>
              <w:t>4.0~4.5m</w:t>
            </w:r>
          </w:p>
        </w:tc>
        <w:tc>
          <w:tcPr>
            <w:tcW w:w="425" w:type="pct"/>
            <w:vAlign w:val="center"/>
          </w:tcPr>
          <w:p w14:paraId="43C8B8A7">
            <w:pPr>
              <w:pStyle w:val="78"/>
              <w:rPr>
                <w:rFonts w:cs="Times New Roman"/>
              </w:rPr>
            </w:pPr>
            <w:r>
              <w:rPr>
                <w:rFonts w:cs="Times New Roman"/>
              </w:rPr>
              <w:t>ND</w:t>
            </w:r>
          </w:p>
        </w:tc>
        <w:tc>
          <w:tcPr>
            <w:tcW w:w="425" w:type="pct"/>
            <w:vAlign w:val="center"/>
          </w:tcPr>
          <w:p w14:paraId="0660B4B1">
            <w:pPr>
              <w:pStyle w:val="78"/>
              <w:rPr>
                <w:rFonts w:cs="Times New Roman"/>
              </w:rPr>
            </w:pPr>
            <w:r>
              <w:rPr>
                <w:rFonts w:cs="Times New Roman"/>
              </w:rPr>
              <w:t>ND</w:t>
            </w:r>
          </w:p>
        </w:tc>
        <w:tc>
          <w:tcPr>
            <w:tcW w:w="425" w:type="pct"/>
            <w:vAlign w:val="center"/>
          </w:tcPr>
          <w:p w14:paraId="47008B7E">
            <w:pPr>
              <w:pStyle w:val="78"/>
              <w:rPr>
                <w:rFonts w:cs="Times New Roman"/>
              </w:rPr>
            </w:pPr>
            <w:r>
              <w:rPr>
                <w:rFonts w:cs="Times New Roman"/>
              </w:rPr>
              <w:t>ND</w:t>
            </w:r>
          </w:p>
        </w:tc>
        <w:tc>
          <w:tcPr>
            <w:tcW w:w="426" w:type="pct"/>
            <w:vAlign w:val="center"/>
          </w:tcPr>
          <w:p w14:paraId="7AF44C84">
            <w:pPr>
              <w:pStyle w:val="78"/>
              <w:rPr>
                <w:rFonts w:cs="Times New Roman"/>
              </w:rPr>
            </w:pPr>
            <w:r>
              <w:rPr>
                <w:rFonts w:cs="Times New Roman"/>
              </w:rPr>
              <w:t>ND</w:t>
            </w:r>
          </w:p>
        </w:tc>
        <w:tc>
          <w:tcPr>
            <w:tcW w:w="426" w:type="pct"/>
            <w:vAlign w:val="center"/>
          </w:tcPr>
          <w:p w14:paraId="09286BCD">
            <w:pPr>
              <w:pStyle w:val="78"/>
              <w:rPr>
                <w:rFonts w:cs="Times New Roman"/>
              </w:rPr>
            </w:pPr>
            <w:r>
              <w:rPr>
                <w:rFonts w:cs="Times New Roman"/>
              </w:rPr>
              <w:t>ND</w:t>
            </w:r>
          </w:p>
        </w:tc>
        <w:tc>
          <w:tcPr>
            <w:tcW w:w="426" w:type="pct"/>
            <w:vAlign w:val="center"/>
          </w:tcPr>
          <w:p w14:paraId="6EBC5716">
            <w:pPr>
              <w:pStyle w:val="78"/>
              <w:rPr>
                <w:rFonts w:cs="Times New Roman"/>
              </w:rPr>
            </w:pPr>
            <w:r>
              <w:rPr>
                <w:rFonts w:cs="Times New Roman"/>
              </w:rPr>
              <w:t>ND</w:t>
            </w:r>
          </w:p>
        </w:tc>
        <w:tc>
          <w:tcPr>
            <w:tcW w:w="426" w:type="pct"/>
            <w:vAlign w:val="center"/>
          </w:tcPr>
          <w:p w14:paraId="4A65C900">
            <w:pPr>
              <w:pStyle w:val="78"/>
              <w:rPr>
                <w:rFonts w:cs="Times New Roman"/>
              </w:rPr>
            </w:pPr>
            <w:r>
              <w:rPr>
                <w:rFonts w:cs="Times New Roman"/>
              </w:rPr>
              <w:t>ND</w:t>
            </w:r>
          </w:p>
        </w:tc>
        <w:tc>
          <w:tcPr>
            <w:tcW w:w="426" w:type="pct"/>
            <w:vAlign w:val="center"/>
          </w:tcPr>
          <w:p w14:paraId="3DDCCEF4">
            <w:pPr>
              <w:pStyle w:val="78"/>
              <w:rPr>
                <w:rFonts w:cs="Times New Roman"/>
              </w:rPr>
            </w:pPr>
            <w:r>
              <w:rPr>
                <w:rFonts w:cs="Times New Roman"/>
              </w:rPr>
              <w:t>ND</w:t>
            </w:r>
          </w:p>
        </w:tc>
        <w:tc>
          <w:tcPr>
            <w:tcW w:w="422" w:type="pct"/>
            <w:vAlign w:val="center"/>
          </w:tcPr>
          <w:p w14:paraId="5AFC4B31">
            <w:pPr>
              <w:pStyle w:val="78"/>
              <w:rPr>
                <w:rFonts w:cs="Times New Roman"/>
              </w:rPr>
            </w:pPr>
            <w:r>
              <w:rPr>
                <w:rFonts w:cs="Times New Roman"/>
              </w:rPr>
              <w:t>ND</w:t>
            </w:r>
          </w:p>
        </w:tc>
      </w:tr>
      <w:tr w14:paraId="631C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vMerge w:val="continue"/>
            <w:vAlign w:val="center"/>
          </w:tcPr>
          <w:p w14:paraId="1D9822D1">
            <w:pPr>
              <w:pStyle w:val="78"/>
              <w:rPr>
                <w:rFonts w:cs="Times New Roman"/>
              </w:rPr>
            </w:pPr>
          </w:p>
        </w:tc>
        <w:tc>
          <w:tcPr>
            <w:tcW w:w="342" w:type="pct"/>
            <w:vAlign w:val="center"/>
          </w:tcPr>
          <w:p w14:paraId="707C62FF">
            <w:pPr>
              <w:pStyle w:val="78"/>
              <w:rPr>
                <w:rFonts w:cs="Times New Roman"/>
              </w:rPr>
            </w:pPr>
            <w:r>
              <w:rPr>
                <w:rFonts w:cs="Times New Roman"/>
                <w:sz w:val="22"/>
              </w:rPr>
              <w:t>SH-8</w:t>
            </w:r>
          </w:p>
        </w:tc>
        <w:tc>
          <w:tcPr>
            <w:tcW w:w="409" w:type="pct"/>
            <w:vAlign w:val="center"/>
          </w:tcPr>
          <w:p w14:paraId="6EEEBDE1">
            <w:pPr>
              <w:pStyle w:val="78"/>
              <w:rPr>
                <w:rFonts w:cs="Times New Roman"/>
              </w:rPr>
            </w:pPr>
            <w:r>
              <w:rPr>
                <w:rFonts w:cs="Times New Roman"/>
              </w:rPr>
              <w:t>0~0.2m</w:t>
            </w:r>
          </w:p>
        </w:tc>
        <w:tc>
          <w:tcPr>
            <w:tcW w:w="425" w:type="pct"/>
            <w:vAlign w:val="center"/>
          </w:tcPr>
          <w:p w14:paraId="57F75AA5">
            <w:pPr>
              <w:pStyle w:val="78"/>
              <w:rPr>
                <w:rFonts w:cs="Times New Roman"/>
              </w:rPr>
            </w:pPr>
            <w:r>
              <w:rPr>
                <w:rFonts w:cs="Times New Roman"/>
              </w:rPr>
              <w:t>ND</w:t>
            </w:r>
          </w:p>
        </w:tc>
        <w:tc>
          <w:tcPr>
            <w:tcW w:w="425" w:type="pct"/>
            <w:vAlign w:val="center"/>
          </w:tcPr>
          <w:p w14:paraId="475D5A29">
            <w:pPr>
              <w:pStyle w:val="78"/>
              <w:rPr>
                <w:rFonts w:cs="Times New Roman"/>
              </w:rPr>
            </w:pPr>
            <w:r>
              <w:rPr>
                <w:rFonts w:cs="Times New Roman"/>
              </w:rPr>
              <w:t>ND</w:t>
            </w:r>
          </w:p>
        </w:tc>
        <w:tc>
          <w:tcPr>
            <w:tcW w:w="425" w:type="pct"/>
            <w:vAlign w:val="center"/>
          </w:tcPr>
          <w:p w14:paraId="6358B826">
            <w:pPr>
              <w:pStyle w:val="78"/>
              <w:rPr>
                <w:rFonts w:cs="Times New Roman"/>
              </w:rPr>
            </w:pPr>
            <w:r>
              <w:rPr>
                <w:rFonts w:cs="Times New Roman"/>
              </w:rPr>
              <w:t>ND</w:t>
            </w:r>
          </w:p>
        </w:tc>
        <w:tc>
          <w:tcPr>
            <w:tcW w:w="426" w:type="pct"/>
            <w:vAlign w:val="center"/>
          </w:tcPr>
          <w:p w14:paraId="5D9D812A">
            <w:pPr>
              <w:pStyle w:val="78"/>
              <w:rPr>
                <w:rFonts w:cs="Times New Roman"/>
              </w:rPr>
            </w:pPr>
            <w:r>
              <w:rPr>
                <w:rFonts w:cs="Times New Roman"/>
              </w:rPr>
              <w:t>ND</w:t>
            </w:r>
          </w:p>
        </w:tc>
        <w:tc>
          <w:tcPr>
            <w:tcW w:w="426" w:type="pct"/>
            <w:vAlign w:val="center"/>
          </w:tcPr>
          <w:p w14:paraId="7E710FA8">
            <w:pPr>
              <w:pStyle w:val="78"/>
              <w:rPr>
                <w:rFonts w:cs="Times New Roman"/>
              </w:rPr>
            </w:pPr>
            <w:r>
              <w:rPr>
                <w:rFonts w:cs="Times New Roman"/>
              </w:rPr>
              <w:t>ND</w:t>
            </w:r>
          </w:p>
        </w:tc>
        <w:tc>
          <w:tcPr>
            <w:tcW w:w="426" w:type="pct"/>
            <w:vAlign w:val="center"/>
          </w:tcPr>
          <w:p w14:paraId="52729358">
            <w:pPr>
              <w:pStyle w:val="78"/>
              <w:rPr>
                <w:rFonts w:cs="Times New Roman"/>
              </w:rPr>
            </w:pPr>
            <w:r>
              <w:rPr>
                <w:rFonts w:cs="Times New Roman"/>
              </w:rPr>
              <w:t>ND</w:t>
            </w:r>
          </w:p>
        </w:tc>
        <w:tc>
          <w:tcPr>
            <w:tcW w:w="426" w:type="pct"/>
            <w:vAlign w:val="center"/>
          </w:tcPr>
          <w:p w14:paraId="108B85CA">
            <w:pPr>
              <w:pStyle w:val="78"/>
              <w:rPr>
                <w:rFonts w:cs="Times New Roman"/>
              </w:rPr>
            </w:pPr>
            <w:r>
              <w:rPr>
                <w:rFonts w:cs="Times New Roman"/>
              </w:rPr>
              <w:t>ND</w:t>
            </w:r>
          </w:p>
        </w:tc>
        <w:tc>
          <w:tcPr>
            <w:tcW w:w="426" w:type="pct"/>
            <w:vAlign w:val="center"/>
          </w:tcPr>
          <w:p w14:paraId="539862A9">
            <w:pPr>
              <w:pStyle w:val="78"/>
              <w:rPr>
                <w:rFonts w:cs="Times New Roman"/>
              </w:rPr>
            </w:pPr>
            <w:r>
              <w:rPr>
                <w:rFonts w:cs="Times New Roman"/>
              </w:rPr>
              <w:t>ND</w:t>
            </w:r>
          </w:p>
        </w:tc>
        <w:tc>
          <w:tcPr>
            <w:tcW w:w="422" w:type="pct"/>
            <w:vAlign w:val="center"/>
          </w:tcPr>
          <w:p w14:paraId="180DC3CA">
            <w:pPr>
              <w:pStyle w:val="78"/>
              <w:rPr>
                <w:rFonts w:cs="Times New Roman"/>
              </w:rPr>
            </w:pPr>
            <w:r>
              <w:rPr>
                <w:rFonts w:cs="Times New Roman"/>
              </w:rPr>
              <w:t>ND</w:t>
            </w:r>
          </w:p>
        </w:tc>
      </w:tr>
    </w:tbl>
    <w:p w14:paraId="65DA4003">
      <w:pPr>
        <w:ind w:firstLine="480"/>
        <w:rPr>
          <w:rFonts w:ascii="Times New Roman" w:hAnsi="Times New Roman" w:cs="Times New Roman"/>
        </w:rPr>
      </w:pPr>
    </w:p>
    <w:p w14:paraId="00D69673">
      <w:pPr>
        <w:pStyle w:val="14"/>
        <w:rPr>
          <w:rFonts w:cs="Times New Roman"/>
          <w:color w:val="auto"/>
        </w:rPr>
      </w:pPr>
    </w:p>
    <w:p w14:paraId="435667B5">
      <w:pPr>
        <w:pStyle w:val="14"/>
        <w:rPr>
          <w:rFonts w:cs="Times New Roman"/>
          <w:color w:val="auto"/>
        </w:rPr>
      </w:pPr>
    </w:p>
    <w:p w14:paraId="64D571DB">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21</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⑤</w:t>
      </w:r>
    </w:p>
    <w:tbl>
      <w:tblPr>
        <w:tblStyle w:val="41"/>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13"/>
        <w:gridCol w:w="1096"/>
        <w:gridCol w:w="849"/>
        <w:gridCol w:w="849"/>
        <w:gridCol w:w="849"/>
        <w:gridCol w:w="849"/>
        <w:gridCol w:w="849"/>
        <w:gridCol w:w="849"/>
        <w:gridCol w:w="849"/>
        <w:gridCol w:w="849"/>
        <w:gridCol w:w="849"/>
        <w:gridCol w:w="1153"/>
        <w:gridCol w:w="849"/>
        <w:gridCol w:w="1283"/>
      </w:tblGrid>
      <w:tr w14:paraId="7AD8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6" w:type="pct"/>
            <w:vMerge w:val="restart"/>
            <w:vAlign w:val="center"/>
          </w:tcPr>
          <w:p w14:paraId="6B7DC176">
            <w:pPr>
              <w:pStyle w:val="78"/>
              <w:rPr>
                <w:rFonts w:cs="Times New Roman"/>
                <w:b/>
              </w:rPr>
            </w:pPr>
            <w:r>
              <w:rPr>
                <w:rFonts w:cs="Times New Roman"/>
                <w:b/>
              </w:rPr>
              <w:t>采样日期</w:t>
            </w:r>
          </w:p>
        </w:tc>
        <w:tc>
          <w:tcPr>
            <w:tcW w:w="760" w:type="pct"/>
            <w:gridSpan w:val="2"/>
            <w:vMerge w:val="restart"/>
            <w:vAlign w:val="center"/>
          </w:tcPr>
          <w:p w14:paraId="5273C314">
            <w:pPr>
              <w:pStyle w:val="78"/>
              <w:rPr>
                <w:rFonts w:cs="Times New Roman"/>
                <w:b/>
              </w:rPr>
            </w:pPr>
            <w:r>
              <w:rPr>
                <w:rFonts w:cs="Times New Roman"/>
                <w:b/>
              </w:rPr>
              <w:t>采样点位</w:t>
            </w:r>
          </w:p>
        </w:tc>
        <w:tc>
          <w:tcPr>
            <w:tcW w:w="3824" w:type="pct"/>
            <w:gridSpan w:val="12"/>
            <w:vAlign w:val="center"/>
          </w:tcPr>
          <w:p w14:paraId="3E0FAFCE">
            <w:pPr>
              <w:pStyle w:val="78"/>
              <w:rPr>
                <w:rFonts w:cs="Times New Roman"/>
                <w:b/>
              </w:rPr>
            </w:pPr>
            <w:r>
              <w:rPr>
                <w:rFonts w:cs="Times New Roman"/>
                <w:b/>
              </w:rPr>
              <w:t>检测结果（mg/kg）</w:t>
            </w:r>
          </w:p>
        </w:tc>
      </w:tr>
      <w:tr w14:paraId="6DEA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16" w:type="pct"/>
            <w:vMerge w:val="continue"/>
            <w:vAlign w:val="center"/>
          </w:tcPr>
          <w:p w14:paraId="57351982">
            <w:pPr>
              <w:pStyle w:val="78"/>
              <w:rPr>
                <w:rFonts w:cs="Times New Roman"/>
                <w:b/>
              </w:rPr>
            </w:pPr>
          </w:p>
        </w:tc>
        <w:tc>
          <w:tcPr>
            <w:tcW w:w="760" w:type="pct"/>
            <w:gridSpan w:val="2"/>
            <w:vMerge w:val="continue"/>
            <w:vAlign w:val="center"/>
          </w:tcPr>
          <w:p w14:paraId="2B208365">
            <w:pPr>
              <w:pStyle w:val="78"/>
              <w:rPr>
                <w:rFonts w:cs="Times New Roman"/>
                <w:b/>
              </w:rPr>
            </w:pPr>
          </w:p>
        </w:tc>
        <w:tc>
          <w:tcPr>
            <w:tcW w:w="318" w:type="pct"/>
            <w:vAlign w:val="center"/>
          </w:tcPr>
          <w:p w14:paraId="195D7423">
            <w:pPr>
              <w:pStyle w:val="78"/>
              <w:rPr>
                <w:rFonts w:cs="Times New Roman"/>
                <w:b/>
              </w:rPr>
            </w:pPr>
            <w:r>
              <w:rPr>
                <w:rFonts w:cs="Times New Roman"/>
                <w:b/>
              </w:rPr>
              <w:t>硝基苯</w:t>
            </w:r>
          </w:p>
        </w:tc>
        <w:tc>
          <w:tcPr>
            <w:tcW w:w="318" w:type="pct"/>
            <w:vAlign w:val="center"/>
          </w:tcPr>
          <w:p w14:paraId="313D3044">
            <w:pPr>
              <w:pStyle w:val="78"/>
              <w:rPr>
                <w:rFonts w:cs="Times New Roman"/>
                <w:b/>
              </w:rPr>
            </w:pPr>
            <w:r>
              <w:rPr>
                <w:rFonts w:cs="Times New Roman"/>
                <w:b/>
              </w:rPr>
              <w:t>苯胺</w:t>
            </w:r>
          </w:p>
        </w:tc>
        <w:tc>
          <w:tcPr>
            <w:tcW w:w="318" w:type="pct"/>
            <w:vAlign w:val="center"/>
          </w:tcPr>
          <w:p w14:paraId="13717A78">
            <w:pPr>
              <w:pStyle w:val="78"/>
              <w:rPr>
                <w:rFonts w:cs="Times New Roman"/>
                <w:b/>
              </w:rPr>
            </w:pPr>
            <w:r>
              <w:rPr>
                <w:rFonts w:cs="Times New Roman"/>
                <w:b/>
              </w:rPr>
              <w:t>2-氯苯酚</w:t>
            </w:r>
          </w:p>
        </w:tc>
        <w:tc>
          <w:tcPr>
            <w:tcW w:w="318" w:type="pct"/>
            <w:vAlign w:val="center"/>
          </w:tcPr>
          <w:p w14:paraId="0374184D">
            <w:pPr>
              <w:pStyle w:val="78"/>
              <w:rPr>
                <w:rFonts w:cs="Times New Roman"/>
                <w:b/>
              </w:rPr>
            </w:pPr>
            <w:r>
              <w:rPr>
                <w:rFonts w:cs="Times New Roman"/>
                <w:b/>
                <w:spacing w:val="4"/>
              </w:rPr>
              <w:t>苯并(a)蒽</w:t>
            </w:r>
          </w:p>
        </w:tc>
        <w:tc>
          <w:tcPr>
            <w:tcW w:w="318" w:type="pct"/>
            <w:vAlign w:val="center"/>
          </w:tcPr>
          <w:p w14:paraId="17D4F91F">
            <w:pPr>
              <w:pStyle w:val="78"/>
              <w:rPr>
                <w:rFonts w:cs="Times New Roman"/>
                <w:b/>
              </w:rPr>
            </w:pPr>
            <w:r>
              <w:rPr>
                <w:rFonts w:cs="Times New Roman"/>
                <w:b/>
                <w:spacing w:val="4"/>
              </w:rPr>
              <w:t>苯并(a)芘</w:t>
            </w:r>
          </w:p>
        </w:tc>
        <w:tc>
          <w:tcPr>
            <w:tcW w:w="318" w:type="pct"/>
            <w:vAlign w:val="center"/>
          </w:tcPr>
          <w:p w14:paraId="6065E81C">
            <w:pPr>
              <w:pStyle w:val="78"/>
              <w:rPr>
                <w:rFonts w:cs="Times New Roman"/>
                <w:b/>
              </w:rPr>
            </w:pPr>
            <w:r>
              <w:rPr>
                <w:rFonts w:cs="Times New Roman"/>
                <w:b/>
                <w:spacing w:val="4"/>
              </w:rPr>
              <w:t>苯并(b)荧蒽</w:t>
            </w:r>
          </w:p>
        </w:tc>
        <w:tc>
          <w:tcPr>
            <w:tcW w:w="318" w:type="pct"/>
            <w:vAlign w:val="center"/>
          </w:tcPr>
          <w:p w14:paraId="40866FCF">
            <w:pPr>
              <w:pStyle w:val="78"/>
              <w:rPr>
                <w:rFonts w:cs="Times New Roman"/>
                <w:b/>
              </w:rPr>
            </w:pPr>
            <w:r>
              <w:rPr>
                <w:rFonts w:cs="Times New Roman"/>
                <w:b/>
                <w:spacing w:val="4"/>
              </w:rPr>
              <w:t>苯并(k)荧蒽</w:t>
            </w:r>
          </w:p>
        </w:tc>
        <w:tc>
          <w:tcPr>
            <w:tcW w:w="318" w:type="pct"/>
            <w:vAlign w:val="center"/>
          </w:tcPr>
          <w:p w14:paraId="007C38C9">
            <w:pPr>
              <w:pStyle w:val="78"/>
              <w:rPr>
                <w:rFonts w:cs="Times New Roman"/>
                <w:b/>
              </w:rPr>
            </w:pPr>
            <w:r>
              <w:rPr>
                <w:rFonts w:cs="Times New Roman"/>
                <w:b/>
              </w:rPr>
              <w:t>䓛</w:t>
            </w:r>
          </w:p>
        </w:tc>
        <w:tc>
          <w:tcPr>
            <w:tcW w:w="318" w:type="pct"/>
            <w:vAlign w:val="center"/>
          </w:tcPr>
          <w:p w14:paraId="389B2FAB">
            <w:pPr>
              <w:pStyle w:val="78"/>
              <w:rPr>
                <w:rFonts w:cs="Times New Roman"/>
                <w:b/>
              </w:rPr>
            </w:pPr>
            <w:r>
              <w:rPr>
                <w:rFonts w:cs="Times New Roman"/>
                <w:b/>
                <w:spacing w:val="4"/>
              </w:rPr>
              <w:t>二苯并(a,h)蒽</w:t>
            </w:r>
          </w:p>
        </w:tc>
        <w:tc>
          <w:tcPr>
            <w:tcW w:w="318" w:type="pct"/>
            <w:vAlign w:val="center"/>
          </w:tcPr>
          <w:p w14:paraId="348072E3">
            <w:pPr>
              <w:pStyle w:val="78"/>
              <w:rPr>
                <w:rFonts w:cs="Times New Roman"/>
                <w:b/>
              </w:rPr>
            </w:pPr>
            <w:r>
              <w:rPr>
                <w:rFonts w:cs="Times New Roman"/>
                <w:b/>
                <w:spacing w:val="4"/>
              </w:rPr>
              <w:t>茚并(1,2,3-c,d)芘</w:t>
            </w:r>
          </w:p>
        </w:tc>
        <w:tc>
          <w:tcPr>
            <w:tcW w:w="318" w:type="pct"/>
            <w:vAlign w:val="center"/>
          </w:tcPr>
          <w:p w14:paraId="3EC44382">
            <w:pPr>
              <w:pStyle w:val="78"/>
              <w:rPr>
                <w:rFonts w:cs="Times New Roman"/>
                <w:b/>
              </w:rPr>
            </w:pPr>
            <w:r>
              <w:rPr>
                <w:rFonts w:cs="Times New Roman"/>
                <w:b/>
              </w:rPr>
              <w:t>萘</w:t>
            </w:r>
          </w:p>
        </w:tc>
        <w:tc>
          <w:tcPr>
            <w:tcW w:w="326" w:type="pct"/>
            <w:vAlign w:val="center"/>
          </w:tcPr>
          <w:p w14:paraId="0A5EB24A">
            <w:pPr>
              <w:pStyle w:val="78"/>
              <w:rPr>
                <w:rFonts w:cs="Times New Roman"/>
                <w:b/>
              </w:rPr>
            </w:pPr>
            <w:r>
              <w:rPr>
                <w:rFonts w:cs="Times New Roman"/>
                <w:b/>
              </w:rPr>
              <w:t>石油烃（C</w:t>
            </w:r>
            <w:r>
              <w:rPr>
                <w:rFonts w:cs="Times New Roman"/>
                <w:b/>
                <w:vertAlign w:val="subscript"/>
              </w:rPr>
              <w:t>10</w:t>
            </w:r>
            <w:r>
              <w:rPr>
                <w:rFonts w:cs="Times New Roman"/>
                <w:b/>
              </w:rPr>
              <w:t>-C</w:t>
            </w:r>
            <w:r>
              <w:rPr>
                <w:rFonts w:cs="Times New Roman"/>
                <w:b/>
                <w:vertAlign w:val="subscript"/>
              </w:rPr>
              <w:t>40</w:t>
            </w:r>
            <w:r>
              <w:rPr>
                <w:rFonts w:cs="Times New Roman"/>
                <w:b/>
              </w:rPr>
              <w:t>）</w:t>
            </w:r>
          </w:p>
        </w:tc>
      </w:tr>
      <w:tr w14:paraId="3729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restart"/>
            <w:vAlign w:val="center"/>
          </w:tcPr>
          <w:p w14:paraId="55B58825">
            <w:pPr>
              <w:pStyle w:val="78"/>
              <w:rPr>
                <w:rFonts w:cs="Times New Roman"/>
              </w:rPr>
            </w:pPr>
            <w:r>
              <w:rPr>
                <w:rFonts w:cs="Times New Roman"/>
              </w:rPr>
              <w:t>2023.08.18</w:t>
            </w:r>
          </w:p>
        </w:tc>
        <w:tc>
          <w:tcPr>
            <w:tcW w:w="354" w:type="pct"/>
            <w:vMerge w:val="restart"/>
            <w:vAlign w:val="center"/>
          </w:tcPr>
          <w:p w14:paraId="3034E0C3">
            <w:pPr>
              <w:pStyle w:val="78"/>
              <w:rPr>
                <w:rFonts w:cs="Times New Roman"/>
              </w:rPr>
            </w:pPr>
            <w:r>
              <w:rPr>
                <w:rFonts w:cs="Times New Roman"/>
              </w:rPr>
              <w:t>SH-1</w:t>
            </w:r>
          </w:p>
        </w:tc>
        <w:tc>
          <w:tcPr>
            <w:tcW w:w="406" w:type="pct"/>
            <w:vAlign w:val="center"/>
          </w:tcPr>
          <w:p w14:paraId="779F7333">
            <w:pPr>
              <w:pStyle w:val="78"/>
              <w:rPr>
                <w:rFonts w:cs="Times New Roman"/>
              </w:rPr>
            </w:pPr>
            <w:r>
              <w:rPr>
                <w:rFonts w:cs="Times New Roman"/>
              </w:rPr>
              <w:t>0~0.5m</w:t>
            </w:r>
          </w:p>
        </w:tc>
        <w:tc>
          <w:tcPr>
            <w:tcW w:w="318" w:type="pct"/>
            <w:vAlign w:val="center"/>
          </w:tcPr>
          <w:p w14:paraId="3B136DFA">
            <w:pPr>
              <w:pStyle w:val="78"/>
              <w:rPr>
                <w:rFonts w:cs="Times New Roman"/>
              </w:rPr>
            </w:pPr>
            <w:r>
              <w:rPr>
                <w:rFonts w:cs="Times New Roman"/>
              </w:rPr>
              <w:t>ND</w:t>
            </w:r>
          </w:p>
        </w:tc>
        <w:tc>
          <w:tcPr>
            <w:tcW w:w="318" w:type="pct"/>
            <w:vAlign w:val="center"/>
          </w:tcPr>
          <w:p w14:paraId="736EF2CC">
            <w:pPr>
              <w:pStyle w:val="78"/>
              <w:rPr>
                <w:rFonts w:cs="Times New Roman"/>
              </w:rPr>
            </w:pPr>
            <w:r>
              <w:rPr>
                <w:rFonts w:cs="Times New Roman"/>
              </w:rPr>
              <w:t>ND</w:t>
            </w:r>
          </w:p>
        </w:tc>
        <w:tc>
          <w:tcPr>
            <w:tcW w:w="318" w:type="pct"/>
            <w:vAlign w:val="center"/>
          </w:tcPr>
          <w:p w14:paraId="02657A4B">
            <w:pPr>
              <w:pStyle w:val="78"/>
              <w:rPr>
                <w:rFonts w:cs="Times New Roman"/>
              </w:rPr>
            </w:pPr>
            <w:r>
              <w:rPr>
                <w:rFonts w:cs="Times New Roman"/>
              </w:rPr>
              <w:t>ND</w:t>
            </w:r>
          </w:p>
        </w:tc>
        <w:tc>
          <w:tcPr>
            <w:tcW w:w="318" w:type="pct"/>
            <w:vAlign w:val="center"/>
          </w:tcPr>
          <w:p w14:paraId="0A113E3B">
            <w:pPr>
              <w:pStyle w:val="78"/>
              <w:rPr>
                <w:rFonts w:cs="Times New Roman"/>
              </w:rPr>
            </w:pPr>
            <w:r>
              <w:rPr>
                <w:rFonts w:cs="Times New Roman"/>
              </w:rPr>
              <w:t>ND</w:t>
            </w:r>
          </w:p>
        </w:tc>
        <w:tc>
          <w:tcPr>
            <w:tcW w:w="318" w:type="pct"/>
            <w:vAlign w:val="center"/>
          </w:tcPr>
          <w:p w14:paraId="528D0CA4">
            <w:pPr>
              <w:pStyle w:val="78"/>
              <w:rPr>
                <w:rFonts w:cs="Times New Roman"/>
              </w:rPr>
            </w:pPr>
            <w:r>
              <w:rPr>
                <w:rFonts w:cs="Times New Roman"/>
              </w:rPr>
              <w:t>ND</w:t>
            </w:r>
          </w:p>
        </w:tc>
        <w:tc>
          <w:tcPr>
            <w:tcW w:w="318" w:type="pct"/>
            <w:vAlign w:val="center"/>
          </w:tcPr>
          <w:p w14:paraId="082ACAAF">
            <w:pPr>
              <w:pStyle w:val="78"/>
              <w:rPr>
                <w:rFonts w:cs="Times New Roman"/>
              </w:rPr>
            </w:pPr>
            <w:r>
              <w:rPr>
                <w:rFonts w:cs="Times New Roman"/>
              </w:rPr>
              <w:t>ND</w:t>
            </w:r>
          </w:p>
        </w:tc>
        <w:tc>
          <w:tcPr>
            <w:tcW w:w="318" w:type="pct"/>
            <w:vAlign w:val="center"/>
          </w:tcPr>
          <w:p w14:paraId="6CAE6154">
            <w:pPr>
              <w:pStyle w:val="78"/>
              <w:rPr>
                <w:rFonts w:cs="Times New Roman"/>
              </w:rPr>
            </w:pPr>
            <w:r>
              <w:rPr>
                <w:rFonts w:cs="Times New Roman"/>
              </w:rPr>
              <w:t>ND</w:t>
            </w:r>
          </w:p>
        </w:tc>
        <w:tc>
          <w:tcPr>
            <w:tcW w:w="318" w:type="pct"/>
            <w:vAlign w:val="center"/>
          </w:tcPr>
          <w:p w14:paraId="78D8D7D6">
            <w:pPr>
              <w:pStyle w:val="78"/>
              <w:rPr>
                <w:rFonts w:cs="Times New Roman"/>
              </w:rPr>
            </w:pPr>
            <w:r>
              <w:rPr>
                <w:rFonts w:cs="Times New Roman"/>
              </w:rPr>
              <w:t>ND</w:t>
            </w:r>
          </w:p>
        </w:tc>
        <w:tc>
          <w:tcPr>
            <w:tcW w:w="318" w:type="pct"/>
            <w:vAlign w:val="center"/>
          </w:tcPr>
          <w:p w14:paraId="31DD248E">
            <w:pPr>
              <w:pStyle w:val="78"/>
              <w:rPr>
                <w:rFonts w:cs="Times New Roman"/>
              </w:rPr>
            </w:pPr>
            <w:r>
              <w:rPr>
                <w:rFonts w:cs="Times New Roman"/>
              </w:rPr>
              <w:t>ND</w:t>
            </w:r>
          </w:p>
        </w:tc>
        <w:tc>
          <w:tcPr>
            <w:tcW w:w="318" w:type="pct"/>
            <w:vAlign w:val="center"/>
          </w:tcPr>
          <w:p w14:paraId="0BD02026">
            <w:pPr>
              <w:pStyle w:val="78"/>
              <w:rPr>
                <w:rFonts w:cs="Times New Roman"/>
              </w:rPr>
            </w:pPr>
            <w:r>
              <w:rPr>
                <w:rFonts w:cs="Times New Roman"/>
              </w:rPr>
              <w:t>ND</w:t>
            </w:r>
          </w:p>
        </w:tc>
        <w:tc>
          <w:tcPr>
            <w:tcW w:w="318" w:type="pct"/>
            <w:vAlign w:val="center"/>
          </w:tcPr>
          <w:p w14:paraId="4A6E0CFF">
            <w:pPr>
              <w:pStyle w:val="78"/>
              <w:rPr>
                <w:rFonts w:cs="Times New Roman"/>
              </w:rPr>
            </w:pPr>
            <w:r>
              <w:rPr>
                <w:rFonts w:cs="Times New Roman"/>
              </w:rPr>
              <w:t>ND</w:t>
            </w:r>
          </w:p>
        </w:tc>
        <w:tc>
          <w:tcPr>
            <w:tcW w:w="326" w:type="pct"/>
            <w:vAlign w:val="center"/>
          </w:tcPr>
          <w:p w14:paraId="7AF57F81">
            <w:pPr>
              <w:pStyle w:val="78"/>
              <w:rPr>
                <w:rFonts w:cs="Times New Roman"/>
              </w:rPr>
            </w:pPr>
            <w:r>
              <w:rPr>
                <w:rFonts w:cs="Times New Roman"/>
              </w:rPr>
              <w:t>9</w:t>
            </w:r>
          </w:p>
        </w:tc>
      </w:tr>
      <w:tr w14:paraId="0C0E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continue"/>
            <w:vAlign w:val="center"/>
          </w:tcPr>
          <w:p w14:paraId="4C7FDAE4">
            <w:pPr>
              <w:pStyle w:val="78"/>
              <w:rPr>
                <w:rFonts w:cs="Times New Roman"/>
              </w:rPr>
            </w:pPr>
          </w:p>
        </w:tc>
        <w:tc>
          <w:tcPr>
            <w:tcW w:w="354" w:type="pct"/>
            <w:vMerge w:val="continue"/>
            <w:vAlign w:val="center"/>
          </w:tcPr>
          <w:p w14:paraId="5FFD3D7C">
            <w:pPr>
              <w:pStyle w:val="78"/>
              <w:rPr>
                <w:rFonts w:cs="Times New Roman"/>
              </w:rPr>
            </w:pPr>
          </w:p>
        </w:tc>
        <w:tc>
          <w:tcPr>
            <w:tcW w:w="406" w:type="pct"/>
            <w:vAlign w:val="center"/>
          </w:tcPr>
          <w:p w14:paraId="112CA407">
            <w:pPr>
              <w:pStyle w:val="78"/>
              <w:rPr>
                <w:rFonts w:cs="Times New Roman"/>
              </w:rPr>
            </w:pPr>
            <w:r>
              <w:rPr>
                <w:rFonts w:cs="Times New Roman"/>
              </w:rPr>
              <w:t>1.0~1.5m</w:t>
            </w:r>
          </w:p>
        </w:tc>
        <w:tc>
          <w:tcPr>
            <w:tcW w:w="318" w:type="pct"/>
            <w:vAlign w:val="center"/>
          </w:tcPr>
          <w:p w14:paraId="789D5C2F">
            <w:pPr>
              <w:pStyle w:val="78"/>
              <w:rPr>
                <w:rFonts w:cs="Times New Roman"/>
              </w:rPr>
            </w:pPr>
            <w:r>
              <w:rPr>
                <w:rFonts w:cs="Times New Roman"/>
              </w:rPr>
              <w:t>ND</w:t>
            </w:r>
          </w:p>
        </w:tc>
        <w:tc>
          <w:tcPr>
            <w:tcW w:w="318" w:type="pct"/>
            <w:vAlign w:val="center"/>
          </w:tcPr>
          <w:p w14:paraId="47E66764">
            <w:pPr>
              <w:pStyle w:val="78"/>
              <w:rPr>
                <w:rFonts w:cs="Times New Roman"/>
              </w:rPr>
            </w:pPr>
            <w:r>
              <w:rPr>
                <w:rFonts w:cs="Times New Roman"/>
              </w:rPr>
              <w:t>ND</w:t>
            </w:r>
          </w:p>
        </w:tc>
        <w:tc>
          <w:tcPr>
            <w:tcW w:w="318" w:type="pct"/>
            <w:vAlign w:val="center"/>
          </w:tcPr>
          <w:p w14:paraId="6D194BF4">
            <w:pPr>
              <w:pStyle w:val="78"/>
              <w:rPr>
                <w:rFonts w:cs="Times New Roman"/>
              </w:rPr>
            </w:pPr>
            <w:r>
              <w:rPr>
                <w:rFonts w:cs="Times New Roman"/>
              </w:rPr>
              <w:t>ND</w:t>
            </w:r>
          </w:p>
        </w:tc>
        <w:tc>
          <w:tcPr>
            <w:tcW w:w="318" w:type="pct"/>
            <w:vAlign w:val="center"/>
          </w:tcPr>
          <w:p w14:paraId="7E83CDAB">
            <w:pPr>
              <w:pStyle w:val="78"/>
              <w:rPr>
                <w:rFonts w:cs="Times New Roman"/>
              </w:rPr>
            </w:pPr>
            <w:r>
              <w:rPr>
                <w:rFonts w:cs="Times New Roman"/>
              </w:rPr>
              <w:t>ND</w:t>
            </w:r>
          </w:p>
        </w:tc>
        <w:tc>
          <w:tcPr>
            <w:tcW w:w="318" w:type="pct"/>
            <w:vAlign w:val="center"/>
          </w:tcPr>
          <w:p w14:paraId="2176070B">
            <w:pPr>
              <w:pStyle w:val="78"/>
              <w:rPr>
                <w:rFonts w:cs="Times New Roman"/>
              </w:rPr>
            </w:pPr>
            <w:r>
              <w:rPr>
                <w:rFonts w:cs="Times New Roman"/>
              </w:rPr>
              <w:t>ND</w:t>
            </w:r>
          </w:p>
        </w:tc>
        <w:tc>
          <w:tcPr>
            <w:tcW w:w="318" w:type="pct"/>
            <w:vAlign w:val="center"/>
          </w:tcPr>
          <w:p w14:paraId="47F8F674">
            <w:pPr>
              <w:pStyle w:val="78"/>
              <w:rPr>
                <w:rFonts w:cs="Times New Roman"/>
              </w:rPr>
            </w:pPr>
            <w:r>
              <w:rPr>
                <w:rFonts w:cs="Times New Roman"/>
              </w:rPr>
              <w:t>ND</w:t>
            </w:r>
          </w:p>
        </w:tc>
        <w:tc>
          <w:tcPr>
            <w:tcW w:w="318" w:type="pct"/>
            <w:vAlign w:val="center"/>
          </w:tcPr>
          <w:p w14:paraId="3513A897">
            <w:pPr>
              <w:pStyle w:val="78"/>
              <w:rPr>
                <w:rFonts w:cs="Times New Roman"/>
              </w:rPr>
            </w:pPr>
            <w:r>
              <w:rPr>
                <w:rFonts w:cs="Times New Roman"/>
              </w:rPr>
              <w:t>ND</w:t>
            </w:r>
          </w:p>
        </w:tc>
        <w:tc>
          <w:tcPr>
            <w:tcW w:w="318" w:type="pct"/>
            <w:vAlign w:val="center"/>
          </w:tcPr>
          <w:p w14:paraId="4E378AA3">
            <w:pPr>
              <w:pStyle w:val="78"/>
              <w:rPr>
                <w:rFonts w:cs="Times New Roman"/>
              </w:rPr>
            </w:pPr>
            <w:r>
              <w:rPr>
                <w:rFonts w:cs="Times New Roman"/>
              </w:rPr>
              <w:t>ND</w:t>
            </w:r>
          </w:p>
        </w:tc>
        <w:tc>
          <w:tcPr>
            <w:tcW w:w="318" w:type="pct"/>
            <w:vAlign w:val="center"/>
          </w:tcPr>
          <w:p w14:paraId="43CE6AA1">
            <w:pPr>
              <w:pStyle w:val="78"/>
              <w:rPr>
                <w:rFonts w:cs="Times New Roman"/>
              </w:rPr>
            </w:pPr>
            <w:r>
              <w:rPr>
                <w:rFonts w:cs="Times New Roman"/>
              </w:rPr>
              <w:t>ND</w:t>
            </w:r>
          </w:p>
        </w:tc>
        <w:tc>
          <w:tcPr>
            <w:tcW w:w="318" w:type="pct"/>
            <w:vAlign w:val="center"/>
          </w:tcPr>
          <w:p w14:paraId="60DD6D0A">
            <w:pPr>
              <w:pStyle w:val="78"/>
              <w:rPr>
                <w:rFonts w:cs="Times New Roman"/>
              </w:rPr>
            </w:pPr>
            <w:r>
              <w:rPr>
                <w:rFonts w:cs="Times New Roman"/>
              </w:rPr>
              <w:t>ND</w:t>
            </w:r>
          </w:p>
        </w:tc>
        <w:tc>
          <w:tcPr>
            <w:tcW w:w="318" w:type="pct"/>
            <w:vAlign w:val="center"/>
          </w:tcPr>
          <w:p w14:paraId="29AD0E92">
            <w:pPr>
              <w:pStyle w:val="78"/>
              <w:rPr>
                <w:rFonts w:cs="Times New Roman"/>
              </w:rPr>
            </w:pPr>
            <w:r>
              <w:rPr>
                <w:rFonts w:cs="Times New Roman"/>
              </w:rPr>
              <w:t>ND</w:t>
            </w:r>
          </w:p>
        </w:tc>
        <w:tc>
          <w:tcPr>
            <w:tcW w:w="326" w:type="pct"/>
            <w:vAlign w:val="center"/>
          </w:tcPr>
          <w:p w14:paraId="6F14CD21">
            <w:pPr>
              <w:pStyle w:val="78"/>
              <w:rPr>
                <w:rFonts w:cs="Times New Roman"/>
              </w:rPr>
            </w:pPr>
            <w:r>
              <w:rPr>
                <w:rFonts w:cs="Times New Roman"/>
              </w:rPr>
              <w:t>8</w:t>
            </w:r>
          </w:p>
        </w:tc>
      </w:tr>
      <w:tr w14:paraId="36F3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continue"/>
            <w:vAlign w:val="center"/>
          </w:tcPr>
          <w:p w14:paraId="1E80FC01">
            <w:pPr>
              <w:pStyle w:val="78"/>
              <w:rPr>
                <w:rFonts w:cs="Times New Roman"/>
              </w:rPr>
            </w:pPr>
          </w:p>
        </w:tc>
        <w:tc>
          <w:tcPr>
            <w:tcW w:w="354" w:type="pct"/>
            <w:vMerge w:val="continue"/>
            <w:vAlign w:val="center"/>
          </w:tcPr>
          <w:p w14:paraId="55506DDB">
            <w:pPr>
              <w:pStyle w:val="78"/>
              <w:rPr>
                <w:rFonts w:cs="Times New Roman"/>
              </w:rPr>
            </w:pPr>
          </w:p>
        </w:tc>
        <w:tc>
          <w:tcPr>
            <w:tcW w:w="406" w:type="pct"/>
            <w:vAlign w:val="center"/>
          </w:tcPr>
          <w:p w14:paraId="09934CF1">
            <w:pPr>
              <w:pStyle w:val="78"/>
              <w:rPr>
                <w:rFonts w:cs="Times New Roman"/>
              </w:rPr>
            </w:pPr>
            <w:r>
              <w:rPr>
                <w:rFonts w:cs="Times New Roman"/>
              </w:rPr>
              <w:t>2.0~2.5m</w:t>
            </w:r>
          </w:p>
        </w:tc>
        <w:tc>
          <w:tcPr>
            <w:tcW w:w="318" w:type="pct"/>
            <w:vAlign w:val="center"/>
          </w:tcPr>
          <w:p w14:paraId="72FB7FFB">
            <w:pPr>
              <w:pStyle w:val="78"/>
              <w:rPr>
                <w:rFonts w:cs="Times New Roman"/>
              </w:rPr>
            </w:pPr>
            <w:r>
              <w:rPr>
                <w:rFonts w:cs="Times New Roman"/>
              </w:rPr>
              <w:t>ND</w:t>
            </w:r>
          </w:p>
        </w:tc>
        <w:tc>
          <w:tcPr>
            <w:tcW w:w="318" w:type="pct"/>
            <w:vAlign w:val="center"/>
          </w:tcPr>
          <w:p w14:paraId="3569B67F">
            <w:pPr>
              <w:pStyle w:val="78"/>
              <w:rPr>
                <w:rFonts w:cs="Times New Roman"/>
              </w:rPr>
            </w:pPr>
            <w:r>
              <w:rPr>
                <w:rFonts w:cs="Times New Roman"/>
              </w:rPr>
              <w:t>ND</w:t>
            </w:r>
          </w:p>
        </w:tc>
        <w:tc>
          <w:tcPr>
            <w:tcW w:w="318" w:type="pct"/>
            <w:vAlign w:val="center"/>
          </w:tcPr>
          <w:p w14:paraId="338AF8C9">
            <w:pPr>
              <w:pStyle w:val="78"/>
              <w:rPr>
                <w:rFonts w:cs="Times New Roman"/>
              </w:rPr>
            </w:pPr>
            <w:r>
              <w:rPr>
                <w:rFonts w:cs="Times New Roman"/>
              </w:rPr>
              <w:t>ND</w:t>
            </w:r>
          </w:p>
        </w:tc>
        <w:tc>
          <w:tcPr>
            <w:tcW w:w="318" w:type="pct"/>
            <w:vAlign w:val="center"/>
          </w:tcPr>
          <w:p w14:paraId="7576F7E8">
            <w:pPr>
              <w:pStyle w:val="78"/>
              <w:rPr>
                <w:rFonts w:cs="Times New Roman"/>
              </w:rPr>
            </w:pPr>
            <w:r>
              <w:rPr>
                <w:rFonts w:cs="Times New Roman"/>
              </w:rPr>
              <w:t>ND</w:t>
            </w:r>
          </w:p>
        </w:tc>
        <w:tc>
          <w:tcPr>
            <w:tcW w:w="318" w:type="pct"/>
            <w:vAlign w:val="center"/>
          </w:tcPr>
          <w:p w14:paraId="701164A8">
            <w:pPr>
              <w:pStyle w:val="78"/>
              <w:rPr>
                <w:rFonts w:cs="Times New Roman"/>
              </w:rPr>
            </w:pPr>
            <w:r>
              <w:rPr>
                <w:rFonts w:cs="Times New Roman"/>
              </w:rPr>
              <w:t>ND</w:t>
            </w:r>
          </w:p>
        </w:tc>
        <w:tc>
          <w:tcPr>
            <w:tcW w:w="318" w:type="pct"/>
            <w:vAlign w:val="center"/>
          </w:tcPr>
          <w:p w14:paraId="664F7817">
            <w:pPr>
              <w:pStyle w:val="78"/>
              <w:rPr>
                <w:rFonts w:cs="Times New Roman"/>
              </w:rPr>
            </w:pPr>
            <w:r>
              <w:rPr>
                <w:rFonts w:cs="Times New Roman"/>
              </w:rPr>
              <w:t>ND</w:t>
            </w:r>
          </w:p>
        </w:tc>
        <w:tc>
          <w:tcPr>
            <w:tcW w:w="318" w:type="pct"/>
            <w:vAlign w:val="center"/>
          </w:tcPr>
          <w:p w14:paraId="11BEFC53">
            <w:pPr>
              <w:pStyle w:val="78"/>
              <w:rPr>
                <w:rFonts w:cs="Times New Roman"/>
              </w:rPr>
            </w:pPr>
            <w:r>
              <w:rPr>
                <w:rFonts w:cs="Times New Roman"/>
              </w:rPr>
              <w:t>ND</w:t>
            </w:r>
          </w:p>
        </w:tc>
        <w:tc>
          <w:tcPr>
            <w:tcW w:w="318" w:type="pct"/>
            <w:vAlign w:val="center"/>
          </w:tcPr>
          <w:p w14:paraId="66E2BA31">
            <w:pPr>
              <w:pStyle w:val="78"/>
              <w:rPr>
                <w:rFonts w:cs="Times New Roman"/>
              </w:rPr>
            </w:pPr>
            <w:r>
              <w:rPr>
                <w:rFonts w:cs="Times New Roman"/>
              </w:rPr>
              <w:t>ND</w:t>
            </w:r>
          </w:p>
        </w:tc>
        <w:tc>
          <w:tcPr>
            <w:tcW w:w="318" w:type="pct"/>
            <w:vAlign w:val="center"/>
          </w:tcPr>
          <w:p w14:paraId="230DD2ED">
            <w:pPr>
              <w:pStyle w:val="78"/>
              <w:rPr>
                <w:rFonts w:cs="Times New Roman"/>
              </w:rPr>
            </w:pPr>
            <w:r>
              <w:rPr>
                <w:rFonts w:cs="Times New Roman"/>
              </w:rPr>
              <w:t>ND</w:t>
            </w:r>
          </w:p>
        </w:tc>
        <w:tc>
          <w:tcPr>
            <w:tcW w:w="318" w:type="pct"/>
            <w:vAlign w:val="center"/>
          </w:tcPr>
          <w:p w14:paraId="6461A1DE">
            <w:pPr>
              <w:pStyle w:val="78"/>
              <w:rPr>
                <w:rFonts w:cs="Times New Roman"/>
              </w:rPr>
            </w:pPr>
            <w:r>
              <w:rPr>
                <w:rFonts w:cs="Times New Roman"/>
              </w:rPr>
              <w:t>ND</w:t>
            </w:r>
          </w:p>
        </w:tc>
        <w:tc>
          <w:tcPr>
            <w:tcW w:w="318" w:type="pct"/>
            <w:vAlign w:val="center"/>
          </w:tcPr>
          <w:p w14:paraId="108B9E57">
            <w:pPr>
              <w:pStyle w:val="78"/>
              <w:rPr>
                <w:rFonts w:cs="Times New Roman"/>
              </w:rPr>
            </w:pPr>
            <w:r>
              <w:rPr>
                <w:rFonts w:cs="Times New Roman"/>
              </w:rPr>
              <w:t>ND</w:t>
            </w:r>
          </w:p>
        </w:tc>
        <w:tc>
          <w:tcPr>
            <w:tcW w:w="326" w:type="pct"/>
            <w:vAlign w:val="center"/>
          </w:tcPr>
          <w:p w14:paraId="5746172B">
            <w:pPr>
              <w:pStyle w:val="78"/>
              <w:rPr>
                <w:rFonts w:cs="Times New Roman"/>
              </w:rPr>
            </w:pPr>
            <w:r>
              <w:rPr>
                <w:rFonts w:cs="Times New Roman"/>
              </w:rPr>
              <w:t>ND</w:t>
            </w:r>
          </w:p>
        </w:tc>
      </w:tr>
      <w:tr w14:paraId="663A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continue"/>
            <w:vAlign w:val="center"/>
          </w:tcPr>
          <w:p w14:paraId="3BBBD4BF">
            <w:pPr>
              <w:pStyle w:val="78"/>
              <w:rPr>
                <w:rFonts w:cs="Times New Roman"/>
              </w:rPr>
            </w:pPr>
          </w:p>
        </w:tc>
        <w:tc>
          <w:tcPr>
            <w:tcW w:w="354" w:type="pct"/>
            <w:vMerge w:val="continue"/>
            <w:vAlign w:val="center"/>
          </w:tcPr>
          <w:p w14:paraId="2FDD82C6">
            <w:pPr>
              <w:pStyle w:val="78"/>
              <w:rPr>
                <w:rFonts w:cs="Times New Roman"/>
              </w:rPr>
            </w:pPr>
          </w:p>
        </w:tc>
        <w:tc>
          <w:tcPr>
            <w:tcW w:w="406" w:type="pct"/>
            <w:vAlign w:val="center"/>
          </w:tcPr>
          <w:p w14:paraId="5FEEA22C">
            <w:pPr>
              <w:pStyle w:val="78"/>
              <w:rPr>
                <w:rFonts w:cs="Times New Roman"/>
              </w:rPr>
            </w:pPr>
            <w:r>
              <w:rPr>
                <w:rFonts w:cs="Times New Roman"/>
              </w:rPr>
              <w:t>4.0~4.5m</w:t>
            </w:r>
          </w:p>
        </w:tc>
        <w:tc>
          <w:tcPr>
            <w:tcW w:w="318" w:type="pct"/>
            <w:vAlign w:val="center"/>
          </w:tcPr>
          <w:p w14:paraId="60D04D52">
            <w:pPr>
              <w:pStyle w:val="78"/>
              <w:rPr>
                <w:rFonts w:cs="Times New Roman"/>
              </w:rPr>
            </w:pPr>
            <w:r>
              <w:rPr>
                <w:rFonts w:cs="Times New Roman"/>
              </w:rPr>
              <w:t>ND</w:t>
            </w:r>
          </w:p>
        </w:tc>
        <w:tc>
          <w:tcPr>
            <w:tcW w:w="318" w:type="pct"/>
            <w:vAlign w:val="center"/>
          </w:tcPr>
          <w:p w14:paraId="32332CBD">
            <w:pPr>
              <w:pStyle w:val="78"/>
              <w:rPr>
                <w:rFonts w:cs="Times New Roman"/>
              </w:rPr>
            </w:pPr>
            <w:r>
              <w:rPr>
                <w:rFonts w:cs="Times New Roman"/>
              </w:rPr>
              <w:t>ND</w:t>
            </w:r>
          </w:p>
        </w:tc>
        <w:tc>
          <w:tcPr>
            <w:tcW w:w="318" w:type="pct"/>
            <w:vAlign w:val="center"/>
          </w:tcPr>
          <w:p w14:paraId="7048225A">
            <w:pPr>
              <w:pStyle w:val="78"/>
              <w:rPr>
                <w:rFonts w:cs="Times New Roman"/>
              </w:rPr>
            </w:pPr>
            <w:r>
              <w:rPr>
                <w:rFonts w:cs="Times New Roman"/>
              </w:rPr>
              <w:t>ND</w:t>
            </w:r>
          </w:p>
        </w:tc>
        <w:tc>
          <w:tcPr>
            <w:tcW w:w="318" w:type="pct"/>
            <w:vAlign w:val="center"/>
          </w:tcPr>
          <w:p w14:paraId="1A5AD2C7">
            <w:pPr>
              <w:pStyle w:val="78"/>
              <w:rPr>
                <w:rFonts w:cs="Times New Roman"/>
              </w:rPr>
            </w:pPr>
            <w:r>
              <w:rPr>
                <w:rFonts w:cs="Times New Roman"/>
              </w:rPr>
              <w:t>ND</w:t>
            </w:r>
          </w:p>
        </w:tc>
        <w:tc>
          <w:tcPr>
            <w:tcW w:w="318" w:type="pct"/>
            <w:vAlign w:val="center"/>
          </w:tcPr>
          <w:p w14:paraId="2954EE57">
            <w:pPr>
              <w:pStyle w:val="78"/>
              <w:rPr>
                <w:rFonts w:cs="Times New Roman"/>
              </w:rPr>
            </w:pPr>
            <w:r>
              <w:rPr>
                <w:rFonts w:cs="Times New Roman"/>
              </w:rPr>
              <w:t>ND</w:t>
            </w:r>
          </w:p>
        </w:tc>
        <w:tc>
          <w:tcPr>
            <w:tcW w:w="318" w:type="pct"/>
            <w:vAlign w:val="center"/>
          </w:tcPr>
          <w:p w14:paraId="3A485579">
            <w:pPr>
              <w:pStyle w:val="78"/>
              <w:rPr>
                <w:rFonts w:cs="Times New Roman"/>
              </w:rPr>
            </w:pPr>
            <w:r>
              <w:rPr>
                <w:rFonts w:cs="Times New Roman"/>
              </w:rPr>
              <w:t>ND</w:t>
            </w:r>
          </w:p>
        </w:tc>
        <w:tc>
          <w:tcPr>
            <w:tcW w:w="318" w:type="pct"/>
            <w:vAlign w:val="center"/>
          </w:tcPr>
          <w:p w14:paraId="0403E2F2">
            <w:pPr>
              <w:pStyle w:val="78"/>
              <w:rPr>
                <w:rFonts w:cs="Times New Roman"/>
              </w:rPr>
            </w:pPr>
            <w:r>
              <w:rPr>
                <w:rFonts w:cs="Times New Roman"/>
              </w:rPr>
              <w:t>ND</w:t>
            </w:r>
          </w:p>
        </w:tc>
        <w:tc>
          <w:tcPr>
            <w:tcW w:w="318" w:type="pct"/>
            <w:vAlign w:val="center"/>
          </w:tcPr>
          <w:p w14:paraId="2426052E">
            <w:pPr>
              <w:pStyle w:val="78"/>
              <w:rPr>
                <w:rFonts w:cs="Times New Roman"/>
              </w:rPr>
            </w:pPr>
            <w:r>
              <w:rPr>
                <w:rFonts w:cs="Times New Roman"/>
              </w:rPr>
              <w:t>ND</w:t>
            </w:r>
          </w:p>
        </w:tc>
        <w:tc>
          <w:tcPr>
            <w:tcW w:w="318" w:type="pct"/>
            <w:vAlign w:val="center"/>
          </w:tcPr>
          <w:p w14:paraId="61A17014">
            <w:pPr>
              <w:pStyle w:val="78"/>
              <w:rPr>
                <w:rFonts w:cs="Times New Roman"/>
              </w:rPr>
            </w:pPr>
            <w:r>
              <w:rPr>
                <w:rFonts w:cs="Times New Roman"/>
              </w:rPr>
              <w:t>ND</w:t>
            </w:r>
          </w:p>
        </w:tc>
        <w:tc>
          <w:tcPr>
            <w:tcW w:w="318" w:type="pct"/>
            <w:vAlign w:val="center"/>
          </w:tcPr>
          <w:p w14:paraId="09559C37">
            <w:pPr>
              <w:pStyle w:val="78"/>
              <w:rPr>
                <w:rFonts w:cs="Times New Roman"/>
              </w:rPr>
            </w:pPr>
            <w:r>
              <w:rPr>
                <w:rFonts w:cs="Times New Roman"/>
              </w:rPr>
              <w:t>ND</w:t>
            </w:r>
          </w:p>
        </w:tc>
        <w:tc>
          <w:tcPr>
            <w:tcW w:w="318" w:type="pct"/>
            <w:vAlign w:val="center"/>
          </w:tcPr>
          <w:p w14:paraId="3456A181">
            <w:pPr>
              <w:pStyle w:val="78"/>
              <w:rPr>
                <w:rFonts w:cs="Times New Roman"/>
              </w:rPr>
            </w:pPr>
            <w:r>
              <w:rPr>
                <w:rFonts w:cs="Times New Roman"/>
              </w:rPr>
              <w:t>ND</w:t>
            </w:r>
          </w:p>
        </w:tc>
        <w:tc>
          <w:tcPr>
            <w:tcW w:w="326" w:type="pct"/>
            <w:vAlign w:val="center"/>
          </w:tcPr>
          <w:p w14:paraId="7A7E9C30">
            <w:pPr>
              <w:pStyle w:val="78"/>
              <w:rPr>
                <w:rFonts w:cs="Times New Roman"/>
              </w:rPr>
            </w:pPr>
            <w:r>
              <w:rPr>
                <w:rFonts w:cs="Times New Roman"/>
              </w:rPr>
              <w:t>6</w:t>
            </w:r>
          </w:p>
        </w:tc>
      </w:tr>
      <w:tr w14:paraId="54A0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vMerge w:val="continue"/>
            <w:vAlign w:val="center"/>
          </w:tcPr>
          <w:p w14:paraId="7C69A1E8">
            <w:pPr>
              <w:pStyle w:val="78"/>
              <w:rPr>
                <w:rFonts w:cs="Times New Roman"/>
              </w:rPr>
            </w:pPr>
          </w:p>
        </w:tc>
        <w:tc>
          <w:tcPr>
            <w:tcW w:w="354" w:type="pct"/>
            <w:vAlign w:val="center"/>
          </w:tcPr>
          <w:p w14:paraId="7B753C03">
            <w:pPr>
              <w:pStyle w:val="78"/>
              <w:rPr>
                <w:rFonts w:cs="Times New Roman"/>
              </w:rPr>
            </w:pPr>
            <w:r>
              <w:rPr>
                <w:rFonts w:cs="Times New Roman"/>
                <w:sz w:val="22"/>
              </w:rPr>
              <w:t>SH-8</w:t>
            </w:r>
          </w:p>
        </w:tc>
        <w:tc>
          <w:tcPr>
            <w:tcW w:w="406" w:type="pct"/>
            <w:vAlign w:val="center"/>
          </w:tcPr>
          <w:p w14:paraId="5B8C2D4F">
            <w:pPr>
              <w:pStyle w:val="78"/>
              <w:rPr>
                <w:rFonts w:cs="Times New Roman"/>
              </w:rPr>
            </w:pPr>
            <w:r>
              <w:rPr>
                <w:rFonts w:cs="Times New Roman"/>
              </w:rPr>
              <w:t>0~0.2m</w:t>
            </w:r>
          </w:p>
        </w:tc>
        <w:tc>
          <w:tcPr>
            <w:tcW w:w="318" w:type="pct"/>
            <w:vAlign w:val="center"/>
          </w:tcPr>
          <w:p w14:paraId="2BB31108">
            <w:pPr>
              <w:pStyle w:val="78"/>
              <w:rPr>
                <w:rFonts w:cs="Times New Roman"/>
              </w:rPr>
            </w:pPr>
            <w:r>
              <w:rPr>
                <w:rFonts w:cs="Times New Roman"/>
              </w:rPr>
              <w:t>ND</w:t>
            </w:r>
          </w:p>
        </w:tc>
        <w:tc>
          <w:tcPr>
            <w:tcW w:w="318" w:type="pct"/>
            <w:vAlign w:val="center"/>
          </w:tcPr>
          <w:p w14:paraId="0FA137E0">
            <w:pPr>
              <w:pStyle w:val="78"/>
              <w:rPr>
                <w:rFonts w:cs="Times New Roman"/>
              </w:rPr>
            </w:pPr>
            <w:r>
              <w:rPr>
                <w:rFonts w:cs="Times New Roman"/>
              </w:rPr>
              <w:t>ND</w:t>
            </w:r>
          </w:p>
        </w:tc>
        <w:tc>
          <w:tcPr>
            <w:tcW w:w="318" w:type="pct"/>
            <w:vAlign w:val="center"/>
          </w:tcPr>
          <w:p w14:paraId="36E9494B">
            <w:pPr>
              <w:pStyle w:val="78"/>
              <w:rPr>
                <w:rFonts w:cs="Times New Roman"/>
              </w:rPr>
            </w:pPr>
            <w:r>
              <w:rPr>
                <w:rFonts w:cs="Times New Roman"/>
              </w:rPr>
              <w:t>ND</w:t>
            </w:r>
          </w:p>
        </w:tc>
        <w:tc>
          <w:tcPr>
            <w:tcW w:w="318" w:type="pct"/>
            <w:vAlign w:val="center"/>
          </w:tcPr>
          <w:p w14:paraId="2EAD8F93">
            <w:pPr>
              <w:pStyle w:val="78"/>
              <w:rPr>
                <w:rFonts w:cs="Times New Roman"/>
              </w:rPr>
            </w:pPr>
            <w:r>
              <w:rPr>
                <w:rFonts w:cs="Times New Roman"/>
              </w:rPr>
              <w:t>ND</w:t>
            </w:r>
          </w:p>
        </w:tc>
        <w:tc>
          <w:tcPr>
            <w:tcW w:w="318" w:type="pct"/>
            <w:vAlign w:val="center"/>
          </w:tcPr>
          <w:p w14:paraId="5369BF43">
            <w:pPr>
              <w:pStyle w:val="78"/>
              <w:rPr>
                <w:rFonts w:cs="Times New Roman"/>
              </w:rPr>
            </w:pPr>
            <w:r>
              <w:rPr>
                <w:rFonts w:cs="Times New Roman"/>
              </w:rPr>
              <w:t>ND</w:t>
            </w:r>
          </w:p>
        </w:tc>
        <w:tc>
          <w:tcPr>
            <w:tcW w:w="318" w:type="pct"/>
            <w:vAlign w:val="center"/>
          </w:tcPr>
          <w:p w14:paraId="1ADB4469">
            <w:pPr>
              <w:pStyle w:val="78"/>
              <w:rPr>
                <w:rFonts w:cs="Times New Roman"/>
              </w:rPr>
            </w:pPr>
            <w:r>
              <w:rPr>
                <w:rFonts w:cs="Times New Roman"/>
              </w:rPr>
              <w:t>ND</w:t>
            </w:r>
          </w:p>
        </w:tc>
        <w:tc>
          <w:tcPr>
            <w:tcW w:w="318" w:type="pct"/>
            <w:vAlign w:val="center"/>
          </w:tcPr>
          <w:p w14:paraId="68DC262A">
            <w:pPr>
              <w:pStyle w:val="78"/>
              <w:rPr>
                <w:rFonts w:cs="Times New Roman"/>
              </w:rPr>
            </w:pPr>
            <w:r>
              <w:rPr>
                <w:rFonts w:cs="Times New Roman"/>
              </w:rPr>
              <w:t>ND</w:t>
            </w:r>
          </w:p>
        </w:tc>
        <w:tc>
          <w:tcPr>
            <w:tcW w:w="318" w:type="pct"/>
            <w:vAlign w:val="center"/>
          </w:tcPr>
          <w:p w14:paraId="60B11809">
            <w:pPr>
              <w:pStyle w:val="78"/>
              <w:rPr>
                <w:rFonts w:cs="Times New Roman"/>
              </w:rPr>
            </w:pPr>
            <w:r>
              <w:rPr>
                <w:rFonts w:cs="Times New Roman"/>
              </w:rPr>
              <w:t>ND</w:t>
            </w:r>
          </w:p>
        </w:tc>
        <w:tc>
          <w:tcPr>
            <w:tcW w:w="318" w:type="pct"/>
            <w:vAlign w:val="center"/>
          </w:tcPr>
          <w:p w14:paraId="04F3F800">
            <w:pPr>
              <w:pStyle w:val="78"/>
              <w:rPr>
                <w:rFonts w:cs="Times New Roman"/>
              </w:rPr>
            </w:pPr>
            <w:r>
              <w:rPr>
                <w:rFonts w:cs="Times New Roman"/>
              </w:rPr>
              <w:t>ND</w:t>
            </w:r>
          </w:p>
        </w:tc>
        <w:tc>
          <w:tcPr>
            <w:tcW w:w="318" w:type="pct"/>
            <w:vAlign w:val="center"/>
          </w:tcPr>
          <w:p w14:paraId="1E7DCC9A">
            <w:pPr>
              <w:pStyle w:val="78"/>
              <w:rPr>
                <w:rFonts w:cs="Times New Roman"/>
              </w:rPr>
            </w:pPr>
            <w:r>
              <w:rPr>
                <w:rFonts w:cs="Times New Roman"/>
              </w:rPr>
              <w:t>ND</w:t>
            </w:r>
          </w:p>
        </w:tc>
        <w:tc>
          <w:tcPr>
            <w:tcW w:w="318" w:type="pct"/>
            <w:vAlign w:val="center"/>
          </w:tcPr>
          <w:p w14:paraId="5B1EF70D">
            <w:pPr>
              <w:pStyle w:val="78"/>
              <w:rPr>
                <w:rFonts w:cs="Times New Roman"/>
              </w:rPr>
            </w:pPr>
            <w:r>
              <w:rPr>
                <w:rFonts w:cs="Times New Roman"/>
              </w:rPr>
              <w:t>ND</w:t>
            </w:r>
          </w:p>
        </w:tc>
        <w:tc>
          <w:tcPr>
            <w:tcW w:w="326" w:type="pct"/>
            <w:vAlign w:val="center"/>
          </w:tcPr>
          <w:p w14:paraId="4DF89606">
            <w:pPr>
              <w:pStyle w:val="78"/>
              <w:rPr>
                <w:rFonts w:cs="Times New Roman"/>
              </w:rPr>
            </w:pPr>
            <w:r>
              <w:rPr>
                <w:rFonts w:cs="Times New Roman"/>
              </w:rPr>
              <w:t>8</w:t>
            </w:r>
          </w:p>
        </w:tc>
      </w:tr>
    </w:tbl>
    <w:p w14:paraId="219221D6">
      <w:pPr>
        <w:pStyle w:val="14"/>
        <w:spacing w:before="240"/>
        <w:rPr>
          <w:rFonts w:cs="Times New Roman"/>
          <w:color w:val="auto"/>
        </w:rPr>
      </w:pPr>
      <w:bookmarkStart w:id="60" w:name="_Ref145670918"/>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22</w:t>
      </w:r>
      <w:r>
        <w:rPr>
          <w:rFonts w:cs="Times New Roman"/>
          <w:color w:val="auto"/>
        </w:rPr>
        <w:fldChar w:fldCharType="end"/>
      </w:r>
      <w:bookmarkEnd w:id="60"/>
      <w:r>
        <w:rPr>
          <w:rFonts w:cs="Times New Roman"/>
          <w:color w:val="auto"/>
        </w:rPr>
        <w:t xml:space="preserve">  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23</w:t>
      </w:r>
      <w:r>
        <w:rPr>
          <w:rFonts w:cs="Times New Roman"/>
          <w:color w:val="auto"/>
        </w:rPr>
        <w:fldChar w:fldCharType="end"/>
      </w:r>
      <w:r>
        <w:rPr>
          <w:rFonts w:cs="Times New Roman"/>
          <w:color w:val="auto"/>
        </w:rPr>
        <w:t xml:space="preserve">  土壤环境质量监测结果</w:t>
      </w:r>
      <w:r>
        <w:rPr>
          <w:rFonts w:hint="eastAsia" w:ascii="宋体" w:hAnsi="宋体"/>
          <w:color w:val="auto"/>
        </w:rPr>
        <w:t>⑥</w:t>
      </w:r>
    </w:p>
    <w:tbl>
      <w:tblPr>
        <w:tblStyle w:val="41"/>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582"/>
        <w:gridCol w:w="1806"/>
        <w:gridCol w:w="1681"/>
        <w:gridCol w:w="1681"/>
        <w:gridCol w:w="1681"/>
        <w:gridCol w:w="1681"/>
        <w:gridCol w:w="2128"/>
      </w:tblGrid>
      <w:tr w14:paraId="2FB2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668" w:type="pct"/>
            <w:vMerge w:val="restart"/>
            <w:vAlign w:val="center"/>
          </w:tcPr>
          <w:p w14:paraId="7E28D88B">
            <w:pPr>
              <w:pStyle w:val="78"/>
              <w:rPr>
                <w:rFonts w:cs="Times New Roman"/>
                <w:b/>
              </w:rPr>
            </w:pPr>
            <w:r>
              <w:rPr>
                <w:rFonts w:cs="Times New Roman"/>
                <w:b/>
              </w:rPr>
              <w:t>采样日期</w:t>
            </w:r>
          </w:p>
        </w:tc>
        <w:tc>
          <w:tcPr>
            <w:tcW w:w="1199" w:type="pct"/>
            <w:gridSpan w:val="2"/>
            <w:vMerge w:val="restart"/>
            <w:vAlign w:val="center"/>
          </w:tcPr>
          <w:p w14:paraId="0008497B">
            <w:pPr>
              <w:pStyle w:val="78"/>
              <w:rPr>
                <w:rFonts w:cs="Times New Roman"/>
                <w:b/>
              </w:rPr>
            </w:pPr>
            <w:r>
              <w:rPr>
                <w:rFonts w:cs="Times New Roman"/>
                <w:b/>
              </w:rPr>
              <w:t>采样点位</w:t>
            </w:r>
          </w:p>
        </w:tc>
        <w:tc>
          <w:tcPr>
            <w:tcW w:w="3133" w:type="pct"/>
            <w:gridSpan w:val="5"/>
            <w:vAlign w:val="center"/>
          </w:tcPr>
          <w:p w14:paraId="58F7A642">
            <w:pPr>
              <w:pStyle w:val="78"/>
              <w:rPr>
                <w:rFonts w:cs="Times New Roman"/>
                <w:b/>
              </w:rPr>
            </w:pPr>
            <w:r>
              <w:rPr>
                <w:rFonts w:cs="Times New Roman"/>
                <w:b/>
              </w:rPr>
              <w:t>检测结果（μg/kg）</w:t>
            </w:r>
          </w:p>
        </w:tc>
      </w:tr>
      <w:tr w14:paraId="07A5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668" w:type="pct"/>
            <w:vMerge w:val="continue"/>
            <w:vAlign w:val="center"/>
          </w:tcPr>
          <w:p w14:paraId="5FFA2803">
            <w:pPr>
              <w:pStyle w:val="78"/>
              <w:rPr>
                <w:rFonts w:cs="Times New Roman"/>
                <w:b/>
              </w:rPr>
            </w:pPr>
          </w:p>
        </w:tc>
        <w:tc>
          <w:tcPr>
            <w:tcW w:w="1199" w:type="pct"/>
            <w:gridSpan w:val="2"/>
            <w:vMerge w:val="continue"/>
            <w:vAlign w:val="center"/>
          </w:tcPr>
          <w:p w14:paraId="1ADDED6F">
            <w:pPr>
              <w:pStyle w:val="78"/>
              <w:rPr>
                <w:rFonts w:cs="Times New Roman"/>
                <w:b/>
              </w:rPr>
            </w:pPr>
          </w:p>
        </w:tc>
        <w:tc>
          <w:tcPr>
            <w:tcW w:w="595" w:type="pct"/>
            <w:vAlign w:val="center"/>
          </w:tcPr>
          <w:p w14:paraId="4EEA75D8">
            <w:pPr>
              <w:pStyle w:val="78"/>
              <w:rPr>
                <w:rFonts w:cs="Times New Roman"/>
                <w:b/>
              </w:rPr>
            </w:pPr>
            <w:r>
              <w:rPr>
                <w:rFonts w:cs="Times New Roman"/>
                <w:b/>
              </w:rPr>
              <w:t>苯乙烯</w:t>
            </w:r>
          </w:p>
        </w:tc>
        <w:tc>
          <w:tcPr>
            <w:tcW w:w="595" w:type="pct"/>
            <w:vAlign w:val="center"/>
          </w:tcPr>
          <w:p w14:paraId="13B7B3FE">
            <w:pPr>
              <w:pStyle w:val="78"/>
              <w:rPr>
                <w:rFonts w:cs="Times New Roman"/>
                <w:b/>
              </w:rPr>
            </w:pPr>
            <w:r>
              <w:rPr>
                <w:rFonts w:cs="Times New Roman"/>
                <w:b/>
              </w:rPr>
              <w:t>甲苯</w:t>
            </w:r>
          </w:p>
        </w:tc>
        <w:tc>
          <w:tcPr>
            <w:tcW w:w="595" w:type="pct"/>
            <w:vAlign w:val="center"/>
          </w:tcPr>
          <w:p w14:paraId="0980C68F">
            <w:pPr>
              <w:pStyle w:val="78"/>
              <w:rPr>
                <w:rFonts w:cs="Times New Roman"/>
                <w:b/>
              </w:rPr>
            </w:pPr>
            <w:r>
              <w:rPr>
                <w:rFonts w:cs="Times New Roman"/>
                <w:b/>
              </w:rPr>
              <w:t>间、对-二甲苯</w:t>
            </w:r>
          </w:p>
        </w:tc>
        <w:tc>
          <w:tcPr>
            <w:tcW w:w="595" w:type="pct"/>
            <w:vAlign w:val="center"/>
          </w:tcPr>
          <w:p w14:paraId="2C4E00AA">
            <w:pPr>
              <w:pStyle w:val="78"/>
              <w:rPr>
                <w:rFonts w:cs="Times New Roman"/>
                <w:b/>
              </w:rPr>
            </w:pPr>
            <w:r>
              <w:rPr>
                <w:rFonts w:cs="Times New Roman"/>
                <w:b/>
              </w:rPr>
              <w:t>邻-二甲苯</w:t>
            </w:r>
          </w:p>
        </w:tc>
        <w:tc>
          <w:tcPr>
            <w:tcW w:w="753" w:type="pct"/>
            <w:vAlign w:val="center"/>
          </w:tcPr>
          <w:p w14:paraId="477C53BF">
            <w:pPr>
              <w:pStyle w:val="78"/>
              <w:rPr>
                <w:rFonts w:cs="Times New Roman"/>
                <w:b/>
              </w:rPr>
            </w:pPr>
            <w:r>
              <w:rPr>
                <w:rFonts w:cs="Times New Roman"/>
                <w:b/>
              </w:rPr>
              <w:t>石油烃（C</w:t>
            </w:r>
            <w:r>
              <w:rPr>
                <w:rFonts w:cs="Times New Roman"/>
                <w:b/>
                <w:vertAlign w:val="subscript"/>
              </w:rPr>
              <w:t>10</w:t>
            </w:r>
            <w:r>
              <w:rPr>
                <w:rFonts w:cs="Times New Roman"/>
                <w:b/>
              </w:rPr>
              <w:t>-C</w:t>
            </w:r>
            <w:r>
              <w:rPr>
                <w:rFonts w:cs="Times New Roman"/>
                <w:b/>
                <w:vertAlign w:val="subscript"/>
              </w:rPr>
              <w:t>40</w:t>
            </w:r>
            <w:r>
              <w:rPr>
                <w:rFonts w:cs="Times New Roman"/>
                <w:b/>
              </w:rPr>
              <w:t>）（mg/kg）</w:t>
            </w:r>
          </w:p>
        </w:tc>
      </w:tr>
      <w:tr w14:paraId="40CA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restart"/>
            <w:vAlign w:val="center"/>
          </w:tcPr>
          <w:p w14:paraId="78DDF8C8">
            <w:pPr>
              <w:pStyle w:val="78"/>
              <w:rPr>
                <w:rFonts w:cs="Times New Roman"/>
              </w:rPr>
            </w:pPr>
            <w:r>
              <w:rPr>
                <w:rFonts w:cs="Times New Roman"/>
              </w:rPr>
              <w:t>2023.08.18</w:t>
            </w:r>
          </w:p>
        </w:tc>
        <w:tc>
          <w:tcPr>
            <w:tcW w:w="560" w:type="pct"/>
            <w:vMerge w:val="restart"/>
            <w:vAlign w:val="center"/>
          </w:tcPr>
          <w:p w14:paraId="769E05FE">
            <w:pPr>
              <w:pStyle w:val="78"/>
              <w:rPr>
                <w:rFonts w:cs="Times New Roman"/>
              </w:rPr>
            </w:pPr>
            <w:r>
              <w:rPr>
                <w:rFonts w:cs="Times New Roman"/>
              </w:rPr>
              <w:t>SH-2</w:t>
            </w:r>
          </w:p>
        </w:tc>
        <w:tc>
          <w:tcPr>
            <w:tcW w:w="639" w:type="pct"/>
            <w:vAlign w:val="center"/>
          </w:tcPr>
          <w:p w14:paraId="2758CC7F">
            <w:pPr>
              <w:pStyle w:val="78"/>
              <w:rPr>
                <w:rFonts w:cs="Times New Roman"/>
              </w:rPr>
            </w:pPr>
            <w:r>
              <w:rPr>
                <w:rFonts w:cs="Times New Roman"/>
              </w:rPr>
              <w:t>0~0.5m</w:t>
            </w:r>
          </w:p>
        </w:tc>
        <w:tc>
          <w:tcPr>
            <w:tcW w:w="595" w:type="pct"/>
            <w:vAlign w:val="center"/>
          </w:tcPr>
          <w:p w14:paraId="14A9FB48">
            <w:pPr>
              <w:pStyle w:val="78"/>
              <w:rPr>
                <w:rFonts w:cs="Times New Roman"/>
              </w:rPr>
            </w:pPr>
            <w:r>
              <w:rPr>
                <w:rFonts w:cs="Times New Roman"/>
              </w:rPr>
              <w:t>ND</w:t>
            </w:r>
          </w:p>
        </w:tc>
        <w:tc>
          <w:tcPr>
            <w:tcW w:w="595" w:type="pct"/>
            <w:vAlign w:val="center"/>
          </w:tcPr>
          <w:p w14:paraId="5819B626">
            <w:pPr>
              <w:pStyle w:val="78"/>
              <w:rPr>
                <w:rFonts w:cs="Times New Roman"/>
              </w:rPr>
            </w:pPr>
            <w:r>
              <w:rPr>
                <w:rFonts w:cs="Times New Roman"/>
              </w:rPr>
              <w:t>ND</w:t>
            </w:r>
          </w:p>
        </w:tc>
        <w:tc>
          <w:tcPr>
            <w:tcW w:w="595" w:type="pct"/>
            <w:vAlign w:val="center"/>
          </w:tcPr>
          <w:p w14:paraId="6D6DA419">
            <w:pPr>
              <w:pStyle w:val="78"/>
              <w:rPr>
                <w:rFonts w:cs="Times New Roman"/>
              </w:rPr>
            </w:pPr>
            <w:r>
              <w:rPr>
                <w:rFonts w:cs="Times New Roman"/>
              </w:rPr>
              <w:t>ND</w:t>
            </w:r>
          </w:p>
        </w:tc>
        <w:tc>
          <w:tcPr>
            <w:tcW w:w="595" w:type="pct"/>
            <w:vAlign w:val="center"/>
          </w:tcPr>
          <w:p w14:paraId="223D3A2F">
            <w:pPr>
              <w:pStyle w:val="78"/>
              <w:rPr>
                <w:rFonts w:cs="Times New Roman"/>
              </w:rPr>
            </w:pPr>
            <w:r>
              <w:rPr>
                <w:rFonts w:cs="Times New Roman"/>
              </w:rPr>
              <w:t>ND</w:t>
            </w:r>
          </w:p>
        </w:tc>
        <w:tc>
          <w:tcPr>
            <w:tcW w:w="753" w:type="pct"/>
            <w:vAlign w:val="center"/>
          </w:tcPr>
          <w:p w14:paraId="21EDF485">
            <w:pPr>
              <w:pStyle w:val="78"/>
              <w:rPr>
                <w:rFonts w:cs="Times New Roman"/>
              </w:rPr>
            </w:pPr>
            <w:r>
              <w:rPr>
                <w:rFonts w:cs="Times New Roman"/>
              </w:rPr>
              <w:t>8</w:t>
            </w:r>
          </w:p>
        </w:tc>
      </w:tr>
      <w:tr w14:paraId="43C9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2ABEF01A">
            <w:pPr>
              <w:pStyle w:val="78"/>
              <w:rPr>
                <w:rFonts w:cs="Times New Roman"/>
              </w:rPr>
            </w:pPr>
          </w:p>
        </w:tc>
        <w:tc>
          <w:tcPr>
            <w:tcW w:w="560" w:type="pct"/>
            <w:vMerge w:val="continue"/>
            <w:vAlign w:val="center"/>
          </w:tcPr>
          <w:p w14:paraId="7A0DD7AE">
            <w:pPr>
              <w:pStyle w:val="78"/>
              <w:rPr>
                <w:rFonts w:cs="Times New Roman"/>
              </w:rPr>
            </w:pPr>
          </w:p>
        </w:tc>
        <w:tc>
          <w:tcPr>
            <w:tcW w:w="639" w:type="pct"/>
            <w:vAlign w:val="center"/>
          </w:tcPr>
          <w:p w14:paraId="00181DEF">
            <w:pPr>
              <w:pStyle w:val="78"/>
              <w:rPr>
                <w:rFonts w:cs="Times New Roman"/>
              </w:rPr>
            </w:pPr>
            <w:r>
              <w:rPr>
                <w:rFonts w:cs="Times New Roman"/>
              </w:rPr>
              <w:t>1.0~1.5m</w:t>
            </w:r>
          </w:p>
        </w:tc>
        <w:tc>
          <w:tcPr>
            <w:tcW w:w="595" w:type="pct"/>
            <w:vAlign w:val="center"/>
          </w:tcPr>
          <w:p w14:paraId="384106B5">
            <w:pPr>
              <w:pStyle w:val="78"/>
              <w:rPr>
                <w:rFonts w:cs="Times New Roman"/>
              </w:rPr>
            </w:pPr>
            <w:r>
              <w:rPr>
                <w:rFonts w:cs="Times New Roman"/>
              </w:rPr>
              <w:t>ND</w:t>
            </w:r>
          </w:p>
        </w:tc>
        <w:tc>
          <w:tcPr>
            <w:tcW w:w="595" w:type="pct"/>
            <w:vAlign w:val="center"/>
          </w:tcPr>
          <w:p w14:paraId="31AB2007">
            <w:pPr>
              <w:pStyle w:val="78"/>
              <w:rPr>
                <w:rFonts w:cs="Times New Roman"/>
              </w:rPr>
            </w:pPr>
            <w:r>
              <w:rPr>
                <w:rFonts w:cs="Times New Roman"/>
              </w:rPr>
              <w:t>ND</w:t>
            </w:r>
          </w:p>
        </w:tc>
        <w:tc>
          <w:tcPr>
            <w:tcW w:w="595" w:type="pct"/>
            <w:vAlign w:val="center"/>
          </w:tcPr>
          <w:p w14:paraId="0CF87E98">
            <w:pPr>
              <w:pStyle w:val="78"/>
              <w:rPr>
                <w:rFonts w:cs="Times New Roman"/>
              </w:rPr>
            </w:pPr>
            <w:r>
              <w:rPr>
                <w:rFonts w:cs="Times New Roman"/>
              </w:rPr>
              <w:t>ND</w:t>
            </w:r>
          </w:p>
        </w:tc>
        <w:tc>
          <w:tcPr>
            <w:tcW w:w="595" w:type="pct"/>
            <w:vAlign w:val="center"/>
          </w:tcPr>
          <w:p w14:paraId="341D3CB9">
            <w:pPr>
              <w:pStyle w:val="78"/>
              <w:rPr>
                <w:rFonts w:cs="Times New Roman"/>
              </w:rPr>
            </w:pPr>
            <w:r>
              <w:rPr>
                <w:rFonts w:cs="Times New Roman"/>
              </w:rPr>
              <w:t>ND</w:t>
            </w:r>
          </w:p>
        </w:tc>
        <w:tc>
          <w:tcPr>
            <w:tcW w:w="753" w:type="pct"/>
            <w:vAlign w:val="center"/>
          </w:tcPr>
          <w:p w14:paraId="60AF6530">
            <w:pPr>
              <w:pStyle w:val="78"/>
              <w:rPr>
                <w:rFonts w:cs="Times New Roman"/>
              </w:rPr>
            </w:pPr>
            <w:r>
              <w:rPr>
                <w:rFonts w:cs="Times New Roman"/>
              </w:rPr>
              <w:t>ND</w:t>
            </w:r>
          </w:p>
        </w:tc>
      </w:tr>
      <w:tr w14:paraId="63B7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3133F455">
            <w:pPr>
              <w:pStyle w:val="78"/>
              <w:rPr>
                <w:rFonts w:cs="Times New Roman"/>
              </w:rPr>
            </w:pPr>
          </w:p>
        </w:tc>
        <w:tc>
          <w:tcPr>
            <w:tcW w:w="560" w:type="pct"/>
            <w:vMerge w:val="continue"/>
            <w:vAlign w:val="center"/>
          </w:tcPr>
          <w:p w14:paraId="31312776">
            <w:pPr>
              <w:pStyle w:val="78"/>
              <w:rPr>
                <w:rFonts w:cs="Times New Roman"/>
              </w:rPr>
            </w:pPr>
          </w:p>
        </w:tc>
        <w:tc>
          <w:tcPr>
            <w:tcW w:w="639" w:type="pct"/>
            <w:vAlign w:val="center"/>
          </w:tcPr>
          <w:p w14:paraId="45C3B7C1">
            <w:pPr>
              <w:pStyle w:val="78"/>
              <w:rPr>
                <w:rFonts w:cs="Times New Roman"/>
              </w:rPr>
            </w:pPr>
            <w:r>
              <w:rPr>
                <w:rFonts w:cs="Times New Roman"/>
              </w:rPr>
              <w:t>2.0~2.5m</w:t>
            </w:r>
          </w:p>
        </w:tc>
        <w:tc>
          <w:tcPr>
            <w:tcW w:w="595" w:type="pct"/>
            <w:vAlign w:val="center"/>
          </w:tcPr>
          <w:p w14:paraId="006D3172">
            <w:pPr>
              <w:pStyle w:val="78"/>
              <w:rPr>
                <w:rFonts w:cs="Times New Roman"/>
              </w:rPr>
            </w:pPr>
            <w:r>
              <w:rPr>
                <w:rFonts w:cs="Times New Roman"/>
              </w:rPr>
              <w:t>ND</w:t>
            </w:r>
          </w:p>
        </w:tc>
        <w:tc>
          <w:tcPr>
            <w:tcW w:w="595" w:type="pct"/>
            <w:vAlign w:val="center"/>
          </w:tcPr>
          <w:p w14:paraId="780E9D14">
            <w:pPr>
              <w:pStyle w:val="78"/>
              <w:rPr>
                <w:rFonts w:cs="Times New Roman"/>
              </w:rPr>
            </w:pPr>
            <w:r>
              <w:rPr>
                <w:rFonts w:cs="Times New Roman"/>
              </w:rPr>
              <w:t>ND</w:t>
            </w:r>
          </w:p>
        </w:tc>
        <w:tc>
          <w:tcPr>
            <w:tcW w:w="595" w:type="pct"/>
            <w:vAlign w:val="center"/>
          </w:tcPr>
          <w:p w14:paraId="63AD1116">
            <w:pPr>
              <w:pStyle w:val="78"/>
              <w:rPr>
                <w:rFonts w:cs="Times New Roman"/>
              </w:rPr>
            </w:pPr>
            <w:r>
              <w:rPr>
                <w:rFonts w:cs="Times New Roman"/>
              </w:rPr>
              <w:t>ND</w:t>
            </w:r>
          </w:p>
        </w:tc>
        <w:tc>
          <w:tcPr>
            <w:tcW w:w="595" w:type="pct"/>
            <w:vAlign w:val="center"/>
          </w:tcPr>
          <w:p w14:paraId="017551F0">
            <w:pPr>
              <w:pStyle w:val="78"/>
              <w:rPr>
                <w:rFonts w:cs="Times New Roman"/>
              </w:rPr>
            </w:pPr>
            <w:r>
              <w:rPr>
                <w:rFonts w:cs="Times New Roman"/>
              </w:rPr>
              <w:t>ND</w:t>
            </w:r>
          </w:p>
        </w:tc>
        <w:tc>
          <w:tcPr>
            <w:tcW w:w="753" w:type="pct"/>
            <w:vAlign w:val="center"/>
          </w:tcPr>
          <w:p w14:paraId="0CD5089B">
            <w:pPr>
              <w:pStyle w:val="78"/>
              <w:rPr>
                <w:rFonts w:cs="Times New Roman"/>
              </w:rPr>
            </w:pPr>
            <w:r>
              <w:rPr>
                <w:rFonts w:cs="Times New Roman"/>
              </w:rPr>
              <w:t>ND</w:t>
            </w:r>
          </w:p>
        </w:tc>
      </w:tr>
      <w:tr w14:paraId="3652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20298AD5">
            <w:pPr>
              <w:pStyle w:val="78"/>
              <w:rPr>
                <w:rFonts w:cs="Times New Roman"/>
              </w:rPr>
            </w:pPr>
          </w:p>
        </w:tc>
        <w:tc>
          <w:tcPr>
            <w:tcW w:w="560" w:type="pct"/>
            <w:vMerge w:val="continue"/>
            <w:vAlign w:val="center"/>
          </w:tcPr>
          <w:p w14:paraId="74BFC546">
            <w:pPr>
              <w:pStyle w:val="78"/>
              <w:rPr>
                <w:rFonts w:cs="Times New Roman"/>
              </w:rPr>
            </w:pPr>
          </w:p>
        </w:tc>
        <w:tc>
          <w:tcPr>
            <w:tcW w:w="639" w:type="pct"/>
            <w:vAlign w:val="center"/>
          </w:tcPr>
          <w:p w14:paraId="7BFFFB99">
            <w:pPr>
              <w:pStyle w:val="78"/>
              <w:rPr>
                <w:rFonts w:cs="Times New Roman"/>
              </w:rPr>
            </w:pPr>
            <w:r>
              <w:rPr>
                <w:rFonts w:cs="Times New Roman"/>
              </w:rPr>
              <w:t>4.0~4.5m</w:t>
            </w:r>
          </w:p>
        </w:tc>
        <w:tc>
          <w:tcPr>
            <w:tcW w:w="595" w:type="pct"/>
            <w:vAlign w:val="center"/>
          </w:tcPr>
          <w:p w14:paraId="26640F73">
            <w:pPr>
              <w:pStyle w:val="78"/>
              <w:rPr>
                <w:rFonts w:cs="Times New Roman"/>
              </w:rPr>
            </w:pPr>
            <w:r>
              <w:rPr>
                <w:rFonts w:cs="Times New Roman"/>
              </w:rPr>
              <w:t>ND</w:t>
            </w:r>
          </w:p>
        </w:tc>
        <w:tc>
          <w:tcPr>
            <w:tcW w:w="595" w:type="pct"/>
            <w:vAlign w:val="center"/>
          </w:tcPr>
          <w:p w14:paraId="67B173C9">
            <w:pPr>
              <w:pStyle w:val="78"/>
              <w:rPr>
                <w:rFonts w:cs="Times New Roman"/>
              </w:rPr>
            </w:pPr>
            <w:r>
              <w:rPr>
                <w:rFonts w:cs="Times New Roman"/>
              </w:rPr>
              <w:t>ND</w:t>
            </w:r>
          </w:p>
        </w:tc>
        <w:tc>
          <w:tcPr>
            <w:tcW w:w="595" w:type="pct"/>
            <w:vAlign w:val="center"/>
          </w:tcPr>
          <w:p w14:paraId="1DB3CB06">
            <w:pPr>
              <w:pStyle w:val="78"/>
              <w:rPr>
                <w:rFonts w:cs="Times New Roman"/>
              </w:rPr>
            </w:pPr>
            <w:r>
              <w:rPr>
                <w:rFonts w:cs="Times New Roman"/>
              </w:rPr>
              <w:t>ND</w:t>
            </w:r>
          </w:p>
        </w:tc>
        <w:tc>
          <w:tcPr>
            <w:tcW w:w="595" w:type="pct"/>
            <w:vAlign w:val="center"/>
          </w:tcPr>
          <w:p w14:paraId="15807954">
            <w:pPr>
              <w:pStyle w:val="78"/>
              <w:rPr>
                <w:rFonts w:cs="Times New Roman"/>
              </w:rPr>
            </w:pPr>
            <w:r>
              <w:rPr>
                <w:rFonts w:cs="Times New Roman"/>
              </w:rPr>
              <w:t>ND</w:t>
            </w:r>
          </w:p>
        </w:tc>
        <w:tc>
          <w:tcPr>
            <w:tcW w:w="753" w:type="pct"/>
            <w:vAlign w:val="center"/>
          </w:tcPr>
          <w:p w14:paraId="7CBB3E50">
            <w:pPr>
              <w:pStyle w:val="78"/>
              <w:rPr>
                <w:rFonts w:cs="Times New Roman"/>
              </w:rPr>
            </w:pPr>
            <w:r>
              <w:rPr>
                <w:rFonts w:cs="Times New Roman"/>
              </w:rPr>
              <w:t>8</w:t>
            </w:r>
          </w:p>
        </w:tc>
      </w:tr>
      <w:tr w14:paraId="7299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1762CF5E">
            <w:pPr>
              <w:pStyle w:val="78"/>
              <w:rPr>
                <w:rFonts w:cs="Times New Roman"/>
              </w:rPr>
            </w:pPr>
          </w:p>
        </w:tc>
        <w:tc>
          <w:tcPr>
            <w:tcW w:w="560" w:type="pct"/>
            <w:vMerge w:val="restart"/>
            <w:vAlign w:val="center"/>
          </w:tcPr>
          <w:p w14:paraId="44B9F49B">
            <w:pPr>
              <w:pStyle w:val="78"/>
              <w:rPr>
                <w:rFonts w:cs="Times New Roman"/>
              </w:rPr>
            </w:pPr>
            <w:r>
              <w:rPr>
                <w:rFonts w:cs="Times New Roman"/>
              </w:rPr>
              <w:t>SH-3</w:t>
            </w:r>
          </w:p>
        </w:tc>
        <w:tc>
          <w:tcPr>
            <w:tcW w:w="639" w:type="pct"/>
            <w:vAlign w:val="center"/>
          </w:tcPr>
          <w:p w14:paraId="2CE9C5A3">
            <w:pPr>
              <w:pStyle w:val="78"/>
              <w:rPr>
                <w:rFonts w:cs="Times New Roman"/>
              </w:rPr>
            </w:pPr>
            <w:r>
              <w:rPr>
                <w:rFonts w:cs="Times New Roman"/>
              </w:rPr>
              <w:t>0~0.5m</w:t>
            </w:r>
          </w:p>
        </w:tc>
        <w:tc>
          <w:tcPr>
            <w:tcW w:w="595" w:type="pct"/>
            <w:vAlign w:val="center"/>
          </w:tcPr>
          <w:p w14:paraId="1F4FC433">
            <w:pPr>
              <w:pStyle w:val="78"/>
              <w:rPr>
                <w:rFonts w:cs="Times New Roman"/>
              </w:rPr>
            </w:pPr>
            <w:r>
              <w:rPr>
                <w:rFonts w:cs="Times New Roman"/>
              </w:rPr>
              <w:t>ND</w:t>
            </w:r>
          </w:p>
        </w:tc>
        <w:tc>
          <w:tcPr>
            <w:tcW w:w="595" w:type="pct"/>
            <w:vAlign w:val="center"/>
          </w:tcPr>
          <w:p w14:paraId="5226A507">
            <w:pPr>
              <w:pStyle w:val="78"/>
              <w:rPr>
                <w:rFonts w:cs="Times New Roman"/>
              </w:rPr>
            </w:pPr>
            <w:r>
              <w:rPr>
                <w:rFonts w:cs="Times New Roman"/>
              </w:rPr>
              <w:t>ND</w:t>
            </w:r>
          </w:p>
        </w:tc>
        <w:tc>
          <w:tcPr>
            <w:tcW w:w="595" w:type="pct"/>
            <w:vAlign w:val="center"/>
          </w:tcPr>
          <w:p w14:paraId="2F95E8D7">
            <w:pPr>
              <w:pStyle w:val="78"/>
              <w:rPr>
                <w:rFonts w:cs="Times New Roman"/>
              </w:rPr>
            </w:pPr>
            <w:r>
              <w:rPr>
                <w:rFonts w:cs="Times New Roman"/>
              </w:rPr>
              <w:t>ND</w:t>
            </w:r>
          </w:p>
        </w:tc>
        <w:tc>
          <w:tcPr>
            <w:tcW w:w="595" w:type="pct"/>
            <w:vAlign w:val="center"/>
          </w:tcPr>
          <w:p w14:paraId="25125E24">
            <w:pPr>
              <w:pStyle w:val="78"/>
              <w:rPr>
                <w:rFonts w:cs="Times New Roman"/>
              </w:rPr>
            </w:pPr>
            <w:r>
              <w:rPr>
                <w:rFonts w:cs="Times New Roman"/>
              </w:rPr>
              <w:t>ND</w:t>
            </w:r>
          </w:p>
        </w:tc>
        <w:tc>
          <w:tcPr>
            <w:tcW w:w="753" w:type="pct"/>
            <w:vAlign w:val="center"/>
          </w:tcPr>
          <w:p w14:paraId="4CB26358">
            <w:pPr>
              <w:pStyle w:val="78"/>
              <w:rPr>
                <w:rFonts w:cs="Times New Roman"/>
              </w:rPr>
            </w:pPr>
            <w:r>
              <w:rPr>
                <w:rFonts w:cs="Times New Roman"/>
              </w:rPr>
              <w:t>15</w:t>
            </w:r>
          </w:p>
        </w:tc>
      </w:tr>
      <w:tr w14:paraId="58EB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18F598AF">
            <w:pPr>
              <w:pStyle w:val="78"/>
              <w:rPr>
                <w:rFonts w:cs="Times New Roman"/>
              </w:rPr>
            </w:pPr>
          </w:p>
        </w:tc>
        <w:tc>
          <w:tcPr>
            <w:tcW w:w="560" w:type="pct"/>
            <w:vMerge w:val="continue"/>
            <w:vAlign w:val="center"/>
          </w:tcPr>
          <w:p w14:paraId="20EF37EF">
            <w:pPr>
              <w:pStyle w:val="78"/>
              <w:rPr>
                <w:rFonts w:cs="Times New Roman"/>
              </w:rPr>
            </w:pPr>
          </w:p>
        </w:tc>
        <w:tc>
          <w:tcPr>
            <w:tcW w:w="639" w:type="pct"/>
            <w:vAlign w:val="center"/>
          </w:tcPr>
          <w:p w14:paraId="144194CF">
            <w:pPr>
              <w:pStyle w:val="78"/>
              <w:rPr>
                <w:rFonts w:cs="Times New Roman"/>
              </w:rPr>
            </w:pPr>
            <w:r>
              <w:rPr>
                <w:rFonts w:cs="Times New Roman"/>
              </w:rPr>
              <w:t>1.0~1.5m</w:t>
            </w:r>
          </w:p>
        </w:tc>
        <w:tc>
          <w:tcPr>
            <w:tcW w:w="595" w:type="pct"/>
            <w:vAlign w:val="center"/>
          </w:tcPr>
          <w:p w14:paraId="32F67987">
            <w:pPr>
              <w:pStyle w:val="78"/>
              <w:rPr>
                <w:rFonts w:cs="Times New Roman"/>
              </w:rPr>
            </w:pPr>
            <w:r>
              <w:rPr>
                <w:rFonts w:cs="Times New Roman"/>
              </w:rPr>
              <w:t>ND</w:t>
            </w:r>
          </w:p>
        </w:tc>
        <w:tc>
          <w:tcPr>
            <w:tcW w:w="595" w:type="pct"/>
            <w:vAlign w:val="center"/>
          </w:tcPr>
          <w:p w14:paraId="34A10FF4">
            <w:pPr>
              <w:pStyle w:val="78"/>
              <w:rPr>
                <w:rFonts w:cs="Times New Roman"/>
              </w:rPr>
            </w:pPr>
            <w:r>
              <w:rPr>
                <w:rFonts w:cs="Times New Roman"/>
              </w:rPr>
              <w:t>ND</w:t>
            </w:r>
          </w:p>
        </w:tc>
        <w:tc>
          <w:tcPr>
            <w:tcW w:w="595" w:type="pct"/>
            <w:vAlign w:val="center"/>
          </w:tcPr>
          <w:p w14:paraId="21EDCA4D">
            <w:pPr>
              <w:pStyle w:val="78"/>
              <w:rPr>
                <w:rFonts w:cs="Times New Roman"/>
              </w:rPr>
            </w:pPr>
            <w:r>
              <w:rPr>
                <w:rFonts w:cs="Times New Roman"/>
              </w:rPr>
              <w:t>ND</w:t>
            </w:r>
          </w:p>
        </w:tc>
        <w:tc>
          <w:tcPr>
            <w:tcW w:w="595" w:type="pct"/>
            <w:vAlign w:val="center"/>
          </w:tcPr>
          <w:p w14:paraId="3A76AA77">
            <w:pPr>
              <w:pStyle w:val="78"/>
              <w:rPr>
                <w:rFonts w:cs="Times New Roman"/>
              </w:rPr>
            </w:pPr>
            <w:r>
              <w:rPr>
                <w:rFonts w:cs="Times New Roman"/>
              </w:rPr>
              <w:t>ND</w:t>
            </w:r>
          </w:p>
        </w:tc>
        <w:tc>
          <w:tcPr>
            <w:tcW w:w="753" w:type="pct"/>
            <w:vAlign w:val="center"/>
          </w:tcPr>
          <w:p w14:paraId="75765D6F">
            <w:pPr>
              <w:pStyle w:val="78"/>
              <w:rPr>
                <w:rFonts w:cs="Times New Roman"/>
              </w:rPr>
            </w:pPr>
            <w:r>
              <w:rPr>
                <w:rFonts w:cs="Times New Roman"/>
              </w:rPr>
              <w:t>9</w:t>
            </w:r>
          </w:p>
        </w:tc>
      </w:tr>
      <w:tr w14:paraId="363B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5BAB3EA7">
            <w:pPr>
              <w:pStyle w:val="78"/>
              <w:rPr>
                <w:rFonts w:cs="Times New Roman"/>
              </w:rPr>
            </w:pPr>
          </w:p>
        </w:tc>
        <w:tc>
          <w:tcPr>
            <w:tcW w:w="560" w:type="pct"/>
            <w:vMerge w:val="continue"/>
            <w:vAlign w:val="center"/>
          </w:tcPr>
          <w:p w14:paraId="538F6BD3">
            <w:pPr>
              <w:pStyle w:val="78"/>
              <w:rPr>
                <w:rFonts w:cs="Times New Roman"/>
              </w:rPr>
            </w:pPr>
          </w:p>
        </w:tc>
        <w:tc>
          <w:tcPr>
            <w:tcW w:w="639" w:type="pct"/>
            <w:vAlign w:val="center"/>
          </w:tcPr>
          <w:p w14:paraId="402871B7">
            <w:pPr>
              <w:pStyle w:val="78"/>
              <w:rPr>
                <w:rFonts w:cs="Times New Roman"/>
              </w:rPr>
            </w:pPr>
            <w:r>
              <w:rPr>
                <w:rFonts w:cs="Times New Roman"/>
              </w:rPr>
              <w:t>2.0~2.5m</w:t>
            </w:r>
          </w:p>
        </w:tc>
        <w:tc>
          <w:tcPr>
            <w:tcW w:w="595" w:type="pct"/>
            <w:vAlign w:val="center"/>
          </w:tcPr>
          <w:p w14:paraId="6A9F612E">
            <w:pPr>
              <w:pStyle w:val="78"/>
              <w:rPr>
                <w:rFonts w:cs="Times New Roman"/>
              </w:rPr>
            </w:pPr>
            <w:r>
              <w:rPr>
                <w:rFonts w:cs="Times New Roman"/>
              </w:rPr>
              <w:t>ND</w:t>
            </w:r>
          </w:p>
        </w:tc>
        <w:tc>
          <w:tcPr>
            <w:tcW w:w="595" w:type="pct"/>
            <w:vAlign w:val="center"/>
          </w:tcPr>
          <w:p w14:paraId="7F600A88">
            <w:pPr>
              <w:pStyle w:val="78"/>
              <w:rPr>
                <w:rFonts w:cs="Times New Roman"/>
              </w:rPr>
            </w:pPr>
            <w:r>
              <w:rPr>
                <w:rFonts w:cs="Times New Roman"/>
              </w:rPr>
              <w:t>ND</w:t>
            </w:r>
          </w:p>
        </w:tc>
        <w:tc>
          <w:tcPr>
            <w:tcW w:w="595" w:type="pct"/>
            <w:vAlign w:val="center"/>
          </w:tcPr>
          <w:p w14:paraId="22810808">
            <w:pPr>
              <w:pStyle w:val="78"/>
              <w:rPr>
                <w:rFonts w:cs="Times New Roman"/>
              </w:rPr>
            </w:pPr>
            <w:r>
              <w:rPr>
                <w:rFonts w:cs="Times New Roman"/>
              </w:rPr>
              <w:t>ND</w:t>
            </w:r>
          </w:p>
        </w:tc>
        <w:tc>
          <w:tcPr>
            <w:tcW w:w="595" w:type="pct"/>
            <w:vAlign w:val="center"/>
          </w:tcPr>
          <w:p w14:paraId="4B1DE1DD">
            <w:pPr>
              <w:pStyle w:val="78"/>
              <w:rPr>
                <w:rFonts w:cs="Times New Roman"/>
              </w:rPr>
            </w:pPr>
            <w:r>
              <w:rPr>
                <w:rFonts w:cs="Times New Roman"/>
              </w:rPr>
              <w:t>ND</w:t>
            </w:r>
          </w:p>
        </w:tc>
        <w:tc>
          <w:tcPr>
            <w:tcW w:w="753" w:type="pct"/>
            <w:vAlign w:val="center"/>
          </w:tcPr>
          <w:p w14:paraId="546EB5A6">
            <w:pPr>
              <w:pStyle w:val="78"/>
              <w:rPr>
                <w:rFonts w:cs="Times New Roman"/>
              </w:rPr>
            </w:pPr>
            <w:r>
              <w:rPr>
                <w:rFonts w:cs="Times New Roman"/>
              </w:rPr>
              <w:t>9</w:t>
            </w:r>
          </w:p>
        </w:tc>
      </w:tr>
      <w:tr w14:paraId="1801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2346483C">
            <w:pPr>
              <w:pStyle w:val="78"/>
              <w:rPr>
                <w:rFonts w:cs="Times New Roman"/>
              </w:rPr>
            </w:pPr>
          </w:p>
        </w:tc>
        <w:tc>
          <w:tcPr>
            <w:tcW w:w="560" w:type="pct"/>
            <w:vMerge w:val="continue"/>
            <w:vAlign w:val="center"/>
          </w:tcPr>
          <w:p w14:paraId="5A4DF6A5">
            <w:pPr>
              <w:pStyle w:val="78"/>
              <w:rPr>
                <w:rFonts w:cs="Times New Roman"/>
              </w:rPr>
            </w:pPr>
          </w:p>
        </w:tc>
        <w:tc>
          <w:tcPr>
            <w:tcW w:w="639" w:type="pct"/>
            <w:vAlign w:val="center"/>
          </w:tcPr>
          <w:p w14:paraId="7BFBF167">
            <w:pPr>
              <w:pStyle w:val="78"/>
              <w:rPr>
                <w:rFonts w:cs="Times New Roman"/>
              </w:rPr>
            </w:pPr>
            <w:r>
              <w:rPr>
                <w:rFonts w:cs="Times New Roman"/>
              </w:rPr>
              <w:t>4.0~4.5m</w:t>
            </w:r>
          </w:p>
        </w:tc>
        <w:tc>
          <w:tcPr>
            <w:tcW w:w="595" w:type="pct"/>
            <w:vAlign w:val="center"/>
          </w:tcPr>
          <w:p w14:paraId="0B68F7FA">
            <w:pPr>
              <w:pStyle w:val="78"/>
              <w:rPr>
                <w:rFonts w:cs="Times New Roman"/>
              </w:rPr>
            </w:pPr>
            <w:r>
              <w:rPr>
                <w:rFonts w:cs="Times New Roman"/>
              </w:rPr>
              <w:t>ND</w:t>
            </w:r>
          </w:p>
        </w:tc>
        <w:tc>
          <w:tcPr>
            <w:tcW w:w="595" w:type="pct"/>
            <w:vAlign w:val="center"/>
          </w:tcPr>
          <w:p w14:paraId="54FDF987">
            <w:pPr>
              <w:pStyle w:val="78"/>
              <w:rPr>
                <w:rFonts w:cs="Times New Roman"/>
              </w:rPr>
            </w:pPr>
            <w:r>
              <w:rPr>
                <w:rFonts w:cs="Times New Roman"/>
              </w:rPr>
              <w:t>ND</w:t>
            </w:r>
          </w:p>
        </w:tc>
        <w:tc>
          <w:tcPr>
            <w:tcW w:w="595" w:type="pct"/>
            <w:vAlign w:val="center"/>
          </w:tcPr>
          <w:p w14:paraId="2E5A835D">
            <w:pPr>
              <w:pStyle w:val="78"/>
              <w:rPr>
                <w:rFonts w:cs="Times New Roman"/>
              </w:rPr>
            </w:pPr>
            <w:r>
              <w:rPr>
                <w:rFonts w:cs="Times New Roman"/>
              </w:rPr>
              <w:t>ND</w:t>
            </w:r>
          </w:p>
        </w:tc>
        <w:tc>
          <w:tcPr>
            <w:tcW w:w="595" w:type="pct"/>
            <w:vAlign w:val="center"/>
          </w:tcPr>
          <w:p w14:paraId="616E6006">
            <w:pPr>
              <w:pStyle w:val="78"/>
              <w:rPr>
                <w:rFonts w:cs="Times New Roman"/>
              </w:rPr>
            </w:pPr>
            <w:r>
              <w:rPr>
                <w:rFonts w:cs="Times New Roman"/>
              </w:rPr>
              <w:t>ND</w:t>
            </w:r>
          </w:p>
        </w:tc>
        <w:tc>
          <w:tcPr>
            <w:tcW w:w="753" w:type="pct"/>
            <w:vAlign w:val="center"/>
          </w:tcPr>
          <w:p w14:paraId="6266ACD4">
            <w:pPr>
              <w:pStyle w:val="78"/>
              <w:rPr>
                <w:rFonts w:cs="Times New Roman"/>
              </w:rPr>
            </w:pPr>
            <w:r>
              <w:rPr>
                <w:rFonts w:cs="Times New Roman"/>
              </w:rPr>
              <w:t>8</w:t>
            </w:r>
          </w:p>
        </w:tc>
      </w:tr>
      <w:tr w14:paraId="3DF8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024F9D1B">
            <w:pPr>
              <w:pStyle w:val="78"/>
              <w:rPr>
                <w:rFonts w:cs="Times New Roman"/>
              </w:rPr>
            </w:pPr>
          </w:p>
        </w:tc>
        <w:tc>
          <w:tcPr>
            <w:tcW w:w="560" w:type="pct"/>
            <w:vMerge w:val="restart"/>
            <w:vAlign w:val="center"/>
          </w:tcPr>
          <w:p w14:paraId="434AD65F">
            <w:pPr>
              <w:pStyle w:val="78"/>
              <w:rPr>
                <w:rFonts w:cs="Times New Roman"/>
              </w:rPr>
            </w:pPr>
            <w:r>
              <w:rPr>
                <w:rFonts w:cs="Times New Roman"/>
              </w:rPr>
              <w:t>SH-4</w:t>
            </w:r>
          </w:p>
        </w:tc>
        <w:tc>
          <w:tcPr>
            <w:tcW w:w="639" w:type="pct"/>
            <w:vAlign w:val="center"/>
          </w:tcPr>
          <w:p w14:paraId="290ED1E2">
            <w:pPr>
              <w:pStyle w:val="78"/>
              <w:rPr>
                <w:rFonts w:cs="Times New Roman"/>
              </w:rPr>
            </w:pPr>
            <w:r>
              <w:rPr>
                <w:rFonts w:cs="Times New Roman"/>
              </w:rPr>
              <w:t>0~0.5m</w:t>
            </w:r>
          </w:p>
        </w:tc>
        <w:tc>
          <w:tcPr>
            <w:tcW w:w="595" w:type="pct"/>
            <w:vAlign w:val="center"/>
          </w:tcPr>
          <w:p w14:paraId="38968DA3">
            <w:pPr>
              <w:pStyle w:val="78"/>
              <w:rPr>
                <w:rFonts w:cs="Times New Roman"/>
              </w:rPr>
            </w:pPr>
            <w:r>
              <w:rPr>
                <w:rFonts w:cs="Times New Roman"/>
              </w:rPr>
              <w:t>ND</w:t>
            </w:r>
          </w:p>
        </w:tc>
        <w:tc>
          <w:tcPr>
            <w:tcW w:w="595" w:type="pct"/>
            <w:vAlign w:val="center"/>
          </w:tcPr>
          <w:p w14:paraId="02C48B72">
            <w:pPr>
              <w:pStyle w:val="78"/>
              <w:rPr>
                <w:rFonts w:cs="Times New Roman"/>
              </w:rPr>
            </w:pPr>
            <w:r>
              <w:rPr>
                <w:rFonts w:cs="Times New Roman"/>
              </w:rPr>
              <w:t>ND</w:t>
            </w:r>
          </w:p>
        </w:tc>
        <w:tc>
          <w:tcPr>
            <w:tcW w:w="595" w:type="pct"/>
            <w:vAlign w:val="center"/>
          </w:tcPr>
          <w:p w14:paraId="4926571A">
            <w:pPr>
              <w:pStyle w:val="78"/>
              <w:rPr>
                <w:rFonts w:cs="Times New Roman"/>
              </w:rPr>
            </w:pPr>
            <w:r>
              <w:rPr>
                <w:rFonts w:cs="Times New Roman"/>
              </w:rPr>
              <w:t>ND</w:t>
            </w:r>
          </w:p>
        </w:tc>
        <w:tc>
          <w:tcPr>
            <w:tcW w:w="595" w:type="pct"/>
            <w:vAlign w:val="center"/>
          </w:tcPr>
          <w:p w14:paraId="5EE84D3F">
            <w:pPr>
              <w:pStyle w:val="78"/>
              <w:rPr>
                <w:rFonts w:cs="Times New Roman"/>
              </w:rPr>
            </w:pPr>
            <w:r>
              <w:rPr>
                <w:rFonts w:cs="Times New Roman"/>
              </w:rPr>
              <w:t>ND</w:t>
            </w:r>
          </w:p>
        </w:tc>
        <w:tc>
          <w:tcPr>
            <w:tcW w:w="753" w:type="pct"/>
            <w:vAlign w:val="center"/>
          </w:tcPr>
          <w:p w14:paraId="10E861B3">
            <w:pPr>
              <w:pStyle w:val="78"/>
              <w:rPr>
                <w:rFonts w:cs="Times New Roman"/>
              </w:rPr>
            </w:pPr>
            <w:r>
              <w:rPr>
                <w:rFonts w:cs="Times New Roman"/>
              </w:rPr>
              <w:t>15</w:t>
            </w:r>
          </w:p>
        </w:tc>
      </w:tr>
      <w:tr w14:paraId="3010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0DFD802E">
            <w:pPr>
              <w:pStyle w:val="78"/>
              <w:rPr>
                <w:rFonts w:cs="Times New Roman"/>
              </w:rPr>
            </w:pPr>
          </w:p>
        </w:tc>
        <w:tc>
          <w:tcPr>
            <w:tcW w:w="560" w:type="pct"/>
            <w:vMerge w:val="continue"/>
            <w:vAlign w:val="center"/>
          </w:tcPr>
          <w:p w14:paraId="512B2F57">
            <w:pPr>
              <w:pStyle w:val="78"/>
              <w:rPr>
                <w:rFonts w:cs="Times New Roman"/>
              </w:rPr>
            </w:pPr>
          </w:p>
        </w:tc>
        <w:tc>
          <w:tcPr>
            <w:tcW w:w="639" w:type="pct"/>
            <w:vAlign w:val="center"/>
          </w:tcPr>
          <w:p w14:paraId="00C3F327">
            <w:pPr>
              <w:pStyle w:val="78"/>
              <w:rPr>
                <w:rFonts w:cs="Times New Roman"/>
              </w:rPr>
            </w:pPr>
            <w:r>
              <w:rPr>
                <w:rFonts w:cs="Times New Roman"/>
              </w:rPr>
              <w:t>1.0~1.5m</w:t>
            </w:r>
          </w:p>
        </w:tc>
        <w:tc>
          <w:tcPr>
            <w:tcW w:w="595" w:type="pct"/>
            <w:vAlign w:val="center"/>
          </w:tcPr>
          <w:p w14:paraId="7853CAC6">
            <w:pPr>
              <w:pStyle w:val="78"/>
              <w:rPr>
                <w:rFonts w:cs="Times New Roman"/>
              </w:rPr>
            </w:pPr>
            <w:r>
              <w:rPr>
                <w:rFonts w:cs="Times New Roman"/>
              </w:rPr>
              <w:t>ND</w:t>
            </w:r>
          </w:p>
        </w:tc>
        <w:tc>
          <w:tcPr>
            <w:tcW w:w="595" w:type="pct"/>
            <w:vAlign w:val="center"/>
          </w:tcPr>
          <w:p w14:paraId="41970332">
            <w:pPr>
              <w:pStyle w:val="78"/>
              <w:rPr>
                <w:rFonts w:cs="Times New Roman"/>
              </w:rPr>
            </w:pPr>
            <w:r>
              <w:rPr>
                <w:rFonts w:cs="Times New Roman"/>
              </w:rPr>
              <w:t>ND</w:t>
            </w:r>
          </w:p>
        </w:tc>
        <w:tc>
          <w:tcPr>
            <w:tcW w:w="595" w:type="pct"/>
            <w:vAlign w:val="center"/>
          </w:tcPr>
          <w:p w14:paraId="59625E85">
            <w:pPr>
              <w:pStyle w:val="78"/>
              <w:rPr>
                <w:rFonts w:cs="Times New Roman"/>
              </w:rPr>
            </w:pPr>
            <w:r>
              <w:rPr>
                <w:rFonts w:cs="Times New Roman"/>
              </w:rPr>
              <w:t>ND</w:t>
            </w:r>
          </w:p>
        </w:tc>
        <w:tc>
          <w:tcPr>
            <w:tcW w:w="595" w:type="pct"/>
            <w:vAlign w:val="center"/>
          </w:tcPr>
          <w:p w14:paraId="2DD0E77D">
            <w:pPr>
              <w:pStyle w:val="78"/>
              <w:rPr>
                <w:rFonts w:cs="Times New Roman"/>
              </w:rPr>
            </w:pPr>
            <w:r>
              <w:rPr>
                <w:rFonts w:cs="Times New Roman"/>
              </w:rPr>
              <w:t>ND</w:t>
            </w:r>
          </w:p>
        </w:tc>
        <w:tc>
          <w:tcPr>
            <w:tcW w:w="753" w:type="pct"/>
            <w:vAlign w:val="center"/>
          </w:tcPr>
          <w:p w14:paraId="424D71B7">
            <w:pPr>
              <w:pStyle w:val="78"/>
              <w:rPr>
                <w:rFonts w:cs="Times New Roman"/>
              </w:rPr>
            </w:pPr>
            <w:r>
              <w:rPr>
                <w:rFonts w:cs="Times New Roman"/>
              </w:rPr>
              <w:t>12</w:t>
            </w:r>
          </w:p>
        </w:tc>
      </w:tr>
      <w:tr w14:paraId="4669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7AC14055">
            <w:pPr>
              <w:pStyle w:val="78"/>
              <w:rPr>
                <w:rFonts w:cs="Times New Roman"/>
              </w:rPr>
            </w:pPr>
          </w:p>
        </w:tc>
        <w:tc>
          <w:tcPr>
            <w:tcW w:w="560" w:type="pct"/>
            <w:vMerge w:val="continue"/>
            <w:vAlign w:val="center"/>
          </w:tcPr>
          <w:p w14:paraId="62CDF583">
            <w:pPr>
              <w:pStyle w:val="78"/>
              <w:rPr>
                <w:rFonts w:cs="Times New Roman"/>
              </w:rPr>
            </w:pPr>
          </w:p>
        </w:tc>
        <w:tc>
          <w:tcPr>
            <w:tcW w:w="639" w:type="pct"/>
            <w:vAlign w:val="center"/>
          </w:tcPr>
          <w:p w14:paraId="12508D84">
            <w:pPr>
              <w:pStyle w:val="78"/>
              <w:rPr>
                <w:rFonts w:cs="Times New Roman"/>
              </w:rPr>
            </w:pPr>
            <w:r>
              <w:rPr>
                <w:rFonts w:cs="Times New Roman"/>
              </w:rPr>
              <w:t>2.0~2.5m</w:t>
            </w:r>
          </w:p>
        </w:tc>
        <w:tc>
          <w:tcPr>
            <w:tcW w:w="595" w:type="pct"/>
            <w:vAlign w:val="center"/>
          </w:tcPr>
          <w:p w14:paraId="3751BC26">
            <w:pPr>
              <w:pStyle w:val="78"/>
              <w:rPr>
                <w:rFonts w:cs="Times New Roman"/>
              </w:rPr>
            </w:pPr>
            <w:r>
              <w:rPr>
                <w:rFonts w:cs="Times New Roman"/>
              </w:rPr>
              <w:t>ND</w:t>
            </w:r>
          </w:p>
        </w:tc>
        <w:tc>
          <w:tcPr>
            <w:tcW w:w="595" w:type="pct"/>
            <w:vAlign w:val="center"/>
          </w:tcPr>
          <w:p w14:paraId="55ABC450">
            <w:pPr>
              <w:pStyle w:val="78"/>
              <w:rPr>
                <w:rFonts w:cs="Times New Roman"/>
              </w:rPr>
            </w:pPr>
            <w:r>
              <w:rPr>
                <w:rFonts w:cs="Times New Roman"/>
              </w:rPr>
              <w:t>ND</w:t>
            </w:r>
          </w:p>
        </w:tc>
        <w:tc>
          <w:tcPr>
            <w:tcW w:w="595" w:type="pct"/>
            <w:vAlign w:val="center"/>
          </w:tcPr>
          <w:p w14:paraId="399707FB">
            <w:pPr>
              <w:pStyle w:val="78"/>
              <w:rPr>
                <w:rFonts w:cs="Times New Roman"/>
              </w:rPr>
            </w:pPr>
            <w:r>
              <w:rPr>
                <w:rFonts w:cs="Times New Roman"/>
              </w:rPr>
              <w:t>ND</w:t>
            </w:r>
          </w:p>
        </w:tc>
        <w:tc>
          <w:tcPr>
            <w:tcW w:w="595" w:type="pct"/>
            <w:vAlign w:val="center"/>
          </w:tcPr>
          <w:p w14:paraId="7219F6A1">
            <w:pPr>
              <w:pStyle w:val="78"/>
              <w:rPr>
                <w:rFonts w:cs="Times New Roman"/>
              </w:rPr>
            </w:pPr>
            <w:r>
              <w:rPr>
                <w:rFonts w:cs="Times New Roman"/>
              </w:rPr>
              <w:t>ND</w:t>
            </w:r>
          </w:p>
        </w:tc>
        <w:tc>
          <w:tcPr>
            <w:tcW w:w="753" w:type="pct"/>
            <w:vAlign w:val="center"/>
          </w:tcPr>
          <w:p w14:paraId="69178582">
            <w:pPr>
              <w:pStyle w:val="78"/>
              <w:rPr>
                <w:rFonts w:cs="Times New Roman"/>
              </w:rPr>
            </w:pPr>
            <w:r>
              <w:rPr>
                <w:rFonts w:cs="Times New Roman"/>
              </w:rPr>
              <w:t>6</w:t>
            </w:r>
          </w:p>
        </w:tc>
      </w:tr>
      <w:tr w14:paraId="3B98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5FEC16A3">
            <w:pPr>
              <w:pStyle w:val="78"/>
              <w:rPr>
                <w:rFonts w:cs="Times New Roman"/>
              </w:rPr>
            </w:pPr>
          </w:p>
        </w:tc>
        <w:tc>
          <w:tcPr>
            <w:tcW w:w="560" w:type="pct"/>
            <w:vMerge w:val="continue"/>
            <w:vAlign w:val="center"/>
          </w:tcPr>
          <w:p w14:paraId="7F2D5349">
            <w:pPr>
              <w:pStyle w:val="78"/>
              <w:rPr>
                <w:rFonts w:cs="Times New Roman"/>
              </w:rPr>
            </w:pPr>
          </w:p>
        </w:tc>
        <w:tc>
          <w:tcPr>
            <w:tcW w:w="639" w:type="pct"/>
            <w:vAlign w:val="center"/>
          </w:tcPr>
          <w:p w14:paraId="08E12331">
            <w:pPr>
              <w:pStyle w:val="78"/>
              <w:rPr>
                <w:rFonts w:cs="Times New Roman"/>
              </w:rPr>
            </w:pPr>
            <w:r>
              <w:rPr>
                <w:rFonts w:cs="Times New Roman"/>
              </w:rPr>
              <w:t>4.0~4.5m</w:t>
            </w:r>
          </w:p>
        </w:tc>
        <w:tc>
          <w:tcPr>
            <w:tcW w:w="595" w:type="pct"/>
            <w:vAlign w:val="center"/>
          </w:tcPr>
          <w:p w14:paraId="400FB218">
            <w:pPr>
              <w:pStyle w:val="78"/>
              <w:rPr>
                <w:rFonts w:cs="Times New Roman"/>
              </w:rPr>
            </w:pPr>
            <w:r>
              <w:rPr>
                <w:rFonts w:cs="Times New Roman"/>
              </w:rPr>
              <w:t>ND</w:t>
            </w:r>
          </w:p>
        </w:tc>
        <w:tc>
          <w:tcPr>
            <w:tcW w:w="595" w:type="pct"/>
            <w:vAlign w:val="center"/>
          </w:tcPr>
          <w:p w14:paraId="35300B66">
            <w:pPr>
              <w:pStyle w:val="78"/>
              <w:rPr>
                <w:rFonts w:cs="Times New Roman"/>
              </w:rPr>
            </w:pPr>
            <w:r>
              <w:rPr>
                <w:rFonts w:cs="Times New Roman"/>
              </w:rPr>
              <w:t>ND</w:t>
            </w:r>
          </w:p>
        </w:tc>
        <w:tc>
          <w:tcPr>
            <w:tcW w:w="595" w:type="pct"/>
            <w:vAlign w:val="center"/>
          </w:tcPr>
          <w:p w14:paraId="0F32293D">
            <w:pPr>
              <w:pStyle w:val="78"/>
              <w:rPr>
                <w:rFonts w:cs="Times New Roman"/>
              </w:rPr>
            </w:pPr>
            <w:r>
              <w:rPr>
                <w:rFonts w:cs="Times New Roman"/>
              </w:rPr>
              <w:t>ND</w:t>
            </w:r>
          </w:p>
        </w:tc>
        <w:tc>
          <w:tcPr>
            <w:tcW w:w="595" w:type="pct"/>
            <w:vAlign w:val="center"/>
          </w:tcPr>
          <w:p w14:paraId="1264D331">
            <w:pPr>
              <w:pStyle w:val="78"/>
              <w:rPr>
                <w:rFonts w:cs="Times New Roman"/>
              </w:rPr>
            </w:pPr>
            <w:r>
              <w:rPr>
                <w:rFonts w:cs="Times New Roman"/>
              </w:rPr>
              <w:t>ND</w:t>
            </w:r>
          </w:p>
        </w:tc>
        <w:tc>
          <w:tcPr>
            <w:tcW w:w="753" w:type="pct"/>
            <w:vAlign w:val="center"/>
          </w:tcPr>
          <w:p w14:paraId="4106C3F6">
            <w:pPr>
              <w:pStyle w:val="78"/>
              <w:rPr>
                <w:rFonts w:cs="Times New Roman"/>
              </w:rPr>
            </w:pPr>
            <w:r>
              <w:rPr>
                <w:rFonts w:cs="Times New Roman"/>
              </w:rPr>
              <w:t>8</w:t>
            </w:r>
          </w:p>
        </w:tc>
      </w:tr>
      <w:tr w14:paraId="2566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64978FD1">
            <w:pPr>
              <w:pStyle w:val="78"/>
              <w:rPr>
                <w:rFonts w:cs="Times New Roman"/>
              </w:rPr>
            </w:pPr>
          </w:p>
        </w:tc>
        <w:tc>
          <w:tcPr>
            <w:tcW w:w="560" w:type="pct"/>
            <w:vMerge w:val="restart"/>
            <w:vAlign w:val="center"/>
          </w:tcPr>
          <w:p w14:paraId="25751ED7">
            <w:pPr>
              <w:pStyle w:val="78"/>
              <w:rPr>
                <w:rFonts w:cs="Times New Roman"/>
              </w:rPr>
            </w:pPr>
            <w:r>
              <w:rPr>
                <w:rFonts w:cs="Times New Roman"/>
              </w:rPr>
              <w:t>SH-5</w:t>
            </w:r>
          </w:p>
        </w:tc>
        <w:tc>
          <w:tcPr>
            <w:tcW w:w="639" w:type="pct"/>
            <w:vAlign w:val="center"/>
          </w:tcPr>
          <w:p w14:paraId="192CF6C0">
            <w:pPr>
              <w:pStyle w:val="78"/>
              <w:rPr>
                <w:rFonts w:cs="Times New Roman"/>
              </w:rPr>
            </w:pPr>
            <w:r>
              <w:rPr>
                <w:rFonts w:cs="Times New Roman"/>
              </w:rPr>
              <w:t>0~0.5m</w:t>
            </w:r>
          </w:p>
        </w:tc>
        <w:tc>
          <w:tcPr>
            <w:tcW w:w="595" w:type="pct"/>
            <w:vAlign w:val="center"/>
          </w:tcPr>
          <w:p w14:paraId="6D02D2A7">
            <w:pPr>
              <w:pStyle w:val="78"/>
              <w:rPr>
                <w:rFonts w:cs="Times New Roman"/>
              </w:rPr>
            </w:pPr>
            <w:r>
              <w:rPr>
                <w:rFonts w:cs="Times New Roman"/>
              </w:rPr>
              <w:t>ND</w:t>
            </w:r>
          </w:p>
        </w:tc>
        <w:tc>
          <w:tcPr>
            <w:tcW w:w="595" w:type="pct"/>
            <w:vAlign w:val="center"/>
          </w:tcPr>
          <w:p w14:paraId="205845A2">
            <w:pPr>
              <w:pStyle w:val="78"/>
              <w:rPr>
                <w:rFonts w:cs="Times New Roman"/>
              </w:rPr>
            </w:pPr>
            <w:r>
              <w:rPr>
                <w:rFonts w:cs="Times New Roman"/>
              </w:rPr>
              <w:t>ND</w:t>
            </w:r>
          </w:p>
        </w:tc>
        <w:tc>
          <w:tcPr>
            <w:tcW w:w="595" w:type="pct"/>
            <w:vAlign w:val="center"/>
          </w:tcPr>
          <w:p w14:paraId="75742028">
            <w:pPr>
              <w:pStyle w:val="78"/>
              <w:rPr>
                <w:rFonts w:cs="Times New Roman"/>
              </w:rPr>
            </w:pPr>
            <w:r>
              <w:rPr>
                <w:rFonts w:cs="Times New Roman"/>
              </w:rPr>
              <w:t>ND</w:t>
            </w:r>
          </w:p>
        </w:tc>
        <w:tc>
          <w:tcPr>
            <w:tcW w:w="595" w:type="pct"/>
            <w:vAlign w:val="center"/>
          </w:tcPr>
          <w:p w14:paraId="0302833D">
            <w:pPr>
              <w:pStyle w:val="78"/>
              <w:rPr>
                <w:rFonts w:cs="Times New Roman"/>
              </w:rPr>
            </w:pPr>
            <w:r>
              <w:rPr>
                <w:rFonts w:cs="Times New Roman"/>
              </w:rPr>
              <w:t>ND</w:t>
            </w:r>
          </w:p>
        </w:tc>
        <w:tc>
          <w:tcPr>
            <w:tcW w:w="753" w:type="pct"/>
            <w:vAlign w:val="center"/>
          </w:tcPr>
          <w:p w14:paraId="1271736F">
            <w:pPr>
              <w:pStyle w:val="78"/>
              <w:rPr>
                <w:rFonts w:cs="Times New Roman"/>
              </w:rPr>
            </w:pPr>
            <w:r>
              <w:rPr>
                <w:rFonts w:cs="Times New Roman"/>
              </w:rPr>
              <w:t>9</w:t>
            </w:r>
          </w:p>
        </w:tc>
      </w:tr>
      <w:tr w14:paraId="6400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5BCA51DC">
            <w:pPr>
              <w:pStyle w:val="78"/>
              <w:rPr>
                <w:rFonts w:cs="Times New Roman"/>
              </w:rPr>
            </w:pPr>
          </w:p>
        </w:tc>
        <w:tc>
          <w:tcPr>
            <w:tcW w:w="560" w:type="pct"/>
            <w:vMerge w:val="continue"/>
            <w:vAlign w:val="center"/>
          </w:tcPr>
          <w:p w14:paraId="7BB3420E">
            <w:pPr>
              <w:pStyle w:val="78"/>
              <w:rPr>
                <w:rFonts w:cs="Times New Roman"/>
              </w:rPr>
            </w:pPr>
          </w:p>
        </w:tc>
        <w:tc>
          <w:tcPr>
            <w:tcW w:w="639" w:type="pct"/>
            <w:vAlign w:val="center"/>
          </w:tcPr>
          <w:p w14:paraId="26FA0AD3">
            <w:pPr>
              <w:pStyle w:val="78"/>
              <w:rPr>
                <w:rFonts w:cs="Times New Roman"/>
              </w:rPr>
            </w:pPr>
            <w:r>
              <w:rPr>
                <w:rFonts w:cs="Times New Roman"/>
              </w:rPr>
              <w:t>1.0~1.5m</w:t>
            </w:r>
          </w:p>
        </w:tc>
        <w:tc>
          <w:tcPr>
            <w:tcW w:w="595" w:type="pct"/>
            <w:vAlign w:val="center"/>
          </w:tcPr>
          <w:p w14:paraId="617DFE51">
            <w:pPr>
              <w:pStyle w:val="78"/>
              <w:rPr>
                <w:rFonts w:cs="Times New Roman"/>
              </w:rPr>
            </w:pPr>
            <w:r>
              <w:rPr>
                <w:rFonts w:cs="Times New Roman"/>
              </w:rPr>
              <w:t>ND</w:t>
            </w:r>
          </w:p>
        </w:tc>
        <w:tc>
          <w:tcPr>
            <w:tcW w:w="595" w:type="pct"/>
            <w:vAlign w:val="center"/>
          </w:tcPr>
          <w:p w14:paraId="39925613">
            <w:pPr>
              <w:pStyle w:val="78"/>
              <w:rPr>
                <w:rFonts w:cs="Times New Roman"/>
              </w:rPr>
            </w:pPr>
            <w:r>
              <w:rPr>
                <w:rFonts w:cs="Times New Roman"/>
              </w:rPr>
              <w:t>ND</w:t>
            </w:r>
          </w:p>
        </w:tc>
        <w:tc>
          <w:tcPr>
            <w:tcW w:w="595" w:type="pct"/>
            <w:vAlign w:val="center"/>
          </w:tcPr>
          <w:p w14:paraId="3DFCD8EA">
            <w:pPr>
              <w:pStyle w:val="78"/>
              <w:rPr>
                <w:rFonts w:cs="Times New Roman"/>
              </w:rPr>
            </w:pPr>
            <w:r>
              <w:rPr>
                <w:rFonts w:cs="Times New Roman"/>
              </w:rPr>
              <w:t>ND</w:t>
            </w:r>
          </w:p>
        </w:tc>
        <w:tc>
          <w:tcPr>
            <w:tcW w:w="595" w:type="pct"/>
            <w:vAlign w:val="center"/>
          </w:tcPr>
          <w:p w14:paraId="281A63D3">
            <w:pPr>
              <w:pStyle w:val="78"/>
              <w:rPr>
                <w:rFonts w:cs="Times New Roman"/>
              </w:rPr>
            </w:pPr>
            <w:r>
              <w:rPr>
                <w:rFonts w:cs="Times New Roman"/>
              </w:rPr>
              <w:t>ND</w:t>
            </w:r>
          </w:p>
        </w:tc>
        <w:tc>
          <w:tcPr>
            <w:tcW w:w="753" w:type="pct"/>
            <w:vAlign w:val="center"/>
          </w:tcPr>
          <w:p w14:paraId="17744ED3">
            <w:pPr>
              <w:pStyle w:val="78"/>
              <w:rPr>
                <w:rFonts w:cs="Times New Roman"/>
              </w:rPr>
            </w:pPr>
            <w:r>
              <w:rPr>
                <w:rFonts w:cs="Times New Roman"/>
              </w:rPr>
              <w:t>14</w:t>
            </w:r>
          </w:p>
        </w:tc>
      </w:tr>
      <w:tr w14:paraId="4AFC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0BA5C47A">
            <w:pPr>
              <w:pStyle w:val="78"/>
              <w:rPr>
                <w:rFonts w:cs="Times New Roman"/>
              </w:rPr>
            </w:pPr>
          </w:p>
        </w:tc>
        <w:tc>
          <w:tcPr>
            <w:tcW w:w="560" w:type="pct"/>
            <w:vMerge w:val="continue"/>
            <w:vAlign w:val="center"/>
          </w:tcPr>
          <w:p w14:paraId="716F40A7">
            <w:pPr>
              <w:pStyle w:val="78"/>
              <w:rPr>
                <w:rFonts w:cs="Times New Roman"/>
              </w:rPr>
            </w:pPr>
          </w:p>
        </w:tc>
        <w:tc>
          <w:tcPr>
            <w:tcW w:w="639" w:type="pct"/>
            <w:vAlign w:val="center"/>
          </w:tcPr>
          <w:p w14:paraId="541039AF">
            <w:pPr>
              <w:pStyle w:val="78"/>
              <w:rPr>
                <w:rFonts w:cs="Times New Roman"/>
              </w:rPr>
            </w:pPr>
            <w:r>
              <w:rPr>
                <w:rFonts w:cs="Times New Roman"/>
              </w:rPr>
              <w:t>2.0~2.5m</w:t>
            </w:r>
          </w:p>
        </w:tc>
        <w:tc>
          <w:tcPr>
            <w:tcW w:w="595" w:type="pct"/>
            <w:vAlign w:val="center"/>
          </w:tcPr>
          <w:p w14:paraId="0D81C186">
            <w:pPr>
              <w:pStyle w:val="78"/>
              <w:rPr>
                <w:rFonts w:cs="Times New Roman"/>
              </w:rPr>
            </w:pPr>
            <w:r>
              <w:rPr>
                <w:rFonts w:cs="Times New Roman"/>
              </w:rPr>
              <w:t>ND</w:t>
            </w:r>
          </w:p>
        </w:tc>
        <w:tc>
          <w:tcPr>
            <w:tcW w:w="595" w:type="pct"/>
            <w:vAlign w:val="center"/>
          </w:tcPr>
          <w:p w14:paraId="45E9E814">
            <w:pPr>
              <w:pStyle w:val="78"/>
              <w:rPr>
                <w:rFonts w:cs="Times New Roman"/>
              </w:rPr>
            </w:pPr>
            <w:r>
              <w:rPr>
                <w:rFonts w:cs="Times New Roman"/>
              </w:rPr>
              <w:t>ND</w:t>
            </w:r>
          </w:p>
        </w:tc>
        <w:tc>
          <w:tcPr>
            <w:tcW w:w="595" w:type="pct"/>
            <w:vAlign w:val="center"/>
          </w:tcPr>
          <w:p w14:paraId="39791C29">
            <w:pPr>
              <w:pStyle w:val="78"/>
              <w:rPr>
                <w:rFonts w:cs="Times New Roman"/>
              </w:rPr>
            </w:pPr>
            <w:r>
              <w:rPr>
                <w:rFonts w:cs="Times New Roman"/>
              </w:rPr>
              <w:t>ND</w:t>
            </w:r>
          </w:p>
        </w:tc>
        <w:tc>
          <w:tcPr>
            <w:tcW w:w="595" w:type="pct"/>
            <w:vAlign w:val="center"/>
          </w:tcPr>
          <w:p w14:paraId="763A2303">
            <w:pPr>
              <w:pStyle w:val="78"/>
              <w:rPr>
                <w:rFonts w:cs="Times New Roman"/>
              </w:rPr>
            </w:pPr>
            <w:r>
              <w:rPr>
                <w:rFonts w:cs="Times New Roman"/>
              </w:rPr>
              <w:t>ND</w:t>
            </w:r>
          </w:p>
        </w:tc>
        <w:tc>
          <w:tcPr>
            <w:tcW w:w="753" w:type="pct"/>
            <w:vAlign w:val="center"/>
          </w:tcPr>
          <w:p w14:paraId="2F5E2D4A">
            <w:pPr>
              <w:pStyle w:val="78"/>
              <w:rPr>
                <w:rFonts w:cs="Times New Roman"/>
              </w:rPr>
            </w:pPr>
            <w:r>
              <w:rPr>
                <w:rFonts w:cs="Times New Roman"/>
              </w:rPr>
              <w:t>14</w:t>
            </w:r>
          </w:p>
        </w:tc>
      </w:tr>
      <w:tr w14:paraId="306A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4BF58C42">
            <w:pPr>
              <w:pStyle w:val="78"/>
              <w:rPr>
                <w:rFonts w:cs="Times New Roman"/>
              </w:rPr>
            </w:pPr>
          </w:p>
        </w:tc>
        <w:tc>
          <w:tcPr>
            <w:tcW w:w="560" w:type="pct"/>
            <w:vMerge w:val="continue"/>
            <w:vAlign w:val="center"/>
          </w:tcPr>
          <w:p w14:paraId="26129911">
            <w:pPr>
              <w:pStyle w:val="78"/>
              <w:rPr>
                <w:rFonts w:cs="Times New Roman"/>
              </w:rPr>
            </w:pPr>
          </w:p>
        </w:tc>
        <w:tc>
          <w:tcPr>
            <w:tcW w:w="639" w:type="pct"/>
            <w:vAlign w:val="center"/>
          </w:tcPr>
          <w:p w14:paraId="3286F9E4">
            <w:pPr>
              <w:pStyle w:val="78"/>
              <w:rPr>
                <w:rFonts w:cs="Times New Roman"/>
              </w:rPr>
            </w:pPr>
            <w:r>
              <w:rPr>
                <w:rFonts w:cs="Times New Roman"/>
              </w:rPr>
              <w:t>4.0~4.5m</w:t>
            </w:r>
          </w:p>
        </w:tc>
        <w:tc>
          <w:tcPr>
            <w:tcW w:w="595" w:type="pct"/>
            <w:vAlign w:val="center"/>
          </w:tcPr>
          <w:p w14:paraId="7F2D7C10">
            <w:pPr>
              <w:pStyle w:val="78"/>
              <w:rPr>
                <w:rFonts w:cs="Times New Roman"/>
              </w:rPr>
            </w:pPr>
            <w:r>
              <w:rPr>
                <w:rFonts w:cs="Times New Roman"/>
              </w:rPr>
              <w:t>ND</w:t>
            </w:r>
          </w:p>
        </w:tc>
        <w:tc>
          <w:tcPr>
            <w:tcW w:w="595" w:type="pct"/>
            <w:vAlign w:val="center"/>
          </w:tcPr>
          <w:p w14:paraId="0EFD62A8">
            <w:pPr>
              <w:pStyle w:val="78"/>
              <w:rPr>
                <w:rFonts w:cs="Times New Roman"/>
              </w:rPr>
            </w:pPr>
            <w:r>
              <w:rPr>
                <w:rFonts w:cs="Times New Roman"/>
              </w:rPr>
              <w:t>ND</w:t>
            </w:r>
          </w:p>
        </w:tc>
        <w:tc>
          <w:tcPr>
            <w:tcW w:w="595" w:type="pct"/>
            <w:vAlign w:val="center"/>
          </w:tcPr>
          <w:p w14:paraId="29BE8FCA">
            <w:pPr>
              <w:pStyle w:val="78"/>
              <w:rPr>
                <w:rFonts w:cs="Times New Roman"/>
              </w:rPr>
            </w:pPr>
            <w:r>
              <w:rPr>
                <w:rFonts w:cs="Times New Roman"/>
              </w:rPr>
              <w:t>ND</w:t>
            </w:r>
          </w:p>
        </w:tc>
        <w:tc>
          <w:tcPr>
            <w:tcW w:w="595" w:type="pct"/>
            <w:vAlign w:val="center"/>
          </w:tcPr>
          <w:p w14:paraId="0E9EFA2C">
            <w:pPr>
              <w:pStyle w:val="78"/>
              <w:rPr>
                <w:rFonts w:cs="Times New Roman"/>
              </w:rPr>
            </w:pPr>
            <w:r>
              <w:rPr>
                <w:rFonts w:cs="Times New Roman"/>
              </w:rPr>
              <w:t>ND</w:t>
            </w:r>
          </w:p>
        </w:tc>
        <w:tc>
          <w:tcPr>
            <w:tcW w:w="753" w:type="pct"/>
            <w:vAlign w:val="center"/>
          </w:tcPr>
          <w:p w14:paraId="03F02FE5">
            <w:pPr>
              <w:pStyle w:val="78"/>
              <w:rPr>
                <w:rFonts w:cs="Times New Roman"/>
              </w:rPr>
            </w:pPr>
            <w:r>
              <w:rPr>
                <w:rFonts w:cs="Times New Roman"/>
              </w:rPr>
              <w:t>8</w:t>
            </w:r>
          </w:p>
        </w:tc>
      </w:tr>
      <w:tr w14:paraId="280D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73CF8D9F">
            <w:pPr>
              <w:pStyle w:val="78"/>
              <w:rPr>
                <w:rFonts w:cs="Times New Roman"/>
              </w:rPr>
            </w:pPr>
          </w:p>
        </w:tc>
        <w:tc>
          <w:tcPr>
            <w:tcW w:w="560" w:type="pct"/>
            <w:vAlign w:val="center"/>
          </w:tcPr>
          <w:p w14:paraId="7C7910C8">
            <w:pPr>
              <w:pStyle w:val="78"/>
              <w:rPr>
                <w:rFonts w:cs="Times New Roman"/>
              </w:rPr>
            </w:pPr>
            <w:r>
              <w:rPr>
                <w:rFonts w:cs="Times New Roman"/>
              </w:rPr>
              <w:t>SH-6</w:t>
            </w:r>
          </w:p>
        </w:tc>
        <w:tc>
          <w:tcPr>
            <w:tcW w:w="639" w:type="pct"/>
            <w:vAlign w:val="center"/>
          </w:tcPr>
          <w:p w14:paraId="4B85CAF5">
            <w:pPr>
              <w:pStyle w:val="78"/>
              <w:rPr>
                <w:rFonts w:cs="Times New Roman"/>
              </w:rPr>
            </w:pPr>
            <w:r>
              <w:rPr>
                <w:rFonts w:cs="Times New Roman"/>
              </w:rPr>
              <w:t>0~0.2m</w:t>
            </w:r>
          </w:p>
        </w:tc>
        <w:tc>
          <w:tcPr>
            <w:tcW w:w="595" w:type="pct"/>
            <w:vAlign w:val="center"/>
          </w:tcPr>
          <w:p w14:paraId="66C7EE0C">
            <w:pPr>
              <w:pStyle w:val="78"/>
              <w:rPr>
                <w:rFonts w:cs="Times New Roman"/>
              </w:rPr>
            </w:pPr>
            <w:r>
              <w:rPr>
                <w:rFonts w:cs="Times New Roman"/>
              </w:rPr>
              <w:t>ND</w:t>
            </w:r>
          </w:p>
        </w:tc>
        <w:tc>
          <w:tcPr>
            <w:tcW w:w="595" w:type="pct"/>
            <w:vAlign w:val="center"/>
          </w:tcPr>
          <w:p w14:paraId="1F04226B">
            <w:pPr>
              <w:pStyle w:val="78"/>
              <w:rPr>
                <w:rFonts w:cs="Times New Roman"/>
              </w:rPr>
            </w:pPr>
            <w:r>
              <w:rPr>
                <w:rFonts w:cs="Times New Roman"/>
              </w:rPr>
              <w:t>ND</w:t>
            </w:r>
          </w:p>
        </w:tc>
        <w:tc>
          <w:tcPr>
            <w:tcW w:w="595" w:type="pct"/>
            <w:vAlign w:val="center"/>
          </w:tcPr>
          <w:p w14:paraId="7CA93776">
            <w:pPr>
              <w:pStyle w:val="78"/>
              <w:rPr>
                <w:rFonts w:cs="Times New Roman"/>
              </w:rPr>
            </w:pPr>
            <w:r>
              <w:rPr>
                <w:rFonts w:cs="Times New Roman"/>
              </w:rPr>
              <w:t>ND</w:t>
            </w:r>
          </w:p>
        </w:tc>
        <w:tc>
          <w:tcPr>
            <w:tcW w:w="595" w:type="pct"/>
            <w:vAlign w:val="center"/>
          </w:tcPr>
          <w:p w14:paraId="02C1ACD9">
            <w:pPr>
              <w:pStyle w:val="78"/>
              <w:rPr>
                <w:rFonts w:cs="Times New Roman"/>
              </w:rPr>
            </w:pPr>
            <w:r>
              <w:rPr>
                <w:rFonts w:cs="Times New Roman"/>
              </w:rPr>
              <w:t>ND</w:t>
            </w:r>
          </w:p>
        </w:tc>
        <w:tc>
          <w:tcPr>
            <w:tcW w:w="753" w:type="pct"/>
            <w:vAlign w:val="center"/>
          </w:tcPr>
          <w:p w14:paraId="5B10A16D">
            <w:pPr>
              <w:pStyle w:val="78"/>
              <w:rPr>
                <w:rFonts w:cs="Times New Roman"/>
              </w:rPr>
            </w:pPr>
            <w:r>
              <w:rPr>
                <w:rFonts w:cs="Times New Roman"/>
              </w:rPr>
              <w:t>10</w:t>
            </w:r>
          </w:p>
        </w:tc>
      </w:tr>
      <w:tr w14:paraId="2EEC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2FB14C75">
            <w:pPr>
              <w:pStyle w:val="78"/>
              <w:rPr>
                <w:rFonts w:cs="Times New Roman"/>
              </w:rPr>
            </w:pPr>
          </w:p>
        </w:tc>
        <w:tc>
          <w:tcPr>
            <w:tcW w:w="560" w:type="pct"/>
            <w:vAlign w:val="center"/>
          </w:tcPr>
          <w:p w14:paraId="3FCEFE58">
            <w:pPr>
              <w:pStyle w:val="78"/>
              <w:rPr>
                <w:rFonts w:cs="Times New Roman"/>
              </w:rPr>
            </w:pPr>
            <w:r>
              <w:rPr>
                <w:rFonts w:cs="Times New Roman"/>
              </w:rPr>
              <w:t>SH-7</w:t>
            </w:r>
          </w:p>
        </w:tc>
        <w:tc>
          <w:tcPr>
            <w:tcW w:w="639" w:type="pct"/>
            <w:vAlign w:val="center"/>
          </w:tcPr>
          <w:p w14:paraId="030047A5">
            <w:pPr>
              <w:pStyle w:val="78"/>
              <w:rPr>
                <w:rFonts w:cs="Times New Roman"/>
              </w:rPr>
            </w:pPr>
            <w:r>
              <w:rPr>
                <w:rFonts w:cs="Times New Roman"/>
              </w:rPr>
              <w:t>0~0.2m</w:t>
            </w:r>
          </w:p>
        </w:tc>
        <w:tc>
          <w:tcPr>
            <w:tcW w:w="595" w:type="pct"/>
            <w:vAlign w:val="center"/>
          </w:tcPr>
          <w:p w14:paraId="3CC937F8">
            <w:pPr>
              <w:pStyle w:val="78"/>
              <w:rPr>
                <w:rFonts w:cs="Times New Roman"/>
              </w:rPr>
            </w:pPr>
            <w:r>
              <w:rPr>
                <w:rFonts w:cs="Times New Roman"/>
              </w:rPr>
              <w:t>ND</w:t>
            </w:r>
          </w:p>
        </w:tc>
        <w:tc>
          <w:tcPr>
            <w:tcW w:w="595" w:type="pct"/>
            <w:vAlign w:val="center"/>
          </w:tcPr>
          <w:p w14:paraId="0E74F353">
            <w:pPr>
              <w:pStyle w:val="78"/>
              <w:rPr>
                <w:rFonts w:cs="Times New Roman"/>
              </w:rPr>
            </w:pPr>
            <w:r>
              <w:rPr>
                <w:rFonts w:cs="Times New Roman"/>
              </w:rPr>
              <w:t>ND</w:t>
            </w:r>
          </w:p>
        </w:tc>
        <w:tc>
          <w:tcPr>
            <w:tcW w:w="595" w:type="pct"/>
            <w:vAlign w:val="center"/>
          </w:tcPr>
          <w:p w14:paraId="37A7738C">
            <w:pPr>
              <w:pStyle w:val="78"/>
              <w:rPr>
                <w:rFonts w:cs="Times New Roman"/>
              </w:rPr>
            </w:pPr>
            <w:r>
              <w:rPr>
                <w:rFonts w:cs="Times New Roman"/>
              </w:rPr>
              <w:t>ND</w:t>
            </w:r>
          </w:p>
        </w:tc>
        <w:tc>
          <w:tcPr>
            <w:tcW w:w="595" w:type="pct"/>
            <w:vAlign w:val="center"/>
          </w:tcPr>
          <w:p w14:paraId="2E0884C6">
            <w:pPr>
              <w:pStyle w:val="78"/>
              <w:rPr>
                <w:rFonts w:cs="Times New Roman"/>
              </w:rPr>
            </w:pPr>
            <w:r>
              <w:rPr>
                <w:rFonts w:cs="Times New Roman"/>
              </w:rPr>
              <w:t>ND</w:t>
            </w:r>
          </w:p>
        </w:tc>
        <w:tc>
          <w:tcPr>
            <w:tcW w:w="753" w:type="pct"/>
            <w:vAlign w:val="center"/>
          </w:tcPr>
          <w:p w14:paraId="17DA5B47">
            <w:pPr>
              <w:pStyle w:val="78"/>
              <w:rPr>
                <w:rFonts w:cs="Times New Roman"/>
              </w:rPr>
            </w:pPr>
            <w:r>
              <w:rPr>
                <w:rFonts w:cs="Times New Roman"/>
              </w:rPr>
              <w:t>7</w:t>
            </w:r>
          </w:p>
        </w:tc>
      </w:tr>
      <w:tr w14:paraId="542A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3D4D400D">
            <w:pPr>
              <w:pStyle w:val="78"/>
              <w:rPr>
                <w:rFonts w:cs="Times New Roman"/>
              </w:rPr>
            </w:pPr>
          </w:p>
        </w:tc>
        <w:tc>
          <w:tcPr>
            <w:tcW w:w="560" w:type="pct"/>
            <w:vAlign w:val="center"/>
          </w:tcPr>
          <w:p w14:paraId="579F01EC">
            <w:pPr>
              <w:pStyle w:val="78"/>
              <w:rPr>
                <w:rFonts w:cs="Times New Roman"/>
              </w:rPr>
            </w:pPr>
            <w:r>
              <w:rPr>
                <w:rFonts w:cs="Times New Roman"/>
              </w:rPr>
              <w:t>SH-9</w:t>
            </w:r>
          </w:p>
        </w:tc>
        <w:tc>
          <w:tcPr>
            <w:tcW w:w="639" w:type="pct"/>
            <w:vAlign w:val="center"/>
          </w:tcPr>
          <w:p w14:paraId="0A19945A">
            <w:pPr>
              <w:pStyle w:val="78"/>
              <w:rPr>
                <w:rFonts w:cs="Times New Roman"/>
              </w:rPr>
            </w:pPr>
            <w:r>
              <w:rPr>
                <w:rFonts w:cs="Times New Roman"/>
              </w:rPr>
              <w:t>0~0.2m</w:t>
            </w:r>
          </w:p>
        </w:tc>
        <w:tc>
          <w:tcPr>
            <w:tcW w:w="595" w:type="pct"/>
            <w:vAlign w:val="center"/>
          </w:tcPr>
          <w:p w14:paraId="125CFD77">
            <w:pPr>
              <w:pStyle w:val="78"/>
              <w:rPr>
                <w:rFonts w:cs="Times New Roman"/>
              </w:rPr>
            </w:pPr>
            <w:r>
              <w:rPr>
                <w:rFonts w:cs="Times New Roman"/>
              </w:rPr>
              <w:t>ND</w:t>
            </w:r>
          </w:p>
        </w:tc>
        <w:tc>
          <w:tcPr>
            <w:tcW w:w="595" w:type="pct"/>
            <w:vAlign w:val="center"/>
          </w:tcPr>
          <w:p w14:paraId="14747D9F">
            <w:pPr>
              <w:pStyle w:val="78"/>
              <w:rPr>
                <w:rFonts w:cs="Times New Roman"/>
              </w:rPr>
            </w:pPr>
            <w:r>
              <w:rPr>
                <w:rFonts w:cs="Times New Roman"/>
              </w:rPr>
              <w:t>ND</w:t>
            </w:r>
          </w:p>
        </w:tc>
        <w:tc>
          <w:tcPr>
            <w:tcW w:w="595" w:type="pct"/>
            <w:vAlign w:val="center"/>
          </w:tcPr>
          <w:p w14:paraId="540409DD">
            <w:pPr>
              <w:pStyle w:val="78"/>
              <w:rPr>
                <w:rFonts w:cs="Times New Roman"/>
              </w:rPr>
            </w:pPr>
            <w:r>
              <w:rPr>
                <w:rFonts w:cs="Times New Roman"/>
              </w:rPr>
              <w:t>ND</w:t>
            </w:r>
          </w:p>
        </w:tc>
        <w:tc>
          <w:tcPr>
            <w:tcW w:w="595" w:type="pct"/>
            <w:vAlign w:val="center"/>
          </w:tcPr>
          <w:p w14:paraId="39FB399A">
            <w:pPr>
              <w:pStyle w:val="78"/>
              <w:rPr>
                <w:rFonts w:cs="Times New Roman"/>
              </w:rPr>
            </w:pPr>
            <w:r>
              <w:rPr>
                <w:rFonts w:cs="Times New Roman"/>
              </w:rPr>
              <w:t>ND</w:t>
            </w:r>
          </w:p>
        </w:tc>
        <w:tc>
          <w:tcPr>
            <w:tcW w:w="753" w:type="pct"/>
            <w:vAlign w:val="center"/>
          </w:tcPr>
          <w:p w14:paraId="75DDAC5F">
            <w:pPr>
              <w:pStyle w:val="78"/>
              <w:rPr>
                <w:rFonts w:cs="Times New Roman"/>
              </w:rPr>
            </w:pPr>
            <w:r>
              <w:rPr>
                <w:rFonts w:cs="Times New Roman"/>
              </w:rPr>
              <w:t>11</w:t>
            </w:r>
          </w:p>
        </w:tc>
      </w:tr>
      <w:tr w14:paraId="36CE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0633B3D9">
            <w:pPr>
              <w:pStyle w:val="78"/>
              <w:rPr>
                <w:rFonts w:cs="Times New Roman"/>
              </w:rPr>
            </w:pPr>
          </w:p>
        </w:tc>
        <w:tc>
          <w:tcPr>
            <w:tcW w:w="560" w:type="pct"/>
            <w:vAlign w:val="center"/>
          </w:tcPr>
          <w:p w14:paraId="08874B3A">
            <w:pPr>
              <w:pStyle w:val="78"/>
              <w:rPr>
                <w:rFonts w:cs="Times New Roman"/>
              </w:rPr>
            </w:pPr>
            <w:r>
              <w:rPr>
                <w:rFonts w:cs="Times New Roman"/>
              </w:rPr>
              <w:t>SH-10</w:t>
            </w:r>
          </w:p>
        </w:tc>
        <w:tc>
          <w:tcPr>
            <w:tcW w:w="639" w:type="pct"/>
            <w:vAlign w:val="center"/>
          </w:tcPr>
          <w:p w14:paraId="495D96CF">
            <w:pPr>
              <w:pStyle w:val="78"/>
              <w:rPr>
                <w:rFonts w:cs="Times New Roman"/>
              </w:rPr>
            </w:pPr>
            <w:r>
              <w:rPr>
                <w:rFonts w:cs="Times New Roman"/>
              </w:rPr>
              <w:t>0~0.2m</w:t>
            </w:r>
          </w:p>
        </w:tc>
        <w:tc>
          <w:tcPr>
            <w:tcW w:w="595" w:type="pct"/>
            <w:vAlign w:val="center"/>
          </w:tcPr>
          <w:p w14:paraId="266F5985">
            <w:pPr>
              <w:pStyle w:val="78"/>
              <w:rPr>
                <w:rFonts w:cs="Times New Roman"/>
              </w:rPr>
            </w:pPr>
            <w:r>
              <w:rPr>
                <w:rFonts w:cs="Times New Roman"/>
              </w:rPr>
              <w:t>ND</w:t>
            </w:r>
          </w:p>
        </w:tc>
        <w:tc>
          <w:tcPr>
            <w:tcW w:w="595" w:type="pct"/>
            <w:vAlign w:val="center"/>
          </w:tcPr>
          <w:p w14:paraId="18CA0063">
            <w:pPr>
              <w:pStyle w:val="78"/>
              <w:rPr>
                <w:rFonts w:cs="Times New Roman"/>
              </w:rPr>
            </w:pPr>
            <w:r>
              <w:rPr>
                <w:rFonts w:cs="Times New Roman"/>
              </w:rPr>
              <w:t>ND</w:t>
            </w:r>
          </w:p>
        </w:tc>
        <w:tc>
          <w:tcPr>
            <w:tcW w:w="595" w:type="pct"/>
            <w:vAlign w:val="center"/>
          </w:tcPr>
          <w:p w14:paraId="187D8ADE">
            <w:pPr>
              <w:pStyle w:val="78"/>
              <w:rPr>
                <w:rFonts w:cs="Times New Roman"/>
              </w:rPr>
            </w:pPr>
            <w:r>
              <w:rPr>
                <w:rFonts w:cs="Times New Roman"/>
              </w:rPr>
              <w:t>ND</w:t>
            </w:r>
          </w:p>
        </w:tc>
        <w:tc>
          <w:tcPr>
            <w:tcW w:w="595" w:type="pct"/>
            <w:vAlign w:val="center"/>
          </w:tcPr>
          <w:p w14:paraId="23452344">
            <w:pPr>
              <w:pStyle w:val="78"/>
              <w:rPr>
                <w:rFonts w:cs="Times New Roman"/>
              </w:rPr>
            </w:pPr>
            <w:r>
              <w:rPr>
                <w:rFonts w:cs="Times New Roman"/>
              </w:rPr>
              <w:t>ND</w:t>
            </w:r>
          </w:p>
        </w:tc>
        <w:tc>
          <w:tcPr>
            <w:tcW w:w="753" w:type="pct"/>
            <w:vAlign w:val="center"/>
          </w:tcPr>
          <w:p w14:paraId="2E66BF85">
            <w:pPr>
              <w:pStyle w:val="78"/>
              <w:rPr>
                <w:rFonts w:cs="Times New Roman"/>
              </w:rPr>
            </w:pPr>
            <w:r>
              <w:rPr>
                <w:rFonts w:cs="Times New Roman"/>
              </w:rPr>
              <w:t>15</w:t>
            </w:r>
          </w:p>
        </w:tc>
      </w:tr>
      <w:tr w14:paraId="1A3B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68" w:type="pct"/>
            <w:vMerge w:val="continue"/>
            <w:vAlign w:val="center"/>
          </w:tcPr>
          <w:p w14:paraId="1DADF6F7">
            <w:pPr>
              <w:pStyle w:val="78"/>
              <w:rPr>
                <w:rFonts w:cs="Times New Roman"/>
              </w:rPr>
            </w:pPr>
          </w:p>
        </w:tc>
        <w:tc>
          <w:tcPr>
            <w:tcW w:w="560" w:type="pct"/>
            <w:vAlign w:val="center"/>
          </w:tcPr>
          <w:p w14:paraId="35E825D7">
            <w:pPr>
              <w:pStyle w:val="78"/>
              <w:rPr>
                <w:rFonts w:cs="Times New Roman"/>
              </w:rPr>
            </w:pPr>
            <w:r>
              <w:rPr>
                <w:rFonts w:cs="Times New Roman"/>
              </w:rPr>
              <w:t>SH-11</w:t>
            </w:r>
          </w:p>
        </w:tc>
        <w:tc>
          <w:tcPr>
            <w:tcW w:w="639" w:type="pct"/>
            <w:vAlign w:val="center"/>
          </w:tcPr>
          <w:p w14:paraId="26008738">
            <w:pPr>
              <w:pStyle w:val="78"/>
              <w:rPr>
                <w:rFonts w:cs="Times New Roman"/>
              </w:rPr>
            </w:pPr>
            <w:r>
              <w:rPr>
                <w:rFonts w:cs="Times New Roman"/>
              </w:rPr>
              <w:t>0~0.2m</w:t>
            </w:r>
          </w:p>
        </w:tc>
        <w:tc>
          <w:tcPr>
            <w:tcW w:w="595" w:type="pct"/>
            <w:vAlign w:val="center"/>
          </w:tcPr>
          <w:p w14:paraId="7D502836">
            <w:pPr>
              <w:pStyle w:val="78"/>
              <w:rPr>
                <w:rFonts w:cs="Times New Roman"/>
              </w:rPr>
            </w:pPr>
            <w:r>
              <w:rPr>
                <w:rFonts w:cs="Times New Roman"/>
              </w:rPr>
              <w:t>ND</w:t>
            </w:r>
          </w:p>
        </w:tc>
        <w:tc>
          <w:tcPr>
            <w:tcW w:w="595" w:type="pct"/>
            <w:vAlign w:val="center"/>
          </w:tcPr>
          <w:p w14:paraId="07239AA7">
            <w:pPr>
              <w:pStyle w:val="78"/>
              <w:rPr>
                <w:rFonts w:cs="Times New Roman"/>
              </w:rPr>
            </w:pPr>
            <w:r>
              <w:rPr>
                <w:rFonts w:cs="Times New Roman"/>
              </w:rPr>
              <w:t>ND</w:t>
            </w:r>
          </w:p>
        </w:tc>
        <w:tc>
          <w:tcPr>
            <w:tcW w:w="595" w:type="pct"/>
            <w:vAlign w:val="center"/>
          </w:tcPr>
          <w:p w14:paraId="7BF0B608">
            <w:pPr>
              <w:pStyle w:val="78"/>
              <w:rPr>
                <w:rFonts w:cs="Times New Roman"/>
              </w:rPr>
            </w:pPr>
            <w:r>
              <w:rPr>
                <w:rFonts w:cs="Times New Roman"/>
              </w:rPr>
              <w:t>ND</w:t>
            </w:r>
          </w:p>
        </w:tc>
        <w:tc>
          <w:tcPr>
            <w:tcW w:w="595" w:type="pct"/>
            <w:vAlign w:val="center"/>
          </w:tcPr>
          <w:p w14:paraId="5C84480A">
            <w:pPr>
              <w:pStyle w:val="78"/>
              <w:rPr>
                <w:rFonts w:cs="Times New Roman"/>
              </w:rPr>
            </w:pPr>
            <w:r>
              <w:rPr>
                <w:rFonts w:cs="Times New Roman"/>
              </w:rPr>
              <w:t>ND</w:t>
            </w:r>
          </w:p>
        </w:tc>
        <w:tc>
          <w:tcPr>
            <w:tcW w:w="753" w:type="pct"/>
            <w:vAlign w:val="center"/>
          </w:tcPr>
          <w:p w14:paraId="59CCA0A4">
            <w:pPr>
              <w:pStyle w:val="78"/>
              <w:rPr>
                <w:rFonts w:cs="Times New Roman"/>
              </w:rPr>
            </w:pPr>
            <w:r>
              <w:rPr>
                <w:rFonts w:cs="Times New Roman"/>
              </w:rPr>
              <w:t>14</w:t>
            </w:r>
          </w:p>
        </w:tc>
      </w:tr>
    </w:tbl>
    <w:p w14:paraId="7BAF9C64">
      <w:pPr>
        <w:rPr>
          <w:rFonts w:ascii="Times New Roman" w:hAnsi="Times New Roman" w:cs="Times New Roman"/>
        </w:rPr>
      </w:pPr>
    </w:p>
    <w:p w14:paraId="1B0F9F51">
      <w:pPr>
        <w:rPr>
          <w:rFonts w:ascii="Times New Roman" w:hAnsi="Times New Roman" w:cs="Times New Roman"/>
        </w:rPr>
        <w:sectPr>
          <w:pgSz w:w="16838" w:h="11906" w:orient="landscape"/>
          <w:pgMar w:top="1701" w:right="1418" w:bottom="1701" w:left="1418" w:header="851" w:footer="992" w:gutter="0"/>
          <w:cols w:space="425" w:num="1"/>
          <w:docGrid w:linePitch="326" w:charSpace="0"/>
        </w:sectPr>
      </w:pPr>
    </w:p>
    <w:p w14:paraId="415FAAFC">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24</w:t>
      </w:r>
      <w:r>
        <w:rPr>
          <w:rFonts w:cs="Times New Roman"/>
          <w:color w:val="auto"/>
        </w:rPr>
        <w:fldChar w:fldCharType="end"/>
      </w:r>
      <w:r>
        <w:rPr>
          <w:rFonts w:cs="Times New Roman"/>
          <w:color w:val="auto"/>
        </w:rPr>
        <w:t xml:space="preserve"> 土壤环境质量现状监测结果标准指数</w:t>
      </w:r>
    </w:p>
    <w:tbl>
      <w:tblPr>
        <w:tblStyle w:val="41"/>
        <w:tblW w:w="20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537"/>
        <w:gridCol w:w="1537"/>
        <w:gridCol w:w="1537"/>
        <w:gridCol w:w="1538"/>
        <w:gridCol w:w="1537"/>
        <w:gridCol w:w="1537"/>
        <w:gridCol w:w="1537"/>
        <w:gridCol w:w="1538"/>
        <w:gridCol w:w="1537"/>
        <w:gridCol w:w="1537"/>
        <w:gridCol w:w="1537"/>
        <w:gridCol w:w="1538"/>
      </w:tblGrid>
      <w:tr w14:paraId="54F8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Merge w:val="restart"/>
            <w:vAlign w:val="center"/>
          </w:tcPr>
          <w:p w14:paraId="0E2F671B">
            <w:pPr>
              <w:pStyle w:val="21"/>
            </w:pPr>
            <w:r>
              <w:t>监测点位</w:t>
            </w:r>
          </w:p>
        </w:tc>
        <w:tc>
          <w:tcPr>
            <w:tcW w:w="6149" w:type="dxa"/>
            <w:gridSpan w:val="4"/>
            <w:vAlign w:val="center"/>
          </w:tcPr>
          <w:p w14:paraId="4B933D51">
            <w:pPr>
              <w:pStyle w:val="21"/>
            </w:pPr>
            <w:r>
              <w:t>SH-1</w:t>
            </w:r>
          </w:p>
        </w:tc>
        <w:tc>
          <w:tcPr>
            <w:tcW w:w="6149" w:type="dxa"/>
            <w:gridSpan w:val="4"/>
            <w:vAlign w:val="center"/>
          </w:tcPr>
          <w:p w14:paraId="6AA42357">
            <w:pPr>
              <w:pStyle w:val="21"/>
            </w:pPr>
            <w:r>
              <w:t>SH-2</w:t>
            </w:r>
          </w:p>
        </w:tc>
        <w:tc>
          <w:tcPr>
            <w:tcW w:w="6149" w:type="dxa"/>
            <w:gridSpan w:val="4"/>
            <w:vAlign w:val="center"/>
          </w:tcPr>
          <w:p w14:paraId="35ECB56B">
            <w:pPr>
              <w:pStyle w:val="21"/>
            </w:pPr>
            <w:r>
              <w:t>SH-3</w:t>
            </w:r>
          </w:p>
        </w:tc>
      </w:tr>
      <w:tr w14:paraId="51EE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Merge w:val="continue"/>
            <w:vAlign w:val="center"/>
          </w:tcPr>
          <w:p w14:paraId="62B2E305">
            <w:pPr>
              <w:pStyle w:val="21"/>
            </w:pPr>
          </w:p>
        </w:tc>
        <w:tc>
          <w:tcPr>
            <w:tcW w:w="1537" w:type="dxa"/>
            <w:vAlign w:val="center"/>
          </w:tcPr>
          <w:p w14:paraId="03BC18D4">
            <w:pPr>
              <w:pStyle w:val="21"/>
            </w:pPr>
            <w:r>
              <w:t>0~0.5m</w:t>
            </w:r>
          </w:p>
        </w:tc>
        <w:tc>
          <w:tcPr>
            <w:tcW w:w="1537" w:type="dxa"/>
            <w:vAlign w:val="center"/>
          </w:tcPr>
          <w:p w14:paraId="6211209B">
            <w:pPr>
              <w:pStyle w:val="21"/>
            </w:pPr>
            <w:r>
              <w:t>1.0~1.5m</w:t>
            </w:r>
          </w:p>
        </w:tc>
        <w:tc>
          <w:tcPr>
            <w:tcW w:w="1537" w:type="dxa"/>
            <w:vAlign w:val="center"/>
          </w:tcPr>
          <w:p w14:paraId="461CBEDD">
            <w:pPr>
              <w:pStyle w:val="21"/>
            </w:pPr>
            <w:r>
              <w:t>2.0~2.5m</w:t>
            </w:r>
          </w:p>
        </w:tc>
        <w:tc>
          <w:tcPr>
            <w:tcW w:w="1538" w:type="dxa"/>
            <w:vAlign w:val="center"/>
          </w:tcPr>
          <w:p w14:paraId="57D2F4FB">
            <w:pPr>
              <w:pStyle w:val="21"/>
            </w:pPr>
            <w:r>
              <w:t>4.0~4.5m</w:t>
            </w:r>
          </w:p>
        </w:tc>
        <w:tc>
          <w:tcPr>
            <w:tcW w:w="1537" w:type="dxa"/>
            <w:vAlign w:val="center"/>
          </w:tcPr>
          <w:p w14:paraId="530D3313">
            <w:pPr>
              <w:pStyle w:val="21"/>
            </w:pPr>
            <w:r>
              <w:t>0~0.5m</w:t>
            </w:r>
          </w:p>
        </w:tc>
        <w:tc>
          <w:tcPr>
            <w:tcW w:w="1537" w:type="dxa"/>
            <w:vAlign w:val="center"/>
          </w:tcPr>
          <w:p w14:paraId="3C6D3D57">
            <w:pPr>
              <w:pStyle w:val="21"/>
            </w:pPr>
            <w:r>
              <w:t>1.0~1.5m</w:t>
            </w:r>
          </w:p>
        </w:tc>
        <w:tc>
          <w:tcPr>
            <w:tcW w:w="1537" w:type="dxa"/>
            <w:vAlign w:val="center"/>
          </w:tcPr>
          <w:p w14:paraId="45D6F97D">
            <w:pPr>
              <w:pStyle w:val="21"/>
            </w:pPr>
            <w:r>
              <w:t>2.0~2.5m</w:t>
            </w:r>
          </w:p>
        </w:tc>
        <w:tc>
          <w:tcPr>
            <w:tcW w:w="1538" w:type="dxa"/>
            <w:vAlign w:val="center"/>
          </w:tcPr>
          <w:p w14:paraId="632E03CE">
            <w:pPr>
              <w:pStyle w:val="21"/>
            </w:pPr>
            <w:r>
              <w:t>4.0~4.5m</w:t>
            </w:r>
          </w:p>
        </w:tc>
        <w:tc>
          <w:tcPr>
            <w:tcW w:w="1537" w:type="dxa"/>
            <w:vAlign w:val="center"/>
          </w:tcPr>
          <w:p w14:paraId="7754D60A">
            <w:pPr>
              <w:pStyle w:val="21"/>
            </w:pPr>
            <w:r>
              <w:t>0~0.5m</w:t>
            </w:r>
          </w:p>
        </w:tc>
        <w:tc>
          <w:tcPr>
            <w:tcW w:w="1537" w:type="dxa"/>
            <w:vAlign w:val="center"/>
          </w:tcPr>
          <w:p w14:paraId="0CA44688">
            <w:pPr>
              <w:pStyle w:val="21"/>
            </w:pPr>
            <w:r>
              <w:t>1.0~1.5m</w:t>
            </w:r>
          </w:p>
        </w:tc>
        <w:tc>
          <w:tcPr>
            <w:tcW w:w="1537" w:type="dxa"/>
            <w:vAlign w:val="center"/>
          </w:tcPr>
          <w:p w14:paraId="15327D7D">
            <w:pPr>
              <w:pStyle w:val="21"/>
            </w:pPr>
            <w:r>
              <w:t>2.0~2.5m</w:t>
            </w:r>
          </w:p>
        </w:tc>
        <w:tc>
          <w:tcPr>
            <w:tcW w:w="1538" w:type="dxa"/>
            <w:vAlign w:val="center"/>
          </w:tcPr>
          <w:p w14:paraId="4D04F316">
            <w:pPr>
              <w:pStyle w:val="21"/>
            </w:pPr>
            <w:r>
              <w:t>4.0~4.5m</w:t>
            </w:r>
          </w:p>
        </w:tc>
      </w:tr>
      <w:tr w14:paraId="4348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139CB6A">
            <w:pPr>
              <w:pStyle w:val="21"/>
            </w:pPr>
            <w:r>
              <w:t>六价铬</w:t>
            </w:r>
          </w:p>
        </w:tc>
        <w:tc>
          <w:tcPr>
            <w:tcW w:w="1537" w:type="dxa"/>
            <w:noWrap/>
            <w:vAlign w:val="center"/>
          </w:tcPr>
          <w:p w14:paraId="613D84A3">
            <w:pPr>
              <w:pStyle w:val="21"/>
            </w:pPr>
            <w:r>
              <w:t>0.0439</w:t>
            </w:r>
          </w:p>
        </w:tc>
        <w:tc>
          <w:tcPr>
            <w:tcW w:w="1537" w:type="dxa"/>
            <w:noWrap/>
            <w:vAlign w:val="center"/>
          </w:tcPr>
          <w:p w14:paraId="101646F9">
            <w:pPr>
              <w:pStyle w:val="21"/>
            </w:pPr>
            <w:r>
              <w:t>0.0439</w:t>
            </w:r>
          </w:p>
        </w:tc>
        <w:tc>
          <w:tcPr>
            <w:tcW w:w="1537" w:type="dxa"/>
            <w:noWrap/>
            <w:vAlign w:val="center"/>
          </w:tcPr>
          <w:p w14:paraId="41AD6532">
            <w:pPr>
              <w:pStyle w:val="21"/>
            </w:pPr>
            <w:r>
              <w:t>0.0439</w:t>
            </w:r>
          </w:p>
        </w:tc>
        <w:tc>
          <w:tcPr>
            <w:tcW w:w="1538" w:type="dxa"/>
            <w:noWrap/>
            <w:vAlign w:val="center"/>
          </w:tcPr>
          <w:p w14:paraId="3410057C">
            <w:pPr>
              <w:pStyle w:val="21"/>
            </w:pPr>
            <w:r>
              <w:t>0.0439</w:t>
            </w:r>
          </w:p>
        </w:tc>
        <w:tc>
          <w:tcPr>
            <w:tcW w:w="1537" w:type="dxa"/>
            <w:noWrap/>
            <w:vAlign w:val="center"/>
          </w:tcPr>
          <w:p w14:paraId="65AF231D">
            <w:pPr>
              <w:pStyle w:val="21"/>
            </w:pPr>
            <w:r>
              <w:t>0.0439</w:t>
            </w:r>
          </w:p>
        </w:tc>
        <w:tc>
          <w:tcPr>
            <w:tcW w:w="1537" w:type="dxa"/>
            <w:noWrap/>
            <w:vAlign w:val="center"/>
          </w:tcPr>
          <w:p w14:paraId="0AE2EACD">
            <w:pPr>
              <w:pStyle w:val="21"/>
            </w:pPr>
            <w:r>
              <w:t>0.0439</w:t>
            </w:r>
          </w:p>
        </w:tc>
        <w:tc>
          <w:tcPr>
            <w:tcW w:w="1537" w:type="dxa"/>
            <w:noWrap/>
            <w:vAlign w:val="center"/>
          </w:tcPr>
          <w:p w14:paraId="3E567717">
            <w:pPr>
              <w:pStyle w:val="21"/>
            </w:pPr>
            <w:r>
              <w:t>0.0439</w:t>
            </w:r>
          </w:p>
        </w:tc>
        <w:tc>
          <w:tcPr>
            <w:tcW w:w="1538" w:type="dxa"/>
            <w:noWrap/>
            <w:vAlign w:val="center"/>
          </w:tcPr>
          <w:p w14:paraId="1623852D">
            <w:pPr>
              <w:pStyle w:val="21"/>
            </w:pPr>
            <w:r>
              <w:t>0.0439</w:t>
            </w:r>
          </w:p>
        </w:tc>
        <w:tc>
          <w:tcPr>
            <w:tcW w:w="1537" w:type="dxa"/>
            <w:noWrap/>
            <w:vAlign w:val="center"/>
          </w:tcPr>
          <w:p w14:paraId="6BB8BE53">
            <w:pPr>
              <w:pStyle w:val="21"/>
            </w:pPr>
            <w:r>
              <w:t>0.0439</w:t>
            </w:r>
          </w:p>
        </w:tc>
        <w:tc>
          <w:tcPr>
            <w:tcW w:w="1537" w:type="dxa"/>
            <w:noWrap/>
            <w:vAlign w:val="center"/>
          </w:tcPr>
          <w:p w14:paraId="296A7216">
            <w:pPr>
              <w:pStyle w:val="21"/>
            </w:pPr>
            <w:r>
              <w:t>0.0439</w:t>
            </w:r>
          </w:p>
        </w:tc>
        <w:tc>
          <w:tcPr>
            <w:tcW w:w="1537" w:type="dxa"/>
            <w:noWrap/>
            <w:vAlign w:val="center"/>
          </w:tcPr>
          <w:p w14:paraId="73A77A40">
            <w:pPr>
              <w:pStyle w:val="21"/>
            </w:pPr>
            <w:r>
              <w:t>0.0439</w:t>
            </w:r>
          </w:p>
        </w:tc>
        <w:tc>
          <w:tcPr>
            <w:tcW w:w="1538" w:type="dxa"/>
            <w:noWrap/>
            <w:vAlign w:val="center"/>
          </w:tcPr>
          <w:p w14:paraId="7B09D54B">
            <w:pPr>
              <w:pStyle w:val="21"/>
            </w:pPr>
            <w:r>
              <w:t>0.0439</w:t>
            </w:r>
          </w:p>
        </w:tc>
      </w:tr>
      <w:tr w14:paraId="69AA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38BF82E">
            <w:pPr>
              <w:pStyle w:val="21"/>
            </w:pPr>
            <w:r>
              <w:t>总汞</w:t>
            </w:r>
          </w:p>
        </w:tc>
        <w:tc>
          <w:tcPr>
            <w:tcW w:w="1537" w:type="dxa"/>
            <w:noWrap/>
            <w:vAlign w:val="center"/>
          </w:tcPr>
          <w:p w14:paraId="3BBCD7F9">
            <w:pPr>
              <w:pStyle w:val="21"/>
            </w:pPr>
            <w:r>
              <w:t>0.0006</w:t>
            </w:r>
          </w:p>
        </w:tc>
        <w:tc>
          <w:tcPr>
            <w:tcW w:w="1537" w:type="dxa"/>
            <w:noWrap/>
            <w:vAlign w:val="center"/>
          </w:tcPr>
          <w:p w14:paraId="56B64E70">
            <w:pPr>
              <w:pStyle w:val="21"/>
            </w:pPr>
            <w:r>
              <w:t>0.0006</w:t>
            </w:r>
          </w:p>
        </w:tc>
        <w:tc>
          <w:tcPr>
            <w:tcW w:w="1537" w:type="dxa"/>
            <w:noWrap/>
            <w:vAlign w:val="center"/>
          </w:tcPr>
          <w:p w14:paraId="2AEBF681">
            <w:pPr>
              <w:pStyle w:val="21"/>
            </w:pPr>
            <w:r>
              <w:t>0.0005</w:t>
            </w:r>
          </w:p>
        </w:tc>
        <w:tc>
          <w:tcPr>
            <w:tcW w:w="1538" w:type="dxa"/>
            <w:noWrap/>
            <w:vAlign w:val="center"/>
          </w:tcPr>
          <w:p w14:paraId="395C8835">
            <w:pPr>
              <w:pStyle w:val="21"/>
            </w:pPr>
            <w:r>
              <w:t>0.0005</w:t>
            </w:r>
          </w:p>
        </w:tc>
        <w:tc>
          <w:tcPr>
            <w:tcW w:w="1537" w:type="dxa"/>
            <w:noWrap/>
            <w:vAlign w:val="center"/>
          </w:tcPr>
          <w:p w14:paraId="2DE22ED3">
            <w:pPr>
              <w:pStyle w:val="21"/>
            </w:pPr>
            <w:r>
              <w:t>0.0003</w:t>
            </w:r>
          </w:p>
        </w:tc>
        <w:tc>
          <w:tcPr>
            <w:tcW w:w="1537" w:type="dxa"/>
            <w:noWrap/>
            <w:vAlign w:val="center"/>
          </w:tcPr>
          <w:p w14:paraId="592B18C3">
            <w:pPr>
              <w:pStyle w:val="21"/>
            </w:pPr>
            <w:r>
              <w:t>0.0002</w:t>
            </w:r>
          </w:p>
        </w:tc>
        <w:tc>
          <w:tcPr>
            <w:tcW w:w="1537" w:type="dxa"/>
            <w:noWrap/>
            <w:vAlign w:val="center"/>
          </w:tcPr>
          <w:p w14:paraId="6561CEF3">
            <w:pPr>
              <w:pStyle w:val="21"/>
            </w:pPr>
            <w:r>
              <w:t>0.0002</w:t>
            </w:r>
          </w:p>
        </w:tc>
        <w:tc>
          <w:tcPr>
            <w:tcW w:w="1538" w:type="dxa"/>
            <w:noWrap/>
            <w:vAlign w:val="center"/>
          </w:tcPr>
          <w:p w14:paraId="744D1F82">
            <w:pPr>
              <w:pStyle w:val="21"/>
            </w:pPr>
            <w:r>
              <w:t>0.0002</w:t>
            </w:r>
          </w:p>
        </w:tc>
        <w:tc>
          <w:tcPr>
            <w:tcW w:w="1537" w:type="dxa"/>
            <w:noWrap/>
            <w:vAlign w:val="center"/>
          </w:tcPr>
          <w:p w14:paraId="4DBEB942">
            <w:pPr>
              <w:pStyle w:val="21"/>
            </w:pPr>
            <w:r>
              <w:t>0.0003</w:t>
            </w:r>
          </w:p>
        </w:tc>
        <w:tc>
          <w:tcPr>
            <w:tcW w:w="1537" w:type="dxa"/>
            <w:noWrap/>
            <w:vAlign w:val="center"/>
          </w:tcPr>
          <w:p w14:paraId="28D5FCB5">
            <w:pPr>
              <w:pStyle w:val="21"/>
            </w:pPr>
            <w:r>
              <w:t>0.0002</w:t>
            </w:r>
          </w:p>
        </w:tc>
        <w:tc>
          <w:tcPr>
            <w:tcW w:w="1537" w:type="dxa"/>
            <w:noWrap/>
            <w:vAlign w:val="center"/>
          </w:tcPr>
          <w:p w14:paraId="344C7C87">
            <w:pPr>
              <w:pStyle w:val="21"/>
            </w:pPr>
            <w:r>
              <w:t>0.0002</w:t>
            </w:r>
          </w:p>
        </w:tc>
        <w:tc>
          <w:tcPr>
            <w:tcW w:w="1538" w:type="dxa"/>
            <w:noWrap/>
            <w:vAlign w:val="center"/>
          </w:tcPr>
          <w:p w14:paraId="75521989">
            <w:pPr>
              <w:pStyle w:val="21"/>
            </w:pPr>
            <w:r>
              <w:t>0.0001</w:t>
            </w:r>
          </w:p>
        </w:tc>
      </w:tr>
      <w:tr w14:paraId="38BF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140AF09">
            <w:pPr>
              <w:pStyle w:val="21"/>
            </w:pPr>
            <w:r>
              <w:t>总砷</w:t>
            </w:r>
          </w:p>
        </w:tc>
        <w:tc>
          <w:tcPr>
            <w:tcW w:w="1537" w:type="dxa"/>
            <w:noWrap/>
            <w:vAlign w:val="center"/>
          </w:tcPr>
          <w:p w14:paraId="3987BC25">
            <w:pPr>
              <w:pStyle w:val="21"/>
            </w:pPr>
            <w:r>
              <w:t>0.0210</w:t>
            </w:r>
          </w:p>
        </w:tc>
        <w:tc>
          <w:tcPr>
            <w:tcW w:w="1537" w:type="dxa"/>
            <w:noWrap/>
            <w:vAlign w:val="center"/>
          </w:tcPr>
          <w:p w14:paraId="2749A30C">
            <w:pPr>
              <w:pStyle w:val="21"/>
            </w:pPr>
            <w:r>
              <w:t>0.0145</w:t>
            </w:r>
          </w:p>
        </w:tc>
        <w:tc>
          <w:tcPr>
            <w:tcW w:w="1537" w:type="dxa"/>
            <w:noWrap/>
            <w:vAlign w:val="center"/>
          </w:tcPr>
          <w:p w14:paraId="4F00C166">
            <w:pPr>
              <w:pStyle w:val="21"/>
            </w:pPr>
            <w:r>
              <w:t>0.0183</w:t>
            </w:r>
          </w:p>
        </w:tc>
        <w:tc>
          <w:tcPr>
            <w:tcW w:w="1538" w:type="dxa"/>
            <w:noWrap/>
            <w:vAlign w:val="center"/>
          </w:tcPr>
          <w:p w14:paraId="6B084F2D">
            <w:pPr>
              <w:pStyle w:val="21"/>
            </w:pPr>
            <w:r>
              <w:t>0.0107</w:t>
            </w:r>
          </w:p>
        </w:tc>
        <w:tc>
          <w:tcPr>
            <w:tcW w:w="1537" w:type="dxa"/>
            <w:noWrap/>
            <w:vAlign w:val="center"/>
          </w:tcPr>
          <w:p w14:paraId="38D26B7B">
            <w:pPr>
              <w:pStyle w:val="21"/>
            </w:pPr>
            <w:r>
              <w:t>0.0170</w:t>
            </w:r>
          </w:p>
        </w:tc>
        <w:tc>
          <w:tcPr>
            <w:tcW w:w="1537" w:type="dxa"/>
            <w:noWrap/>
            <w:vAlign w:val="center"/>
          </w:tcPr>
          <w:p w14:paraId="7B722A84">
            <w:pPr>
              <w:pStyle w:val="21"/>
            </w:pPr>
            <w:r>
              <w:t>0.0190</w:t>
            </w:r>
          </w:p>
        </w:tc>
        <w:tc>
          <w:tcPr>
            <w:tcW w:w="1537" w:type="dxa"/>
            <w:noWrap/>
            <w:vAlign w:val="center"/>
          </w:tcPr>
          <w:p w14:paraId="65D60C2D">
            <w:pPr>
              <w:pStyle w:val="21"/>
            </w:pPr>
            <w:r>
              <w:t>0.0153</w:t>
            </w:r>
          </w:p>
        </w:tc>
        <w:tc>
          <w:tcPr>
            <w:tcW w:w="1538" w:type="dxa"/>
            <w:noWrap/>
            <w:vAlign w:val="center"/>
          </w:tcPr>
          <w:p w14:paraId="5F9E0EDC">
            <w:pPr>
              <w:pStyle w:val="21"/>
            </w:pPr>
            <w:r>
              <w:t>0.0265</w:t>
            </w:r>
          </w:p>
        </w:tc>
        <w:tc>
          <w:tcPr>
            <w:tcW w:w="1537" w:type="dxa"/>
            <w:noWrap/>
            <w:vAlign w:val="center"/>
          </w:tcPr>
          <w:p w14:paraId="4DACF912">
            <w:pPr>
              <w:pStyle w:val="21"/>
            </w:pPr>
            <w:r>
              <w:t>0.0183</w:t>
            </w:r>
          </w:p>
        </w:tc>
        <w:tc>
          <w:tcPr>
            <w:tcW w:w="1537" w:type="dxa"/>
            <w:noWrap/>
            <w:vAlign w:val="center"/>
          </w:tcPr>
          <w:p w14:paraId="7FDBF7A2">
            <w:pPr>
              <w:pStyle w:val="21"/>
            </w:pPr>
            <w:r>
              <w:t>0.0157</w:t>
            </w:r>
          </w:p>
        </w:tc>
        <w:tc>
          <w:tcPr>
            <w:tcW w:w="1537" w:type="dxa"/>
            <w:noWrap/>
            <w:vAlign w:val="center"/>
          </w:tcPr>
          <w:p w14:paraId="34B808B9">
            <w:pPr>
              <w:pStyle w:val="21"/>
            </w:pPr>
            <w:r>
              <w:t>0.0153</w:t>
            </w:r>
          </w:p>
        </w:tc>
        <w:tc>
          <w:tcPr>
            <w:tcW w:w="1538" w:type="dxa"/>
            <w:noWrap/>
            <w:vAlign w:val="center"/>
          </w:tcPr>
          <w:p w14:paraId="13337940">
            <w:pPr>
              <w:pStyle w:val="21"/>
            </w:pPr>
            <w:r>
              <w:t>0.0133</w:t>
            </w:r>
          </w:p>
        </w:tc>
      </w:tr>
      <w:tr w14:paraId="4990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1E7217EC">
            <w:pPr>
              <w:pStyle w:val="21"/>
            </w:pPr>
            <w:r>
              <w:t>铜</w:t>
            </w:r>
          </w:p>
        </w:tc>
        <w:tc>
          <w:tcPr>
            <w:tcW w:w="1537" w:type="dxa"/>
            <w:noWrap/>
            <w:vAlign w:val="center"/>
          </w:tcPr>
          <w:p w14:paraId="1A0C7DF9">
            <w:pPr>
              <w:pStyle w:val="21"/>
            </w:pPr>
            <w:r>
              <w:t>0.0002</w:t>
            </w:r>
          </w:p>
        </w:tc>
        <w:tc>
          <w:tcPr>
            <w:tcW w:w="1537" w:type="dxa"/>
            <w:noWrap/>
            <w:vAlign w:val="center"/>
          </w:tcPr>
          <w:p w14:paraId="6C4966A3">
            <w:pPr>
              <w:pStyle w:val="21"/>
            </w:pPr>
            <w:r>
              <w:t>0.0001</w:t>
            </w:r>
          </w:p>
        </w:tc>
        <w:tc>
          <w:tcPr>
            <w:tcW w:w="1537" w:type="dxa"/>
            <w:noWrap/>
            <w:vAlign w:val="center"/>
          </w:tcPr>
          <w:p w14:paraId="56F3695C">
            <w:pPr>
              <w:pStyle w:val="21"/>
            </w:pPr>
            <w:r>
              <w:t>0.0001</w:t>
            </w:r>
          </w:p>
        </w:tc>
        <w:tc>
          <w:tcPr>
            <w:tcW w:w="1538" w:type="dxa"/>
            <w:noWrap/>
            <w:vAlign w:val="center"/>
          </w:tcPr>
          <w:p w14:paraId="531DC8DC">
            <w:pPr>
              <w:pStyle w:val="21"/>
            </w:pPr>
            <w:r>
              <w:t>0.0001</w:t>
            </w:r>
          </w:p>
        </w:tc>
        <w:tc>
          <w:tcPr>
            <w:tcW w:w="1537" w:type="dxa"/>
            <w:noWrap/>
            <w:vAlign w:val="center"/>
          </w:tcPr>
          <w:p w14:paraId="38AF82FA">
            <w:pPr>
              <w:pStyle w:val="21"/>
            </w:pPr>
            <w:r>
              <w:t>0.0002</w:t>
            </w:r>
          </w:p>
        </w:tc>
        <w:tc>
          <w:tcPr>
            <w:tcW w:w="1537" w:type="dxa"/>
            <w:noWrap/>
            <w:vAlign w:val="center"/>
          </w:tcPr>
          <w:p w14:paraId="40408F9B">
            <w:pPr>
              <w:pStyle w:val="21"/>
            </w:pPr>
            <w:r>
              <w:t>0.0001</w:t>
            </w:r>
          </w:p>
        </w:tc>
        <w:tc>
          <w:tcPr>
            <w:tcW w:w="1537" w:type="dxa"/>
            <w:noWrap/>
            <w:vAlign w:val="center"/>
          </w:tcPr>
          <w:p w14:paraId="07D1FE89">
            <w:pPr>
              <w:pStyle w:val="21"/>
            </w:pPr>
            <w:r>
              <w:t>0.0001</w:t>
            </w:r>
          </w:p>
        </w:tc>
        <w:tc>
          <w:tcPr>
            <w:tcW w:w="1538" w:type="dxa"/>
            <w:noWrap/>
            <w:vAlign w:val="center"/>
          </w:tcPr>
          <w:p w14:paraId="1E1E7D5A">
            <w:pPr>
              <w:pStyle w:val="21"/>
            </w:pPr>
            <w:r>
              <w:t>0.0001</w:t>
            </w:r>
          </w:p>
        </w:tc>
        <w:tc>
          <w:tcPr>
            <w:tcW w:w="1537" w:type="dxa"/>
            <w:noWrap/>
            <w:vAlign w:val="center"/>
          </w:tcPr>
          <w:p w14:paraId="12BBA649">
            <w:pPr>
              <w:pStyle w:val="21"/>
            </w:pPr>
            <w:r>
              <w:t>0.0001</w:t>
            </w:r>
          </w:p>
        </w:tc>
        <w:tc>
          <w:tcPr>
            <w:tcW w:w="1537" w:type="dxa"/>
            <w:noWrap/>
            <w:vAlign w:val="center"/>
          </w:tcPr>
          <w:p w14:paraId="43E70806">
            <w:pPr>
              <w:pStyle w:val="21"/>
            </w:pPr>
            <w:r>
              <w:t>0.0001</w:t>
            </w:r>
          </w:p>
        </w:tc>
        <w:tc>
          <w:tcPr>
            <w:tcW w:w="1537" w:type="dxa"/>
            <w:noWrap/>
            <w:vAlign w:val="center"/>
          </w:tcPr>
          <w:p w14:paraId="112BAF4A">
            <w:pPr>
              <w:pStyle w:val="21"/>
            </w:pPr>
            <w:r>
              <w:t>0.0001</w:t>
            </w:r>
          </w:p>
        </w:tc>
        <w:tc>
          <w:tcPr>
            <w:tcW w:w="1538" w:type="dxa"/>
            <w:noWrap/>
            <w:vAlign w:val="center"/>
          </w:tcPr>
          <w:p w14:paraId="53F06CF1">
            <w:pPr>
              <w:pStyle w:val="21"/>
            </w:pPr>
            <w:r>
              <w:t>0.0001</w:t>
            </w:r>
          </w:p>
        </w:tc>
      </w:tr>
      <w:tr w14:paraId="614D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3F54CF5E">
            <w:pPr>
              <w:pStyle w:val="21"/>
            </w:pPr>
            <w:r>
              <w:t>铅</w:t>
            </w:r>
          </w:p>
        </w:tc>
        <w:tc>
          <w:tcPr>
            <w:tcW w:w="1537" w:type="dxa"/>
            <w:noWrap/>
            <w:vAlign w:val="center"/>
          </w:tcPr>
          <w:p w14:paraId="33A41893">
            <w:pPr>
              <w:pStyle w:val="21"/>
            </w:pPr>
            <w:r>
              <w:t>0.0200</w:t>
            </w:r>
          </w:p>
        </w:tc>
        <w:tc>
          <w:tcPr>
            <w:tcW w:w="1537" w:type="dxa"/>
            <w:noWrap/>
            <w:vAlign w:val="center"/>
          </w:tcPr>
          <w:p w14:paraId="394F878F">
            <w:pPr>
              <w:pStyle w:val="21"/>
            </w:pPr>
            <w:r>
              <w:t>0.0163</w:t>
            </w:r>
          </w:p>
        </w:tc>
        <w:tc>
          <w:tcPr>
            <w:tcW w:w="1537" w:type="dxa"/>
            <w:noWrap/>
            <w:vAlign w:val="center"/>
          </w:tcPr>
          <w:p w14:paraId="3B104FB8">
            <w:pPr>
              <w:pStyle w:val="21"/>
            </w:pPr>
            <w:r>
              <w:t>0.0175</w:t>
            </w:r>
          </w:p>
        </w:tc>
        <w:tc>
          <w:tcPr>
            <w:tcW w:w="1538" w:type="dxa"/>
            <w:noWrap/>
            <w:vAlign w:val="center"/>
          </w:tcPr>
          <w:p w14:paraId="7BCF065B">
            <w:pPr>
              <w:pStyle w:val="21"/>
            </w:pPr>
            <w:r>
              <w:t>0.0175</w:t>
            </w:r>
          </w:p>
        </w:tc>
        <w:tc>
          <w:tcPr>
            <w:tcW w:w="1537" w:type="dxa"/>
            <w:noWrap/>
            <w:vAlign w:val="center"/>
          </w:tcPr>
          <w:p w14:paraId="5033B9F5">
            <w:pPr>
              <w:pStyle w:val="21"/>
            </w:pPr>
            <w:r>
              <w:t>0.0138</w:t>
            </w:r>
          </w:p>
        </w:tc>
        <w:tc>
          <w:tcPr>
            <w:tcW w:w="1537" w:type="dxa"/>
            <w:noWrap/>
            <w:vAlign w:val="center"/>
          </w:tcPr>
          <w:p w14:paraId="6B71D13B">
            <w:pPr>
              <w:pStyle w:val="21"/>
            </w:pPr>
            <w:r>
              <w:t>0.0150</w:t>
            </w:r>
          </w:p>
        </w:tc>
        <w:tc>
          <w:tcPr>
            <w:tcW w:w="1537" w:type="dxa"/>
            <w:noWrap/>
            <w:vAlign w:val="center"/>
          </w:tcPr>
          <w:p w14:paraId="0874AD7D">
            <w:pPr>
              <w:pStyle w:val="21"/>
            </w:pPr>
            <w:r>
              <w:t>0.0163</w:t>
            </w:r>
          </w:p>
        </w:tc>
        <w:tc>
          <w:tcPr>
            <w:tcW w:w="1538" w:type="dxa"/>
            <w:noWrap/>
            <w:vAlign w:val="center"/>
          </w:tcPr>
          <w:p w14:paraId="7F303AFF">
            <w:pPr>
              <w:pStyle w:val="21"/>
            </w:pPr>
            <w:r>
              <w:t>0.0188</w:t>
            </w:r>
          </w:p>
        </w:tc>
        <w:tc>
          <w:tcPr>
            <w:tcW w:w="1537" w:type="dxa"/>
            <w:noWrap/>
            <w:vAlign w:val="center"/>
          </w:tcPr>
          <w:p w14:paraId="78543761">
            <w:pPr>
              <w:pStyle w:val="21"/>
            </w:pPr>
            <w:r>
              <w:t>0.0138</w:t>
            </w:r>
          </w:p>
        </w:tc>
        <w:tc>
          <w:tcPr>
            <w:tcW w:w="1537" w:type="dxa"/>
            <w:noWrap/>
            <w:vAlign w:val="center"/>
          </w:tcPr>
          <w:p w14:paraId="51DD700F">
            <w:pPr>
              <w:pStyle w:val="21"/>
            </w:pPr>
            <w:r>
              <w:t>0.0063</w:t>
            </w:r>
          </w:p>
        </w:tc>
        <w:tc>
          <w:tcPr>
            <w:tcW w:w="1537" w:type="dxa"/>
            <w:noWrap/>
            <w:vAlign w:val="center"/>
          </w:tcPr>
          <w:p w14:paraId="3720D7FA">
            <w:pPr>
              <w:pStyle w:val="21"/>
            </w:pPr>
            <w:r>
              <w:t>0.0125</w:t>
            </w:r>
          </w:p>
        </w:tc>
        <w:tc>
          <w:tcPr>
            <w:tcW w:w="1538" w:type="dxa"/>
            <w:noWrap/>
            <w:vAlign w:val="center"/>
          </w:tcPr>
          <w:p w14:paraId="020A5436">
            <w:pPr>
              <w:pStyle w:val="21"/>
            </w:pPr>
            <w:r>
              <w:t>0.0125</w:t>
            </w:r>
          </w:p>
        </w:tc>
      </w:tr>
      <w:tr w14:paraId="43209A40">
        <w:tblPrEx>
          <w:tblCellMar>
            <w:top w:w="0" w:type="dxa"/>
            <w:left w:w="108" w:type="dxa"/>
            <w:bottom w:w="0" w:type="dxa"/>
            <w:right w:w="108" w:type="dxa"/>
          </w:tblCellMar>
        </w:tblPrEx>
        <w:trPr>
          <w:trHeight w:val="212" w:hRule="atLeast"/>
        </w:trPr>
        <w:tc>
          <w:tcPr>
            <w:tcW w:w="2405" w:type="dxa"/>
            <w:vAlign w:val="center"/>
          </w:tcPr>
          <w:p w14:paraId="6D7E61CA">
            <w:pPr>
              <w:pStyle w:val="21"/>
            </w:pPr>
            <w:r>
              <w:t>镍</w:t>
            </w:r>
          </w:p>
        </w:tc>
        <w:tc>
          <w:tcPr>
            <w:tcW w:w="1537" w:type="dxa"/>
            <w:noWrap/>
            <w:vAlign w:val="center"/>
          </w:tcPr>
          <w:p w14:paraId="247A6571">
            <w:pPr>
              <w:pStyle w:val="21"/>
            </w:pPr>
            <w:r>
              <w:t>0.0067</w:t>
            </w:r>
          </w:p>
        </w:tc>
        <w:tc>
          <w:tcPr>
            <w:tcW w:w="1537" w:type="dxa"/>
            <w:noWrap/>
            <w:vAlign w:val="center"/>
          </w:tcPr>
          <w:p w14:paraId="069258A0">
            <w:pPr>
              <w:pStyle w:val="21"/>
            </w:pPr>
            <w:r>
              <w:t>0.0017</w:t>
            </w:r>
          </w:p>
        </w:tc>
        <w:tc>
          <w:tcPr>
            <w:tcW w:w="1537" w:type="dxa"/>
            <w:noWrap/>
            <w:vAlign w:val="center"/>
          </w:tcPr>
          <w:p w14:paraId="375EAAEC">
            <w:pPr>
              <w:pStyle w:val="21"/>
            </w:pPr>
            <w:r>
              <w:t>0.0033</w:t>
            </w:r>
          </w:p>
        </w:tc>
        <w:tc>
          <w:tcPr>
            <w:tcW w:w="1538" w:type="dxa"/>
            <w:noWrap/>
            <w:vAlign w:val="center"/>
          </w:tcPr>
          <w:p w14:paraId="45CFED6F">
            <w:pPr>
              <w:pStyle w:val="21"/>
            </w:pPr>
            <w:r>
              <w:t>0.0044</w:t>
            </w:r>
          </w:p>
        </w:tc>
        <w:tc>
          <w:tcPr>
            <w:tcW w:w="1537" w:type="dxa"/>
            <w:noWrap/>
            <w:vAlign w:val="center"/>
          </w:tcPr>
          <w:p w14:paraId="54D4A306">
            <w:pPr>
              <w:pStyle w:val="21"/>
            </w:pPr>
            <w:r>
              <w:t>0.0017</w:t>
            </w:r>
          </w:p>
        </w:tc>
        <w:tc>
          <w:tcPr>
            <w:tcW w:w="1537" w:type="dxa"/>
            <w:noWrap/>
            <w:vAlign w:val="center"/>
          </w:tcPr>
          <w:p w14:paraId="7C7F0600">
            <w:pPr>
              <w:pStyle w:val="21"/>
            </w:pPr>
            <w:r>
              <w:t>0.0017</w:t>
            </w:r>
          </w:p>
        </w:tc>
        <w:tc>
          <w:tcPr>
            <w:tcW w:w="1537" w:type="dxa"/>
            <w:noWrap/>
            <w:vAlign w:val="center"/>
          </w:tcPr>
          <w:p w14:paraId="301632A0">
            <w:pPr>
              <w:pStyle w:val="21"/>
            </w:pPr>
            <w:r>
              <w:t>0.0044</w:t>
            </w:r>
          </w:p>
        </w:tc>
        <w:tc>
          <w:tcPr>
            <w:tcW w:w="1538" w:type="dxa"/>
            <w:noWrap/>
            <w:vAlign w:val="center"/>
          </w:tcPr>
          <w:p w14:paraId="5EA0EB15">
            <w:pPr>
              <w:pStyle w:val="21"/>
            </w:pPr>
            <w:r>
              <w:t>0.0044</w:t>
            </w:r>
          </w:p>
        </w:tc>
        <w:tc>
          <w:tcPr>
            <w:tcW w:w="1537" w:type="dxa"/>
            <w:noWrap/>
            <w:vAlign w:val="center"/>
          </w:tcPr>
          <w:p w14:paraId="5E675EFE">
            <w:pPr>
              <w:pStyle w:val="21"/>
            </w:pPr>
            <w:r>
              <w:t>0.0017</w:t>
            </w:r>
          </w:p>
        </w:tc>
        <w:tc>
          <w:tcPr>
            <w:tcW w:w="1537" w:type="dxa"/>
            <w:noWrap/>
            <w:vAlign w:val="center"/>
          </w:tcPr>
          <w:p w14:paraId="3EB4125C">
            <w:pPr>
              <w:pStyle w:val="21"/>
            </w:pPr>
            <w:r>
              <w:t>0.0017</w:t>
            </w:r>
          </w:p>
        </w:tc>
        <w:tc>
          <w:tcPr>
            <w:tcW w:w="1537" w:type="dxa"/>
            <w:noWrap/>
            <w:vAlign w:val="center"/>
          </w:tcPr>
          <w:p w14:paraId="1D313654">
            <w:pPr>
              <w:pStyle w:val="21"/>
            </w:pPr>
            <w:r>
              <w:t>0.0017</w:t>
            </w:r>
          </w:p>
        </w:tc>
        <w:tc>
          <w:tcPr>
            <w:tcW w:w="1538" w:type="dxa"/>
            <w:noWrap/>
            <w:vAlign w:val="center"/>
          </w:tcPr>
          <w:p w14:paraId="03FE055E">
            <w:pPr>
              <w:pStyle w:val="21"/>
            </w:pPr>
            <w:r>
              <w:t>0.0017</w:t>
            </w:r>
          </w:p>
        </w:tc>
      </w:tr>
      <w:tr w14:paraId="5D63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4CA5E71">
            <w:pPr>
              <w:pStyle w:val="21"/>
            </w:pPr>
            <w:r>
              <w:t>锌</w:t>
            </w:r>
          </w:p>
        </w:tc>
        <w:tc>
          <w:tcPr>
            <w:tcW w:w="1537" w:type="dxa"/>
            <w:noWrap/>
            <w:vAlign w:val="center"/>
          </w:tcPr>
          <w:p w14:paraId="7296030B">
            <w:pPr>
              <w:pStyle w:val="21"/>
            </w:pPr>
            <w:r>
              <w:t>0.0024</w:t>
            </w:r>
          </w:p>
        </w:tc>
        <w:tc>
          <w:tcPr>
            <w:tcW w:w="1537" w:type="dxa"/>
            <w:noWrap/>
            <w:vAlign w:val="center"/>
          </w:tcPr>
          <w:p w14:paraId="7FFFAFB5">
            <w:pPr>
              <w:pStyle w:val="21"/>
            </w:pPr>
            <w:r>
              <w:t>0.0012</w:t>
            </w:r>
          </w:p>
        </w:tc>
        <w:tc>
          <w:tcPr>
            <w:tcW w:w="1537" w:type="dxa"/>
            <w:noWrap/>
            <w:vAlign w:val="center"/>
          </w:tcPr>
          <w:p w14:paraId="0F04B68E">
            <w:pPr>
              <w:pStyle w:val="21"/>
            </w:pPr>
            <w:r>
              <w:t>0.0014</w:t>
            </w:r>
          </w:p>
        </w:tc>
        <w:tc>
          <w:tcPr>
            <w:tcW w:w="1538" w:type="dxa"/>
            <w:noWrap/>
            <w:vAlign w:val="center"/>
          </w:tcPr>
          <w:p w14:paraId="42DC2C8B">
            <w:pPr>
              <w:pStyle w:val="21"/>
            </w:pPr>
            <w:r>
              <w:t>0.0013</w:t>
            </w:r>
          </w:p>
        </w:tc>
        <w:tc>
          <w:tcPr>
            <w:tcW w:w="1537" w:type="dxa"/>
            <w:noWrap/>
            <w:vAlign w:val="center"/>
          </w:tcPr>
          <w:p w14:paraId="13A5AADD">
            <w:pPr>
              <w:pStyle w:val="21"/>
            </w:pPr>
            <w:r>
              <w:t>0.0020</w:t>
            </w:r>
          </w:p>
        </w:tc>
        <w:tc>
          <w:tcPr>
            <w:tcW w:w="1537" w:type="dxa"/>
            <w:noWrap/>
            <w:vAlign w:val="center"/>
          </w:tcPr>
          <w:p w14:paraId="55989602">
            <w:pPr>
              <w:pStyle w:val="21"/>
            </w:pPr>
            <w:r>
              <w:t>0.0014</w:t>
            </w:r>
          </w:p>
        </w:tc>
        <w:tc>
          <w:tcPr>
            <w:tcW w:w="1537" w:type="dxa"/>
            <w:noWrap/>
            <w:vAlign w:val="center"/>
          </w:tcPr>
          <w:p w14:paraId="59BFADA1">
            <w:pPr>
              <w:pStyle w:val="21"/>
            </w:pPr>
            <w:r>
              <w:t>0.0012</w:t>
            </w:r>
          </w:p>
        </w:tc>
        <w:tc>
          <w:tcPr>
            <w:tcW w:w="1538" w:type="dxa"/>
            <w:noWrap/>
            <w:vAlign w:val="center"/>
          </w:tcPr>
          <w:p w14:paraId="2974F0B3">
            <w:pPr>
              <w:pStyle w:val="21"/>
            </w:pPr>
            <w:r>
              <w:t>0.0017</w:t>
            </w:r>
          </w:p>
        </w:tc>
        <w:tc>
          <w:tcPr>
            <w:tcW w:w="1537" w:type="dxa"/>
            <w:noWrap/>
            <w:vAlign w:val="center"/>
          </w:tcPr>
          <w:p w14:paraId="0642DC7F">
            <w:pPr>
              <w:pStyle w:val="21"/>
            </w:pPr>
            <w:r>
              <w:t>0.0014</w:t>
            </w:r>
          </w:p>
        </w:tc>
        <w:tc>
          <w:tcPr>
            <w:tcW w:w="1537" w:type="dxa"/>
            <w:noWrap/>
            <w:vAlign w:val="center"/>
          </w:tcPr>
          <w:p w14:paraId="4E11A2F7">
            <w:pPr>
              <w:pStyle w:val="21"/>
            </w:pPr>
            <w:r>
              <w:t>0.0010</w:t>
            </w:r>
          </w:p>
        </w:tc>
        <w:tc>
          <w:tcPr>
            <w:tcW w:w="1537" w:type="dxa"/>
            <w:noWrap/>
            <w:vAlign w:val="center"/>
          </w:tcPr>
          <w:p w14:paraId="15A5CBBA">
            <w:pPr>
              <w:pStyle w:val="21"/>
            </w:pPr>
            <w:r>
              <w:t>0.0010</w:t>
            </w:r>
          </w:p>
        </w:tc>
        <w:tc>
          <w:tcPr>
            <w:tcW w:w="1538" w:type="dxa"/>
            <w:noWrap/>
            <w:vAlign w:val="center"/>
          </w:tcPr>
          <w:p w14:paraId="14856AED">
            <w:pPr>
              <w:pStyle w:val="21"/>
            </w:pPr>
            <w:r>
              <w:t>0.0012</w:t>
            </w:r>
          </w:p>
        </w:tc>
      </w:tr>
      <w:tr w14:paraId="22275C06">
        <w:tblPrEx>
          <w:tblCellMar>
            <w:top w:w="0" w:type="dxa"/>
            <w:left w:w="108" w:type="dxa"/>
            <w:bottom w:w="0" w:type="dxa"/>
            <w:right w:w="108" w:type="dxa"/>
          </w:tblCellMar>
        </w:tblPrEx>
        <w:trPr>
          <w:trHeight w:val="212" w:hRule="atLeast"/>
        </w:trPr>
        <w:tc>
          <w:tcPr>
            <w:tcW w:w="2405" w:type="dxa"/>
            <w:vAlign w:val="center"/>
          </w:tcPr>
          <w:p w14:paraId="565A27FF">
            <w:pPr>
              <w:pStyle w:val="21"/>
            </w:pPr>
            <w:r>
              <w:t>镉</w:t>
            </w:r>
          </w:p>
        </w:tc>
        <w:tc>
          <w:tcPr>
            <w:tcW w:w="1537" w:type="dxa"/>
            <w:noWrap/>
            <w:vAlign w:val="center"/>
          </w:tcPr>
          <w:p w14:paraId="5BBD3927">
            <w:pPr>
              <w:pStyle w:val="21"/>
            </w:pPr>
            <w:r>
              <w:t>0.0008</w:t>
            </w:r>
          </w:p>
        </w:tc>
        <w:tc>
          <w:tcPr>
            <w:tcW w:w="1537" w:type="dxa"/>
            <w:noWrap/>
            <w:vAlign w:val="center"/>
          </w:tcPr>
          <w:p w14:paraId="05466D01">
            <w:pPr>
              <w:pStyle w:val="21"/>
            </w:pPr>
            <w:r>
              <w:t>0.0001</w:t>
            </w:r>
          </w:p>
        </w:tc>
        <w:tc>
          <w:tcPr>
            <w:tcW w:w="1537" w:type="dxa"/>
            <w:noWrap/>
            <w:vAlign w:val="center"/>
          </w:tcPr>
          <w:p w14:paraId="79D07F0D">
            <w:pPr>
              <w:pStyle w:val="21"/>
            </w:pPr>
            <w:r>
              <w:t>0.0001</w:t>
            </w:r>
          </w:p>
        </w:tc>
        <w:tc>
          <w:tcPr>
            <w:tcW w:w="1538" w:type="dxa"/>
            <w:noWrap/>
            <w:vAlign w:val="center"/>
          </w:tcPr>
          <w:p w14:paraId="4EA6FEB2">
            <w:pPr>
              <w:pStyle w:val="21"/>
            </w:pPr>
            <w:r>
              <w:t>0.0001</w:t>
            </w:r>
          </w:p>
        </w:tc>
        <w:tc>
          <w:tcPr>
            <w:tcW w:w="1537" w:type="dxa"/>
            <w:noWrap/>
            <w:vAlign w:val="center"/>
          </w:tcPr>
          <w:p w14:paraId="7785DEEF">
            <w:pPr>
              <w:pStyle w:val="21"/>
            </w:pPr>
            <w:r>
              <w:t>0.0002</w:t>
            </w:r>
          </w:p>
        </w:tc>
        <w:tc>
          <w:tcPr>
            <w:tcW w:w="1537" w:type="dxa"/>
            <w:noWrap/>
            <w:vAlign w:val="center"/>
          </w:tcPr>
          <w:p w14:paraId="65C662B8">
            <w:pPr>
              <w:pStyle w:val="21"/>
            </w:pPr>
            <w:r>
              <w:t>0.0001</w:t>
            </w:r>
          </w:p>
        </w:tc>
        <w:tc>
          <w:tcPr>
            <w:tcW w:w="1537" w:type="dxa"/>
            <w:noWrap/>
            <w:vAlign w:val="center"/>
          </w:tcPr>
          <w:p w14:paraId="06C61C44">
            <w:pPr>
              <w:pStyle w:val="21"/>
            </w:pPr>
            <w:r>
              <w:t>0.0001</w:t>
            </w:r>
          </w:p>
        </w:tc>
        <w:tc>
          <w:tcPr>
            <w:tcW w:w="1538" w:type="dxa"/>
            <w:noWrap/>
            <w:vAlign w:val="center"/>
          </w:tcPr>
          <w:p w14:paraId="793713FF">
            <w:pPr>
              <w:pStyle w:val="21"/>
            </w:pPr>
            <w:r>
              <w:t>0.0001</w:t>
            </w:r>
          </w:p>
        </w:tc>
        <w:tc>
          <w:tcPr>
            <w:tcW w:w="1537" w:type="dxa"/>
            <w:noWrap/>
            <w:vAlign w:val="center"/>
          </w:tcPr>
          <w:p w14:paraId="51071FC9">
            <w:pPr>
              <w:pStyle w:val="21"/>
            </w:pPr>
            <w:r>
              <w:t>0.0001</w:t>
            </w:r>
          </w:p>
        </w:tc>
        <w:tc>
          <w:tcPr>
            <w:tcW w:w="1537" w:type="dxa"/>
            <w:noWrap/>
            <w:vAlign w:val="center"/>
          </w:tcPr>
          <w:p w14:paraId="195B4F7E">
            <w:pPr>
              <w:pStyle w:val="21"/>
            </w:pPr>
            <w:r>
              <w:t>0.0001</w:t>
            </w:r>
          </w:p>
        </w:tc>
        <w:tc>
          <w:tcPr>
            <w:tcW w:w="1537" w:type="dxa"/>
            <w:noWrap/>
            <w:vAlign w:val="center"/>
          </w:tcPr>
          <w:p w14:paraId="5F0556B5">
            <w:pPr>
              <w:pStyle w:val="21"/>
            </w:pPr>
            <w:r>
              <w:t>0.0001</w:t>
            </w:r>
          </w:p>
        </w:tc>
        <w:tc>
          <w:tcPr>
            <w:tcW w:w="1538" w:type="dxa"/>
            <w:noWrap/>
            <w:vAlign w:val="center"/>
          </w:tcPr>
          <w:p w14:paraId="6ADC57F6">
            <w:pPr>
              <w:pStyle w:val="21"/>
            </w:pPr>
            <w:r>
              <w:t>0.0001</w:t>
            </w:r>
          </w:p>
        </w:tc>
      </w:tr>
      <w:tr w14:paraId="1CE0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B021C22">
            <w:pPr>
              <w:pStyle w:val="21"/>
            </w:pPr>
            <w:r>
              <w:t>铬</w:t>
            </w:r>
          </w:p>
        </w:tc>
        <w:tc>
          <w:tcPr>
            <w:tcW w:w="1537" w:type="dxa"/>
            <w:noWrap/>
          </w:tcPr>
          <w:p w14:paraId="7AFE28E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3741CF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88894C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AC0C76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0AF635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383943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9D8F87D">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3C1A15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657367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AD20F8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7A9CD9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841BC47">
            <w:pPr>
              <w:jc w:val="center"/>
              <w:rPr>
                <w:rFonts w:ascii="Times New Roman" w:hAnsi="Times New Roman" w:cs="Times New Roman"/>
                <w:sz w:val="21"/>
                <w:szCs w:val="21"/>
              </w:rPr>
            </w:pPr>
            <w:r>
              <w:rPr>
                <w:rFonts w:ascii="Times New Roman" w:hAnsi="Times New Roman" w:cs="Times New Roman"/>
                <w:sz w:val="21"/>
                <w:szCs w:val="21"/>
              </w:rPr>
              <w:t>——</w:t>
            </w:r>
          </w:p>
        </w:tc>
      </w:tr>
      <w:tr w14:paraId="0829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6DD9AEF">
            <w:pPr>
              <w:pStyle w:val="21"/>
            </w:pPr>
            <w:r>
              <w:t>钒</w:t>
            </w:r>
          </w:p>
        </w:tc>
        <w:tc>
          <w:tcPr>
            <w:tcW w:w="1537" w:type="dxa"/>
            <w:noWrap/>
            <w:vAlign w:val="center"/>
          </w:tcPr>
          <w:p w14:paraId="2E8DBCE2">
            <w:pPr>
              <w:pStyle w:val="21"/>
            </w:pPr>
            <w:r>
              <w:t>0.0255</w:t>
            </w:r>
          </w:p>
        </w:tc>
        <w:tc>
          <w:tcPr>
            <w:tcW w:w="1537" w:type="dxa"/>
            <w:noWrap/>
            <w:vAlign w:val="center"/>
          </w:tcPr>
          <w:p w14:paraId="0E93FFE6">
            <w:pPr>
              <w:pStyle w:val="21"/>
            </w:pPr>
            <w:r>
              <w:t>0.0173</w:t>
            </w:r>
          </w:p>
        </w:tc>
        <w:tc>
          <w:tcPr>
            <w:tcW w:w="1537" w:type="dxa"/>
            <w:noWrap/>
            <w:vAlign w:val="center"/>
          </w:tcPr>
          <w:p w14:paraId="5ECCCD34">
            <w:pPr>
              <w:pStyle w:val="21"/>
            </w:pPr>
            <w:r>
              <w:t>0.0188</w:t>
            </w:r>
          </w:p>
        </w:tc>
        <w:tc>
          <w:tcPr>
            <w:tcW w:w="1538" w:type="dxa"/>
            <w:noWrap/>
            <w:vAlign w:val="center"/>
          </w:tcPr>
          <w:p w14:paraId="71E93BFF">
            <w:pPr>
              <w:pStyle w:val="21"/>
            </w:pPr>
            <w:r>
              <w:t>0.0178</w:t>
            </w:r>
          </w:p>
        </w:tc>
        <w:tc>
          <w:tcPr>
            <w:tcW w:w="1537" w:type="dxa"/>
            <w:noWrap/>
            <w:vAlign w:val="center"/>
          </w:tcPr>
          <w:p w14:paraId="1BAFAC5C">
            <w:pPr>
              <w:pStyle w:val="21"/>
            </w:pPr>
            <w:r>
              <w:t>0.0197</w:t>
            </w:r>
          </w:p>
        </w:tc>
        <w:tc>
          <w:tcPr>
            <w:tcW w:w="1537" w:type="dxa"/>
            <w:noWrap/>
            <w:vAlign w:val="center"/>
          </w:tcPr>
          <w:p w14:paraId="3D740FAD">
            <w:pPr>
              <w:pStyle w:val="21"/>
            </w:pPr>
            <w:r>
              <w:t>0.0210</w:t>
            </w:r>
          </w:p>
        </w:tc>
        <w:tc>
          <w:tcPr>
            <w:tcW w:w="1537" w:type="dxa"/>
            <w:noWrap/>
            <w:vAlign w:val="center"/>
          </w:tcPr>
          <w:p w14:paraId="288A39EA">
            <w:pPr>
              <w:pStyle w:val="21"/>
            </w:pPr>
            <w:r>
              <w:t>0.0195</w:t>
            </w:r>
          </w:p>
        </w:tc>
        <w:tc>
          <w:tcPr>
            <w:tcW w:w="1538" w:type="dxa"/>
            <w:noWrap/>
            <w:vAlign w:val="center"/>
          </w:tcPr>
          <w:p w14:paraId="59DC8638">
            <w:pPr>
              <w:pStyle w:val="21"/>
            </w:pPr>
            <w:r>
              <w:t>0.0237</w:t>
            </w:r>
          </w:p>
        </w:tc>
        <w:tc>
          <w:tcPr>
            <w:tcW w:w="1537" w:type="dxa"/>
            <w:noWrap/>
            <w:vAlign w:val="center"/>
          </w:tcPr>
          <w:p w14:paraId="7C1605BB">
            <w:pPr>
              <w:pStyle w:val="21"/>
            </w:pPr>
            <w:r>
              <w:t>0.0174</w:t>
            </w:r>
          </w:p>
        </w:tc>
        <w:tc>
          <w:tcPr>
            <w:tcW w:w="1537" w:type="dxa"/>
            <w:noWrap/>
            <w:vAlign w:val="center"/>
          </w:tcPr>
          <w:p w14:paraId="73E6CCA5">
            <w:pPr>
              <w:pStyle w:val="21"/>
            </w:pPr>
            <w:r>
              <w:t>0.0160</w:t>
            </w:r>
          </w:p>
        </w:tc>
        <w:tc>
          <w:tcPr>
            <w:tcW w:w="1537" w:type="dxa"/>
            <w:noWrap/>
            <w:vAlign w:val="center"/>
          </w:tcPr>
          <w:p w14:paraId="7845BD90">
            <w:pPr>
              <w:pStyle w:val="21"/>
            </w:pPr>
            <w:r>
              <w:t>0.0144</w:t>
            </w:r>
          </w:p>
        </w:tc>
        <w:tc>
          <w:tcPr>
            <w:tcW w:w="1538" w:type="dxa"/>
            <w:noWrap/>
            <w:vAlign w:val="center"/>
          </w:tcPr>
          <w:p w14:paraId="2686459C">
            <w:pPr>
              <w:pStyle w:val="21"/>
            </w:pPr>
            <w:r>
              <w:t>0.0162</w:t>
            </w:r>
          </w:p>
        </w:tc>
      </w:tr>
      <w:tr w14:paraId="73E8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2FD8D994">
            <w:pPr>
              <w:pStyle w:val="21"/>
            </w:pPr>
            <w:r>
              <w:t>钴</w:t>
            </w:r>
          </w:p>
        </w:tc>
        <w:tc>
          <w:tcPr>
            <w:tcW w:w="1537" w:type="dxa"/>
            <w:noWrap/>
            <w:vAlign w:val="center"/>
          </w:tcPr>
          <w:p w14:paraId="2D1FCEF8">
            <w:pPr>
              <w:pStyle w:val="21"/>
            </w:pPr>
            <w:r>
              <w:t>0.0143</w:t>
            </w:r>
          </w:p>
        </w:tc>
        <w:tc>
          <w:tcPr>
            <w:tcW w:w="1537" w:type="dxa"/>
            <w:noWrap/>
            <w:vAlign w:val="center"/>
          </w:tcPr>
          <w:p w14:paraId="3853CF85">
            <w:pPr>
              <w:pStyle w:val="21"/>
            </w:pPr>
            <w:r>
              <w:t>0.0143</w:t>
            </w:r>
          </w:p>
        </w:tc>
        <w:tc>
          <w:tcPr>
            <w:tcW w:w="1537" w:type="dxa"/>
            <w:noWrap/>
            <w:vAlign w:val="center"/>
          </w:tcPr>
          <w:p w14:paraId="024CE97A">
            <w:pPr>
              <w:pStyle w:val="21"/>
            </w:pPr>
            <w:r>
              <w:t>0.0143</w:t>
            </w:r>
          </w:p>
        </w:tc>
        <w:tc>
          <w:tcPr>
            <w:tcW w:w="1538" w:type="dxa"/>
            <w:noWrap/>
            <w:vAlign w:val="center"/>
          </w:tcPr>
          <w:p w14:paraId="5BA59DB9">
            <w:pPr>
              <w:pStyle w:val="21"/>
            </w:pPr>
            <w:r>
              <w:t>0.0143</w:t>
            </w:r>
          </w:p>
        </w:tc>
        <w:tc>
          <w:tcPr>
            <w:tcW w:w="1537" w:type="dxa"/>
            <w:noWrap/>
            <w:vAlign w:val="center"/>
          </w:tcPr>
          <w:p w14:paraId="7BA0A915">
            <w:pPr>
              <w:pStyle w:val="21"/>
            </w:pPr>
            <w:r>
              <w:t>0.0143</w:t>
            </w:r>
          </w:p>
        </w:tc>
        <w:tc>
          <w:tcPr>
            <w:tcW w:w="1537" w:type="dxa"/>
            <w:noWrap/>
            <w:vAlign w:val="center"/>
          </w:tcPr>
          <w:p w14:paraId="5D838A88">
            <w:pPr>
              <w:pStyle w:val="21"/>
            </w:pPr>
            <w:r>
              <w:t>0.0143</w:t>
            </w:r>
          </w:p>
        </w:tc>
        <w:tc>
          <w:tcPr>
            <w:tcW w:w="1537" w:type="dxa"/>
            <w:noWrap/>
            <w:vAlign w:val="center"/>
          </w:tcPr>
          <w:p w14:paraId="1A665FA5">
            <w:pPr>
              <w:pStyle w:val="21"/>
            </w:pPr>
            <w:r>
              <w:t>0.0143</w:t>
            </w:r>
          </w:p>
        </w:tc>
        <w:tc>
          <w:tcPr>
            <w:tcW w:w="1538" w:type="dxa"/>
            <w:noWrap/>
            <w:vAlign w:val="center"/>
          </w:tcPr>
          <w:p w14:paraId="6470076B">
            <w:pPr>
              <w:pStyle w:val="21"/>
            </w:pPr>
            <w:r>
              <w:t>0.0143</w:t>
            </w:r>
          </w:p>
        </w:tc>
        <w:tc>
          <w:tcPr>
            <w:tcW w:w="1537" w:type="dxa"/>
            <w:noWrap/>
            <w:vAlign w:val="center"/>
          </w:tcPr>
          <w:p w14:paraId="38D982D7">
            <w:pPr>
              <w:pStyle w:val="21"/>
            </w:pPr>
            <w:r>
              <w:t>0.0143</w:t>
            </w:r>
          </w:p>
        </w:tc>
        <w:tc>
          <w:tcPr>
            <w:tcW w:w="1537" w:type="dxa"/>
            <w:noWrap/>
            <w:vAlign w:val="center"/>
          </w:tcPr>
          <w:p w14:paraId="0B7D4C53">
            <w:pPr>
              <w:pStyle w:val="21"/>
            </w:pPr>
            <w:r>
              <w:t>0.0143</w:t>
            </w:r>
          </w:p>
        </w:tc>
        <w:tc>
          <w:tcPr>
            <w:tcW w:w="1537" w:type="dxa"/>
            <w:noWrap/>
            <w:vAlign w:val="center"/>
          </w:tcPr>
          <w:p w14:paraId="60E5B3F0">
            <w:pPr>
              <w:pStyle w:val="21"/>
            </w:pPr>
            <w:r>
              <w:t>0.0143</w:t>
            </w:r>
          </w:p>
        </w:tc>
        <w:tc>
          <w:tcPr>
            <w:tcW w:w="1538" w:type="dxa"/>
            <w:noWrap/>
            <w:vAlign w:val="center"/>
          </w:tcPr>
          <w:p w14:paraId="6734E955">
            <w:pPr>
              <w:pStyle w:val="21"/>
            </w:pPr>
            <w:r>
              <w:t>0.0143</w:t>
            </w:r>
          </w:p>
        </w:tc>
      </w:tr>
      <w:tr w14:paraId="030A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3391E21D">
            <w:pPr>
              <w:pStyle w:val="21"/>
            </w:pPr>
            <w:r>
              <w:t>四氯化碳</w:t>
            </w:r>
          </w:p>
        </w:tc>
        <w:tc>
          <w:tcPr>
            <w:tcW w:w="1537" w:type="dxa"/>
            <w:noWrap/>
            <w:vAlign w:val="center"/>
          </w:tcPr>
          <w:p w14:paraId="7E9C4A93">
            <w:pPr>
              <w:pStyle w:val="21"/>
            </w:pPr>
            <w:r>
              <w:t>0.0002</w:t>
            </w:r>
          </w:p>
        </w:tc>
        <w:tc>
          <w:tcPr>
            <w:tcW w:w="1537" w:type="dxa"/>
            <w:noWrap/>
            <w:vAlign w:val="center"/>
          </w:tcPr>
          <w:p w14:paraId="4CE5D3A6">
            <w:pPr>
              <w:pStyle w:val="21"/>
            </w:pPr>
            <w:r>
              <w:t>0.0002</w:t>
            </w:r>
          </w:p>
        </w:tc>
        <w:tc>
          <w:tcPr>
            <w:tcW w:w="1537" w:type="dxa"/>
            <w:noWrap/>
            <w:vAlign w:val="center"/>
          </w:tcPr>
          <w:p w14:paraId="27F57706">
            <w:pPr>
              <w:pStyle w:val="21"/>
            </w:pPr>
            <w:r>
              <w:t>0.0002</w:t>
            </w:r>
          </w:p>
        </w:tc>
        <w:tc>
          <w:tcPr>
            <w:tcW w:w="1538" w:type="dxa"/>
            <w:noWrap/>
            <w:vAlign w:val="center"/>
          </w:tcPr>
          <w:p w14:paraId="0EE3F45A">
            <w:pPr>
              <w:pStyle w:val="21"/>
            </w:pPr>
            <w:r>
              <w:t>0.0002</w:t>
            </w:r>
          </w:p>
        </w:tc>
        <w:tc>
          <w:tcPr>
            <w:tcW w:w="1537" w:type="dxa"/>
            <w:noWrap/>
          </w:tcPr>
          <w:p w14:paraId="5A21EBF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267848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85428A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FA860F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99BC1F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76CCDF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42731A9">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EA8F6A4">
            <w:pPr>
              <w:jc w:val="center"/>
              <w:rPr>
                <w:rFonts w:ascii="Times New Roman" w:hAnsi="Times New Roman" w:cs="Times New Roman"/>
                <w:sz w:val="21"/>
                <w:szCs w:val="21"/>
              </w:rPr>
            </w:pPr>
            <w:r>
              <w:rPr>
                <w:rFonts w:ascii="Times New Roman" w:hAnsi="Times New Roman" w:cs="Times New Roman"/>
                <w:sz w:val="21"/>
                <w:szCs w:val="21"/>
              </w:rPr>
              <w:t>——</w:t>
            </w:r>
          </w:p>
        </w:tc>
      </w:tr>
      <w:tr w14:paraId="0250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ACF773B">
            <w:pPr>
              <w:pStyle w:val="21"/>
            </w:pPr>
            <w:r>
              <w:t>氯仿</w:t>
            </w:r>
          </w:p>
        </w:tc>
        <w:tc>
          <w:tcPr>
            <w:tcW w:w="1537" w:type="dxa"/>
            <w:noWrap/>
            <w:vAlign w:val="center"/>
          </w:tcPr>
          <w:p w14:paraId="141DF50B">
            <w:pPr>
              <w:pStyle w:val="21"/>
            </w:pPr>
            <w:r>
              <w:t>0.0006</w:t>
            </w:r>
          </w:p>
        </w:tc>
        <w:tc>
          <w:tcPr>
            <w:tcW w:w="1537" w:type="dxa"/>
            <w:noWrap/>
            <w:vAlign w:val="center"/>
          </w:tcPr>
          <w:p w14:paraId="5C4E72F9">
            <w:pPr>
              <w:pStyle w:val="21"/>
            </w:pPr>
            <w:r>
              <w:t>0.0006</w:t>
            </w:r>
          </w:p>
        </w:tc>
        <w:tc>
          <w:tcPr>
            <w:tcW w:w="1537" w:type="dxa"/>
            <w:noWrap/>
            <w:vAlign w:val="center"/>
          </w:tcPr>
          <w:p w14:paraId="489D9B57">
            <w:pPr>
              <w:pStyle w:val="21"/>
            </w:pPr>
            <w:r>
              <w:t>0.0006</w:t>
            </w:r>
          </w:p>
        </w:tc>
        <w:tc>
          <w:tcPr>
            <w:tcW w:w="1538" w:type="dxa"/>
            <w:noWrap/>
            <w:vAlign w:val="center"/>
          </w:tcPr>
          <w:p w14:paraId="615D2D1F">
            <w:pPr>
              <w:pStyle w:val="21"/>
            </w:pPr>
            <w:r>
              <w:t>0.0006</w:t>
            </w:r>
          </w:p>
        </w:tc>
        <w:tc>
          <w:tcPr>
            <w:tcW w:w="1537" w:type="dxa"/>
            <w:noWrap/>
          </w:tcPr>
          <w:p w14:paraId="4E98FA4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DC5F42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E34096F">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D5AA09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8CED23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1624A7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2D06916">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05C5C5D">
            <w:pPr>
              <w:jc w:val="center"/>
              <w:rPr>
                <w:rFonts w:ascii="Times New Roman" w:hAnsi="Times New Roman" w:cs="Times New Roman"/>
                <w:sz w:val="21"/>
                <w:szCs w:val="21"/>
              </w:rPr>
            </w:pPr>
            <w:r>
              <w:rPr>
                <w:rFonts w:ascii="Times New Roman" w:hAnsi="Times New Roman" w:cs="Times New Roman"/>
                <w:sz w:val="21"/>
                <w:szCs w:val="21"/>
              </w:rPr>
              <w:t>——</w:t>
            </w:r>
          </w:p>
        </w:tc>
      </w:tr>
      <w:tr w14:paraId="0296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BD25987">
            <w:pPr>
              <w:pStyle w:val="21"/>
            </w:pPr>
            <w:r>
              <w:t>氯甲烷</w:t>
            </w:r>
          </w:p>
        </w:tc>
        <w:tc>
          <w:tcPr>
            <w:tcW w:w="1537" w:type="dxa"/>
            <w:noWrap/>
            <w:vAlign w:val="center"/>
          </w:tcPr>
          <w:p w14:paraId="2FC16936">
            <w:pPr>
              <w:pStyle w:val="21"/>
            </w:pPr>
            <w:r>
              <w:t>0.000014</w:t>
            </w:r>
          </w:p>
        </w:tc>
        <w:tc>
          <w:tcPr>
            <w:tcW w:w="1537" w:type="dxa"/>
            <w:noWrap/>
            <w:vAlign w:val="center"/>
          </w:tcPr>
          <w:p w14:paraId="29EE0CF1">
            <w:pPr>
              <w:pStyle w:val="21"/>
            </w:pPr>
            <w:r>
              <w:t>0.000014</w:t>
            </w:r>
          </w:p>
        </w:tc>
        <w:tc>
          <w:tcPr>
            <w:tcW w:w="1537" w:type="dxa"/>
            <w:noWrap/>
            <w:vAlign w:val="center"/>
          </w:tcPr>
          <w:p w14:paraId="2C73489A">
            <w:pPr>
              <w:pStyle w:val="21"/>
            </w:pPr>
            <w:r>
              <w:t>0.000014</w:t>
            </w:r>
          </w:p>
        </w:tc>
        <w:tc>
          <w:tcPr>
            <w:tcW w:w="1538" w:type="dxa"/>
            <w:noWrap/>
            <w:vAlign w:val="center"/>
          </w:tcPr>
          <w:p w14:paraId="5DB5079F">
            <w:pPr>
              <w:pStyle w:val="21"/>
            </w:pPr>
            <w:r>
              <w:t>0.000014</w:t>
            </w:r>
          </w:p>
        </w:tc>
        <w:tc>
          <w:tcPr>
            <w:tcW w:w="1537" w:type="dxa"/>
            <w:noWrap/>
          </w:tcPr>
          <w:p w14:paraId="04F24A2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E12DF5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50F7A35">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DCFF60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E1F56C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3509BA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671536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49A680C">
            <w:pPr>
              <w:jc w:val="center"/>
              <w:rPr>
                <w:rFonts w:ascii="Times New Roman" w:hAnsi="Times New Roman" w:cs="Times New Roman"/>
                <w:sz w:val="21"/>
                <w:szCs w:val="21"/>
              </w:rPr>
            </w:pPr>
            <w:r>
              <w:rPr>
                <w:rFonts w:ascii="Times New Roman" w:hAnsi="Times New Roman" w:cs="Times New Roman"/>
                <w:sz w:val="21"/>
                <w:szCs w:val="21"/>
              </w:rPr>
              <w:t>——</w:t>
            </w:r>
          </w:p>
        </w:tc>
      </w:tr>
      <w:tr w14:paraId="7830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D064F1E">
            <w:pPr>
              <w:pStyle w:val="21"/>
            </w:pPr>
            <w:r>
              <w:t>1,1-二氯乙烷</w:t>
            </w:r>
          </w:p>
        </w:tc>
        <w:tc>
          <w:tcPr>
            <w:tcW w:w="1537" w:type="dxa"/>
            <w:noWrap/>
            <w:vAlign w:val="center"/>
          </w:tcPr>
          <w:p w14:paraId="56160B70">
            <w:pPr>
              <w:pStyle w:val="21"/>
            </w:pPr>
            <w:r>
              <w:t>0.00007</w:t>
            </w:r>
          </w:p>
        </w:tc>
        <w:tc>
          <w:tcPr>
            <w:tcW w:w="1537" w:type="dxa"/>
            <w:noWrap/>
            <w:vAlign w:val="center"/>
          </w:tcPr>
          <w:p w14:paraId="26C1BADB">
            <w:pPr>
              <w:pStyle w:val="21"/>
            </w:pPr>
            <w:r>
              <w:t>0.00007</w:t>
            </w:r>
          </w:p>
        </w:tc>
        <w:tc>
          <w:tcPr>
            <w:tcW w:w="1537" w:type="dxa"/>
            <w:noWrap/>
            <w:vAlign w:val="center"/>
          </w:tcPr>
          <w:p w14:paraId="712A1E00">
            <w:pPr>
              <w:pStyle w:val="21"/>
            </w:pPr>
            <w:r>
              <w:t>0.00007</w:t>
            </w:r>
          </w:p>
        </w:tc>
        <w:tc>
          <w:tcPr>
            <w:tcW w:w="1538" w:type="dxa"/>
            <w:noWrap/>
            <w:vAlign w:val="center"/>
          </w:tcPr>
          <w:p w14:paraId="77CDD9E9">
            <w:pPr>
              <w:pStyle w:val="21"/>
            </w:pPr>
            <w:r>
              <w:t>0.00007</w:t>
            </w:r>
          </w:p>
        </w:tc>
        <w:tc>
          <w:tcPr>
            <w:tcW w:w="1537" w:type="dxa"/>
            <w:noWrap/>
          </w:tcPr>
          <w:p w14:paraId="2F2DBFD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925B99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74D4321">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A14ECB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FCA8E0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8B8C44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34E5758">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F79A15C">
            <w:pPr>
              <w:jc w:val="center"/>
              <w:rPr>
                <w:rFonts w:ascii="Times New Roman" w:hAnsi="Times New Roman" w:cs="Times New Roman"/>
                <w:sz w:val="21"/>
                <w:szCs w:val="21"/>
              </w:rPr>
            </w:pPr>
            <w:r>
              <w:rPr>
                <w:rFonts w:ascii="Times New Roman" w:hAnsi="Times New Roman" w:cs="Times New Roman"/>
                <w:sz w:val="21"/>
                <w:szCs w:val="21"/>
              </w:rPr>
              <w:t>——</w:t>
            </w:r>
          </w:p>
        </w:tc>
      </w:tr>
      <w:tr w14:paraId="45CE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BCDBF6E">
            <w:pPr>
              <w:pStyle w:val="21"/>
            </w:pPr>
            <w:r>
              <w:t>1,2-二氯乙烷</w:t>
            </w:r>
          </w:p>
        </w:tc>
        <w:tc>
          <w:tcPr>
            <w:tcW w:w="1537" w:type="dxa"/>
            <w:noWrap/>
            <w:vAlign w:val="center"/>
          </w:tcPr>
          <w:p w14:paraId="4F35C264">
            <w:pPr>
              <w:pStyle w:val="21"/>
            </w:pPr>
            <w:r>
              <w:t>0.00013</w:t>
            </w:r>
          </w:p>
        </w:tc>
        <w:tc>
          <w:tcPr>
            <w:tcW w:w="1537" w:type="dxa"/>
            <w:noWrap/>
            <w:vAlign w:val="center"/>
          </w:tcPr>
          <w:p w14:paraId="5C6F51AA">
            <w:pPr>
              <w:pStyle w:val="21"/>
            </w:pPr>
            <w:r>
              <w:t>0.00013</w:t>
            </w:r>
          </w:p>
        </w:tc>
        <w:tc>
          <w:tcPr>
            <w:tcW w:w="1537" w:type="dxa"/>
            <w:noWrap/>
            <w:vAlign w:val="center"/>
          </w:tcPr>
          <w:p w14:paraId="359CD0B5">
            <w:pPr>
              <w:pStyle w:val="21"/>
            </w:pPr>
            <w:r>
              <w:t>0.00013</w:t>
            </w:r>
          </w:p>
        </w:tc>
        <w:tc>
          <w:tcPr>
            <w:tcW w:w="1538" w:type="dxa"/>
            <w:noWrap/>
            <w:vAlign w:val="center"/>
          </w:tcPr>
          <w:p w14:paraId="5BFF8373">
            <w:pPr>
              <w:pStyle w:val="21"/>
            </w:pPr>
            <w:r>
              <w:t>0.00013</w:t>
            </w:r>
          </w:p>
        </w:tc>
        <w:tc>
          <w:tcPr>
            <w:tcW w:w="1537" w:type="dxa"/>
            <w:noWrap/>
          </w:tcPr>
          <w:p w14:paraId="7462A87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7E6E23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F7FFB04">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BCDAF6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CCEF24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A31BBA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0F7D28C">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E553494">
            <w:pPr>
              <w:jc w:val="center"/>
              <w:rPr>
                <w:rFonts w:ascii="Times New Roman" w:hAnsi="Times New Roman" w:cs="Times New Roman"/>
                <w:sz w:val="21"/>
                <w:szCs w:val="21"/>
              </w:rPr>
            </w:pPr>
            <w:r>
              <w:rPr>
                <w:rFonts w:ascii="Times New Roman" w:hAnsi="Times New Roman" w:cs="Times New Roman"/>
                <w:sz w:val="21"/>
                <w:szCs w:val="21"/>
              </w:rPr>
              <w:t>——</w:t>
            </w:r>
          </w:p>
        </w:tc>
      </w:tr>
      <w:tr w14:paraId="5549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2D31967E">
            <w:pPr>
              <w:pStyle w:val="21"/>
            </w:pPr>
            <w:r>
              <w:t>1,1-二氯乙烯</w:t>
            </w:r>
          </w:p>
        </w:tc>
        <w:tc>
          <w:tcPr>
            <w:tcW w:w="1537" w:type="dxa"/>
            <w:noWrap/>
            <w:vAlign w:val="center"/>
          </w:tcPr>
          <w:p w14:paraId="6267284D">
            <w:pPr>
              <w:pStyle w:val="21"/>
            </w:pPr>
            <w:r>
              <w:t>0.000008</w:t>
            </w:r>
          </w:p>
        </w:tc>
        <w:tc>
          <w:tcPr>
            <w:tcW w:w="1537" w:type="dxa"/>
            <w:noWrap/>
            <w:vAlign w:val="center"/>
          </w:tcPr>
          <w:p w14:paraId="2A820B95">
            <w:pPr>
              <w:pStyle w:val="21"/>
            </w:pPr>
            <w:r>
              <w:t>0.000008</w:t>
            </w:r>
          </w:p>
        </w:tc>
        <w:tc>
          <w:tcPr>
            <w:tcW w:w="1537" w:type="dxa"/>
            <w:noWrap/>
            <w:vAlign w:val="center"/>
          </w:tcPr>
          <w:p w14:paraId="5A032566">
            <w:pPr>
              <w:pStyle w:val="21"/>
            </w:pPr>
            <w:r>
              <w:t>0.000008</w:t>
            </w:r>
          </w:p>
        </w:tc>
        <w:tc>
          <w:tcPr>
            <w:tcW w:w="1538" w:type="dxa"/>
            <w:noWrap/>
            <w:vAlign w:val="center"/>
          </w:tcPr>
          <w:p w14:paraId="45BEA4D4">
            <w:pPr>
              <w:pStyle w:val="21"/>
            </w:pPr>
            <w:r>
              <w:t>0.000008</w:t>
            </w:r>
          </w:p>
        </w:tc>
        <w:tc>
          <w:tcPr>
            <w:tcW w:w="1537" w:type="dxa"/>
            <w:noWrap/>
          </w:tcPr>
          <w:p w14:paraId="3DC62CA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6AB37F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18ED4E6">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F8A513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859DC9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A71007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C2B0309">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9204025">
            <w:pPr>
              <w:jc w:val="center"/>
              <w:rPr>
                <w:rFonts w:ascii="Times New Roman" w:hAnsi="Times New Roman" w:cs="Times New Roman"/>
                <w:sz w:val="21"/>
                <w:szCs w:val="21"/>
              </w:rPr>
            </w:pPr>
            <w:r>
              <w:rPr>
                <w:rFonts w:ascii="Times New Roman" w:hAnsi="Times New Roman" w:cs="Times New Roman"/>
                <w:sz w:val="21"/>
                <w:szCs w:val="21"/>
              </w:rPr>
              <w:t>——</w:t>
            </w:r>
          </w:p>
        </w:tc>
      </w:tr>
      <w:tr w14:paraId="3166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03346567">
            <w:pPr>
              <w:pStyle w:val="21"/>
            </w:pPr>
            <w:r>
              <w:t>顺式-1,2-二氯乙烯</w:t>
            </w:r>
          </w:p>
        </w:tc>
        <w:tc>
          <w:tcPr>
            <w:tcW w:w="1537" w:type="dxa"/>
            <w:noWrap/>
            <w:vAlign w:val="center"/>
          </w:tcPr>
          <w:p w14:paraId="0C22E32F">
            <w:pPr>
              <w:pStyle w:val="21"/>
            </w:pPr>
            <w:r>
              <w:t>0.000001</w:t>
            </w:r>
          </w:p>
        </w:tc>
        <w:tc>
          <w:tcPr>
            <w:tcW w:w="1537" w:type="dxa"/>
            <w:noWrap/>
            <w:vAlign w:val="center"/>
          </w:tcPr>
          <w:p w14:paraId="31722F7C">
            <w:pPr>
              <w:pStyle w:val="21"/>
            </w:pPr>
            <w:r>
              <w:t>0.000001</w:t>
            </w:r>
          </w:p>
        </w:tc>
        <w:tc>
          <w:tcPr>
            <w:tcW w:w="1537" w:type="dxa"/>
            <w:noWrap/>
            <w:vAlign w:val="center"/>
          </w:tcPr>
          <w:p w14:paraId="0494755E">
            <w:pPr>
              <w:pStyle w:val="21"/>
            </w:pPr>
            <w:r>
              <w:t>0.000001</w:t>
            </w:r>
          </w:p>
        </w:tc>
        <w:tc>
          <w:tcPr>
            <w:tcW w:w="1538" w:type="dxa"/>
            <w:noWrap/>
            <w:vAlign w:val="center"/>
          </w:tcPr>
          <w:p w14:paraId="4E674CC2">
            <w:pPr>
              <w:pStyle w:val="21"/>
            </w:pPr>
            <w:r>
              <w:t>0.000001</w:t>
            </w:r>
          </w:p>
        </w:tc>
        <w:tc>
          <w:tcPr>
            <w:tcW w:w="1537" w:type="dxa"/>
            <w:noWrap/>
          </w:tcPr>
          <w:p w14:paraId="6BF89A1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B3D0E6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05F0E9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9BF8A0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41EF9D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363C25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5243D0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A462E2E">
            <w:pPr>
              <w:jc w:val="center"/>
              <w:rPr>
                <w:rFonts w:ascii="Times New Roman" w:hAnsi="Times New Roman" w:cs="Times New Roman"/>
                <w:sz w:val="21"/>
                <w:szCs w:val="21"/>
              </w:rPr>
            </w:pPr>
            <w:r>
              <w:rPr>
                <w:rFonts w:ascii="Times New Roman" w:hAnsi="Times New Roman" w:cs="Times New Roman"/>
                <w:sz w:val="21"/>
                <w:szCs w:val="21"/>
              </w:rPr>
              <w:t>——</w:t>
            </w:r>
          </w:p>
        </w:tc>
      </w:tr>
      <w:tr w14:paraId="6BB7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3F5BFBE2">
            <w:pPr>
              <w:pStyle w:val="21"/>
            </w:pPr>
            <w:r>
              <w:t>反式-1,2-二氯乙烯</w:t>
            </w:r>
          </w:p>
        </w:tc>
        <w:tc>
          <w:tcPr>
            <w:tcW w:w="1537" w:type="dxa"/>
            <w:noWrap/>
            <w:vAlign w:val="center"/>
          </w:tcPr>
          <w:p w14:paraId="46DADBDA">
            <w:pPr>
              <w:pStyle w:val="21"/>
            </w:pPr>
            <w:r>
              <w:t>0.000013</w:t>
            </w:r>
          </w:p>
        </w:tc>
        <w:tc>
          <w:tcPr>
            <w:tcW w:w="1537" w:type="dxa"/>
            <w:noWrap/>
            <w:vAlign w:val="center"/>
          </w:tcPr>
          <w:p w14:paraId="5531105D">
            <w:pPr>
              <w:pStyle w:val="21"/>
            </w:pPr>
            <w:r>
              <w:t>0.000013</w:t>
            </w:r>
          </w:p>
        </w:tc>
        <w:tc>
          <w:tcPr>
            <w:tcW w:w="1537" w:type="dxa"/>
            <w:noWrap/>
            <w:vAlign w:val="center"/>
          </w:tcPr>
          <w:p w14:paraId="564D9547">
            <w:pPr>
              <w:pStyle w:val="21"/>
            </w:pPr>
            <w:r>
              <w:t>0.000013</w:t>
            </w:r>
          </w:p>
        </w:tc>
        <w:tc>
          <w:tcPr>
            <w:tcW w:w="1538" w:type="dxa"/>
            <w:noWrap/>
            <w:vAlign w:val="center"/>
          </w:tcPr>
          <w:p w14:paraId="7964A84B">
            <w:pPr>
              <w:pStyle w:val="21"/>
            </w:pPr>
            <w:r>
              <w:t>0.000013</w:t>
            </w:r>
          </w:p>
        </w:tc>
        <w:tc>
          <w:tcPr>
            <w:tcW w:w="1537" w:type="dxa"/>
            <w:noWrap/>
          </w:tcPr>
          <w:p w14:paraId="25994DD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54C100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2102EC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1DFEF7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6F1D01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5C9D15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A7194AF">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261C462">
            <w:pPr>
              <w:jc w:val="center"/>
              <w:rPr>
                <w:rFonts w:ascii="Times New Roman" w:hAnsi="Times New Roman" w:cs="Times New Roman"/>
                <w:sz w:val="21"/>
                <w:szCs w:val="21"/>
              </w:rPr>
            </w:pPr>
            <w:r>
              <w:rPr>
                <w:rFonts w:ascii="Times New Roman" w:hAnsi="Times New Roman" w:cs="Times New Roman"/>
                <w:sz w:val="21"/>
                <w:szCs w:val="21"/>
              </w:rPr>
              <w:t>——</w:t>
            </w:r>
          </w:p>
        </w:tc>
      </w:tr>
      <w:tr w14:paraId="2E25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00E8E0E0">
            <w:pPr>
              <w:pStyle w:val="21"/>
            </w:pPr>
            <w:r>
              <w:t>二氯甲烷</w:t>
            </w:r>
          </w:p>
        </w:tc>
        <w:tc>
          <w:tcPr>
            <w:tcW w:w="1537" w:type="dxa"/>
            <w:noWrap/>
            <w:vAlign w:val="center"/>
          </w:tcPr>
          <w:p w14:paraId="0107AD3F">
            <w:pPr>
              <w:pStyle w:val="21"/>
            </w:pPr>
            <w:r>
              <w:t>0.000001</w:t>
            </w:r>
          </w:p>
        </w:tc>
        <w:tc>
          <w:tcPr>
            <w:tcW w:w="1537" w:type="dxa"/>
            <w:noWrap/>
            <w:vAlign w:val="center"/>
          </w:tcPr>
          <w:p w14:paraId="1E8E0263">
            <w:pPr>
              <w:pStyle w:val="21"/>
            </w:pPr>
            <w:r>
              <w:t>0.000001</w:t>
            </w:r>
          </w:p>
        </w:tc>
        <w:tc>
          <w:tcPr>
            <w:tcW w:w="1537" w:type="dxa"/>
            <w:noWrap/>
            <w:vAlign w:val="center"/>
          </w:tcPr>
          <w:p w14:paraId="48FE4D4B">
            <w:pPr>
              <w:pStyle w:val="21"/>
            </w:pPr>
            <w:r>
              <w:t>0.000001</w:t>
            </w:r>
          </w:p>
        </w:tc>
        <w:tc>
          <w:tcPr>
            <w:tcW w:w="1538" w:type="dxa"/>
            <w:noWrap/>
            <w:vAlign w:val="center"/>
          </w:tcPr>
          <w:p w14:paraId="5EE7FFB6">
            <w:pPr>
              <w:pStyle w:val="21"/>
            </w:pPr>
            <w:r>
              <w:t>0.000001</w:t>
            </w:r>
          </w:p>
        </w:tc>
        <w:tc>
          <w:tcPr>
            <w:tcW w:w="1537" w:type="dxa"/>
            <w:noWrap/>
          </w:tcPr>
          <w:p w14:paraId="0549D9F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D3B7AF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DE97CA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160A0A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2FF521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7FC79F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BDFFB7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ABF762C">
            <w:pPr>
              <w:jc w:val="center"/>
              <w:rPr>
                <w:rFonts w:ascii="Times New Roman" w:hAnsi="Times New Roman" w:cs="Times New Roman"/>
                <w:sz w:val="21"/>
                <w:szCs w:val="21"/>
              </w:rPr>
            </w:pPr>
            <w:r>
              <w:rPr>
                <w:rFonts w:ascii="Times New Roman" w:hAnsi="Times New Roman" w:cs="Times New Roman"/>
                <w:sz w:val="21"/>
                <w:szCs w:val="21"/>
              </w:rPr>
              <w:t>——</w:t>
            </w:r>
          </w:p>
        </w:tc>
      </w:tr>
      <w:tr w14:paraId="0BCA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B6DE10D">
            <w:pPr>
              <w:pStyle w:val="21"/>
            </w:pPr>
            <w:r>
              <w:t>1,2-二氯丙烷</w:t>
            </w:r>
          </w:p>
        </w:tc>
        <w:tc>
          <w:tcPr>
            <w:tcW w:w="1537" w:type="dxa"/>
            <w:noWrap/>
            <w:vAlign w:val="center"/>
          </w:tcPr>
          <w:p w14:paraId="715F9D91">
            <w:pPr>
              <w:pStyle w:val="21"/>
            </w:pPr>
            <w:r>
              <w:t>0.0001</w:t>
            </w:r>
          </w:p>
        </w:tc>
        <w:tc>
          <w:tcPr>
            <w:tcW w:w="1537" w:type="dxa"/>
            <w:noWrap/>
            <w:vAlign w:val="center"/>
          </w:tcPr>
          <w:p w14:paraId="7C2CA89A">
            <w:pPr>
              <w:pStyle w:val="21"/>
            </w:pPr>
            <w:r>
              <w:t>0.0001</w:t>
            </w:r>
          </w:p>
        </w:tc>
        <w:tc>
          <w:tcPr>
            <w:tcW w:w="1537" w:type="dxa"/>
            <w:noWrap/>
            <w:vAlign w:val="center"/>
          </w:tcPr>
          <w:p w14:paraId="584D0F8F">
            <w:pPr>
              <w:pStyle w:val="21"/>
            </w:pPr>
            <w:r>
              <w:t>0.0001</w:t>
            </w:r>
          </w:p>
        </w:tc>
        <w:tc>
          <w:tcPr>
            <w:tcW w:w="1538" w:type="dxa"/>
            <w:noWrap/>
            <w:vAlign w:val="center"/>
          </w:tcPr>
          <w:p w14:paraId="1F5AC548">
            <w:pPr>
              <w:pStyle w:val="21"/>
            </w:pPr>
            <w:r>
              <w:t>0.0001</w:t>
            </w:r>
          </w:p>
        </w:tc>
        <w:tc>
          <w:tcPr>
            <w:tcW w:w="1537" w:type="dxa"/>
            <w:noWrap/>
          </w:tcPr>
          <w:p w14:paraId="784F16F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D30402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F1A8E03">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8C6BB2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B063AC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90ACBC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E393E94">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5229C11">
            <w:pPr>
              <w:jc w:val="center"/>
              <w:rPr>
                <w:rFonts w:ascii="Times New Roman" w:hAnsi="Times New Roman" w:cs="Times New Roman"/>
                <w:sz w:val="21"/>
                <w:szCs w:val="21"/>
              </w:rPr>
            </w:pPr>
            <w:r>
              <w:rPr>
                <w:rFonts w:ascii="Times New Roman" w:hAnsi="Times New Roman" w:cs="Times New Roman"/>
                <w:sz w:val="21"/>
                <w:szCs w:val="21"/>
              </w:rPr>
              <w:t>——</w:t>
            </w:r>
          </w:p>
        </w:tc>
      </w:tr>
      <w:tr w14:paraId="66A7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613BFF78">
            <w:pPr>
              <w:pStyle w:val="21"/>
            </w:pPr>
            <w:r>
              <w:t>1,1,1,2-四氯乙烷</w:t>
            </w:r>
          </w:p>
        </w:tc>
        <w:tc>
          <w:tcPr>
            <w:tcW w:w="1537" w:type="dxa"/>
            <w:noWrap/>
            <w:vAlign w:val="center"/>
          </w:tcPr>
          <w:p w14:paraId="55C48EC3">
            <w:pPr>
              <w:pStyle w:val="21"/>
            </w:pPr>
            <w:r>
              <w:t>0.0001</w:t>
            </w:r>
          </w:p>
        </w:tc>
        <w:tc>
          <w:tcPr>
            <w:tcW w:w="1537" w:type="dxa"/>
            <w:noWrap/>
            <w:vAlign w:val="center"/>
          </w:tcPr>
          <w:p w14:paraId="70A5A574">
            <w:pPr>
              <w:pStyle w:val="21"/>
            </w:pPr>
            <w:r>
              <w:t>0.0001</w:t>
            </w:r>
          </w:p>
        </w:tc>
        <w:tc>
          <w:tcPr>
            <w:tcW w:w="1537" w:type="dxa"/>
            <w:noWrap/>
            <w:vAlign w:val="center"/>
          </w:tcPr>
          <w:p w14:paraId="1DC95272">
            <w:pPr>
              <w:pStyle w:val="21"/>
            </w:pPr>
            <w:r>
              <w:t>0.0001</w:t>
            </w:r>
          </w:p>
        </w:tc>
        <w:tc>
          <w:tcPr>
            <w:tcW w:w="1538" w:type="dxa"/>
            <w:noWrap/>
            <w:vAlign w:val="center"/>
          </w:tcPr>
          <w:p w14:paraId="4F6CAA44">
            <w:pPr>
              <w:pStyle w:val="21"/>
            </w:pPr>
            <w:r>
              <w:t>0.0001</w:t>
            </w:r>
          </w:p>
        </w:tc>
        <w:tc>
          <w:tcPr>
            <w:tcW w:w="1537" w:type="dxa"/>
            <w:noWrap/>
          </w:tcPr>
          <w:p w14:paraId="16CCDE2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C7343C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CFBF95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99871F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858ECF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687B09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E8DC002">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F0BE6F0">
            <w:pPr>
              <w:jc w:val="center"/>
              <w:rPr>
                <w:rFonts w:ascii="Times New Roman" w:hAnsi="Times New Roman" w:cs="Times New Roman"/>
                <w:sz w:val="21"/>
                <w:szCs w:val="21"/>
              </w:rPr>
            </w:pPr>
            <w:r>
              <w:rPr>
                <w:rFonts w:ascii="Times New Roman" w:hAnsi="Times New Roman" w:cs="Times New Roman"/>
                <w:sz w:val="21"/>
                <w:szCs w:val="21"/>
              </w:rPr>
              <w:t>——</w:t>
            </w:r>
          </w:p>
        </w:tc>
      </w:tr>
      <w:tr w14:paraId="0D9E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41F4B32D">
            <w:pPr>
              <w:pStyle w:val="21"/>
            </w:pPr>
            <w:r>
              <w:t>1,1,2,2-四氯乙烷</w:t>
            </w:r>
          </w:p>
        </w:tc>
        <w:tc>
          <w:tcPr>
            <w:tcW w:w="1537" w:type="dxa"/>
            <w:noWrap/>
            <w:vAlign w:val="center"/>
          </w:tcPr>
          <w:p w14:paraId="638A9572">
            <w:pPr>
              <w:pStyle w:val="21"/>
            </w:pPr>
            <w:r>
              <w:t>0.0001</w:t>
            </w:r>
          </w:p>
        </w:tc>
        <w:tc>
          <w:tcPr>
            <w:tcW w:w="1537" w:type="dxa"/>
            <w:noWrap/>
            <w:vAlign w:val="center"/>
          </w:tcPr>
          <w:p w14:paraId="569416EC">
            <w:pPr>
              <w:pStyle w:val="21"/>
            </w:pPr>
            <w:r>
              <w:t>0.0001</w:t>
            </w:r>
          </w:p>
        </w:tc>
        <w:tc>
          <w:tcPr>
            <w:tcW w:w="1537" w:type="dxa"/>
            <w:noWrap/>
            <w:vAlign w:val="center"/>
          </w:tcPr>
          <w:p w14:paraId="0A4033C7">
            <w:pPr>
              <w:pStyle w:val="21"/>
            </w:pPr>
            <w:r>
              <w:t>0.0001</w:t>
            </w:r>
          </w:p>
        </w:tc>
        <w:tc>
          <w:tcPr>
            <w:tcW w:w="1538" w:type="dxa"/>
            <w:noWrap/>
            <w:vAlign w:val="center"/>
          </w:tcPr>
          <w:p w14:paraId="5C0F1D2D">
            <w:pPr>
              <w:pStyle w:val="21"/>
            </w:pPr>
            <w:r>
              <w:t>0.0001</w:t>
            </w:r>
          </w:p>
        </w:tc>
        <w:tc>
          <w:tcPr>
            <w:tcW w:w="1537" w:type="dxa"/>
            <w:noWrap/>
          </w:tcPr>
          <w:p w14:paraId="4ADF36E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04A9A9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919FFD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5793C6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70F8FD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B0E032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39B8CB1">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1712B82">
            <w:pPr>
              <w:jc w:val="center"/>
              <w:rPr>
                <w:rFonts w:ascii="Times New Roman" w:hAnsi="Times New Roman" w:cs="Times New Roman"/>
                <w:sz w:val="21"/>
                <w:szCs w:val="21"/>
              </w:rPr>
            </w:pPr>
            <w:r>
              <w:rPr>
                <w:rFonts w:ascii="Times New Roman" w:hAnsi="Times New Roman" w:cs="Times New Roman"/>
                <w:sz w:val="21"/>
                <w:szCs w:val="21"/>
              </w:rPr>
              <w:t>——</w:t>
            </w:r>
          </w:p>
        </w:tc>
      </w:tr>
      <w:tr w14:paraId="2DD8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22EF856A">
            <w:pPr>
              <w:pStyle w:val="21"/>
            </w:pPr>
            <w:r>
              <w:t>四氯乙烯</w:t>
            </w:r>
          </w:p>
        </w:tc>
        <w:tc>
          <w:tcPr>
            <w:tcW w:w="1537" w:type="dxa"/>
            <w:noWrap/>
            <w:vAlign w:val="center"/>
          </w:tcPr>
          <w:p w14:paraId="59DDFB4A">
            <w:pPr>
              <w:pStyle w:val="21"/>
            </w:pPr>
            <w:r>
              <w:t>0.00001</w:t>
            </w:r>
          </w:p>
        </w:tc>
        <w:tc>
          <w:tcPr>
            <w:tcW w:w="1537" w:type="dxa"/>
            <w:noWrap/>
            <w:vAlign w:val="center"/>
          </w:tcPr>
          <w:p w14:paraId="33FE202C">
            <w:pPr>
              <w:pStyle w:val="21"/>
            </w:pPr>
            <w:r>
              <w:t>0.00001</w:t>
            </w:r>
          </w:p>
        </w:tc>
        <w:tc>
          <w:tcPr>
            <w:tcW w:w="1537" w:type="dxa"/>
            <w:noWrap/>
            <w:vAlign w:val="center"/>
          </w:tcPr>
          <w:p w14:paraId="37250D1B">
            <w:pPr>
              <w:pStyle w:val="21"/>
            </w:pPr>
            <w:r>
              <w:t>0.00001</w:t>
            </w:r>
          </w:p>
        </w:tc>
        <w:tc>
          <w:tcPr>
            <w:tcW w:w="1538" w:type="dxa"/>
            <w:noWrap/>
            <w:vAlign w:val="center"/>
          </w:tcPr>
          <w:p w14:paraId="23748579">
            <w:pPr>
              <w:pStyle w:val="21"/>
            </w:pPr>
            <w:r>
              <w:t>0.00001</w:t>
            </w:r>
          </w:p>
        </w:tc>
        <w:tc>
          <w:tcPr>
            <w:tcW w:w="1537" w:type="dxa"/>
            <w:noWrap/>
          </w:tcPr>
          <w:p w14:paraId="4831436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4F4AFF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A0EC0B6">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303F23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970EC1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C1F329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3E38BD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B79770C">
            <w:pPr>
              <w:jc w:val="center"/>
              <w:rPr>
                <w:rFonts w:ascii="Times New Roman" w:hAnsi="Times New Roman" w:cs="Times New Roman"/>
                <w:sz w:val="21"/>
                <w:szCs w:val="21"/>
              </w:rPr>
            </w:pPr>
            <w:r>
              <w:rPr>
                <w:rFonts w:ascii="Times New Roman" w:hAnsi="Times New Roman" w:cs="Times New Roman"/>
                <w:sz w:val="21"/>
                <w:szCs w:val="21"/>
              </w:rPr>
              <w:t>——</w:t>
            </w:r>
          </w:p>
        </w:tc>
      </w:tr>
      <w:tr w14:paraId="1651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77BF4B2E">
            <w:pPr>
              <w:pStyle w:val="21"/>
            </w:pPr>
            <w:r>
              <w:t>1,1,1-三氯乙烷</w:t>
            </w:r>
          </w:p>
        </w:tc>
        <w:tc>
          <w:tcPr>
            <w:tcW w:w="1537" w:type="dxa"/>
            <w:noWrap/>
            <w:vAlign w:val="center"/>
          </w:tcPr>
          <w:p w14:paraId="00B41EE6">
            <w:pPr>
              <w:pStyle w:val="21"/>
            </w:pPr>
            <w:r>
              <w:t>0.000001</w:t>
            </w:r>
          </w:p>
        </w:tc>
        <w:tc>
          <w:tcPr>
            <w:tcW w:w="1537" w:type="dxa"/>
            <w:noWrap/>
            <w:vAlign w:val="center"/>
          </w:tcPr>
          <w:p w14:paraId="19120259">
            <w:pPr>
              <w:pStyle w:val="21"/>
            </w:pPr>
            <w:r>
              <w:t>0.000001</w:t>
            </w:r>
          </w:p>
        </w:tc>
        <w:tc>
          <w:tcPr>
            <w:tcW w:w="1537" w:type="dxa"/>
            <w:noWrap/>
            <w:vAlign w:val="center"/>
          </w:tcPr>
          <w:p w14:paraId="62F0CAED">
            <w:pPr>
              <w:pStyle w:val="21"/>
            </w:pPr>
            <w:r>
              <w:t>0.000001</w:t>
            </w:r>
          </w:p>
        </w:tc>
        <w:tc>
          <w:tcPr>
            <w:tcW w:w="1538" w:type="dxa"/>
            <w:noWrap/>
            <w:vAlign w:val="center"/>
          </w:tcPr>
          <w:p w14:paraId="4AA5CD16">
            <w:pPr>
              <w:pStyle w:val="21"/>
            </w:pPr>
            <w:r>
              <w:t>0.000001</w:t>
            </w:r>
          </w:p>
        </w:tc>
        <w:tc>
          <w:tcPr>
            <w:tcW w:w="1537" w:type="dxa"/>
            <w:noWrap/>
          </w:tcPr>
          <w:p w14:paraId="55B9A53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E03780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621ABD1">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4C95F0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C4E300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E95831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8D3D21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12EAA8C">
            <w:pPr>
              <w:jc w:val="center"/>
              <w:rPr>
                <w:rFonts w:ascii="Times New Roman" w:hAnsi="Times New Roman" w:cs="Times New Roman"/>
                <w:sz w:val="21"/>
                <w:szCs w:val="21"/>
              </w:rPr>
            </w:pPr>
            <w:r>
              <w:rPr>
                <w:rFonts w:ascii="Times New Roman" w:hAnsi="Times New Roman" w:cs="Times New Roman"/>
                <w:sz w:val="21"/>
                <w:szCs w:val="21"/>
              </w:rPr>
              <w:t>——</w:t>
            </w:r>
          </w:p>
        </w:tc>
      </w:tr>
      <w:tr w14:paraId="0287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405" w:type="dxa"/>
            <w:vAlign w:val="center"/>
          </w:tcPr>
          <w:p w14:paraId="505781FF">
            <w:pPr>
              <w:pStyle w:val="21"/>
            </w:pPr>
            <w:r>
              <w:t>1,1,2-三氯乙烷</w:t>
            </w:r>
          </w:p>
        </w:tc>
        <w:tc>
          <w:tcPr>
            <w:tcW w:w="1537" w:type="dxa"/>
            <w:noWrap/>
            <w:vAlign w:val="center"/>
          </w:tcPr>
          <w:p w14:paraId="4822ECE0">
            <w:pPr>
              <w:pStyle w:val="21"/>
            </w:pPr>
            <w:r>
              <w:t>0.0002</w:t>
            </w:r>
          </w:p>
        </w:tc>
        <w:tc>
          <w:tcPr>
            <w:tcW w:w="1537" w:type="dxa"/>
            <w:noWrap/>
            <w:vAlign w:val="center"/>
          </w:tcPr>
          <w:p w14:paraId="7EE63406">
            <w:pPr>
              <w:pStyle w:val="21"/>
            </w:pPr>
            <w:r>
              <w:t>0.0002</w:t>
            </w:r>
          </w:p>
        </w:tc>
        <w:tc>
          <w:tcPr>
            <w:tcW w:w="1537" w:type="dxa"/>
            <w:noWrap/>
            <w:vAlign w:val="center"/>
          </w:tcPr>
          <w:p w14:paraId="6066C489">
            <w:pPr>
              <w:pStyle w:val="21"/>
            </w:pPr>
            <w:r>
              <w:t>0.0002</w:t>
            </w:r>
          </w:p>
        </w:tc>
        <w:tc>
          <w:tcPr>
            <w:tcW w:w="1538" w:type="dxa"/>
            <w:noWrap/>
            <w:vAlign w:val="center"/>
          </w:tcPr>
          <w:p w14:paraId="618EAD6F">
            <w:pPr>
              <w:pStyle w:val="21"/>
            </w:pPr>
            <w:r>
              <w:t>0.0002</w:t>
            </w:r>
          </w:p>
        </w:tc>
        <w:tc>
          <w:tcPr>
            <w:tcW w:w="1537" w:type="dxa"/>
            <w:noWrap/>
          </w:tcPr>
          <w:p w14:paraId="39A06A3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A17B99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B37A82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139BE6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F4A22A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A21159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246704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34D2B6E">
            <w:pPr>
              <w:jc w:val="center"/>
              <w:rPr>
                <w:rFonts w:ascii="Times New Roman" w:hAnsi="Times New Roman" w:cs="Times New Roman"/>
                <w:sz w:val="21"/>
                <w:szCs w:val="21"/>
              </w:rPr>
            </w:pPr>
            <w:r>
              <w:rPr>
                <w:rFonts w:ascii="Times New Roman" w:hAnsi="Times New Roman" w:cs="Times New Roman"/>
                <w:sz w:val="21"/>
                <w:szCs w:val="21"/>
              </w:rPr>
              <w:t>——</w:t>
            </w:r>
          </w:p>
        </w:tc>
      </w:tr>
      <w:tr w14:paraId="5C48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33EF97D8">
            <w:pPr>
              <w:pStyle w:val="21"/>
            </w:pPr>
            <w:r>
              <w:t>三氯乙烯</w:t>
            </w:r>
          </w:p>
        </w:tc>
        <w:tc>
          <w:tcPr>
            <w:tcW w:w="1537" w:type="dxa"/>
            <w:noWrap/>
            <w:vAlign w:val="center"/>
          </w:tcPr>
          <w:p w14:paraId="09A11509">
            <w:pPr>
              <w:pStyle w:val="21"/>
            </w:pPr>
            <w:r>
              <w:t>0.0002</w:t>
            </w:r>
          </w:p>
        </w:tc>
        <w:tc>
          <w:tcPr>
            <w:tcW w:w="1537" w:type="dxa"/>
            <w:noWrap/>
            <w:vAlign w:val="center"/>
          </w:tcPr>
          <w:p w14:paraId="03B0C367">
            <w:pPr>
              <w:pStyle w:val="21"/>
            </w:pPr>
            <w:r>
              <w:t>0.0002</w:t>
            </w:r>
          </w:p>
        </w:tc>
        <w:tc>
          <w:tcPr>
            <w:tcW w:w="1537" w:type="dxa"/>
            <w:noWrap/>
            <w:vAlign w:val="center"/>
          </w:tcPr>
          <w:p w14:paraId="2F4504AF">
            <w:pPr>
              <w:pStyle w:val="21"/>
            </w:pPr>
            <w:r>
              <w:t>0.0002</w:t>
            </w:r>
          </w:p>
        </w:tc>
        <w:tc>
          <w:tcPr>
            <w:tcW w:w="1538" w:type="dxa"/>
            <w:noWrap/>
            <w:vAlign w:val="center"/>
          </w:tcPr>
          <w:p w14:paraId="05D1853F">
            <w:pPr>
              <w:pStyle w:val="21"/>
            </w:pPr>
            <w:r>
              <w:t>0.0002</w:t>
            </w:r>
          </w:p>
        </w:tc>
        <w:tc>
          <w:tcPr>
            <w:tcW w:w="1537" w:type="dxa"/>
            <w:noWrap/>
          </w:tcPr>
          <w:p w14:paraId="51F162E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46D224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9C89AC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FE71C8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03E95D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C079D3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B264834">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6ACBFD7">
            <w:pPr>
              <w:jc w:val="center"/>
              <w:rPr>
                <w:rFonts w:ascii="Times New Roman" w:hAnsi="Times New Roman" w:cs="Times New Roman"/>
                <w:sz w:val="21"/>
                <w:szCs w:val="21"/>
              </w:rPr>
            </w:pPr>
            <w:r>
              <w:rPr>
                <w:rFonts w:ascii="Times New Roman" w:hAnsi="Times New Roman" w:cs="Times New Roman"/>
                <w:sz w:val="21"/>
                <w:szCs w:val="21"/>
              </w:rPr>
              <w:t>——</w:t>
            </w:r>
          </w:p>
        </w:tc>
      </w:tr>
      <w:tr w14:paraId="1813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65DD35A7">
            <w:pPr>
              <w:pStyle w:val="21"/>
            </w:pPr>
            <w:r>
              <w:t>1,2,3-三氯丙烷</w:t>
            </w:r>
          </w:p>
        </w:tc>
        <w:tc>
          <w:tcPr>
            <w:tcW w:w="1537" w:type="dxa"/>
            <w:noWrap/>
            <w:vAlign w:val="center"/>
          </w:tcPr>
          <w:p w14:paraId="7260301E">
            <w:pPr>
              <w:pStyle w:val="21"/>
            </w:pPr>
            <w:r>
              <w:t>0.0012</w:t>
            </w:r>
          </w:p>
        </w:tc>
        <w:tc>
          <w:tcPr>
            <w:tcW w:w="1537" w:type="dxa"/>
            <w:noWrap/>
            <w:vAlign w:val="center"/>
          </w:tcPr>
          <w:p w14:paraId="6F22D0AD">
            <w:pPr>
              <w:pStyle w:val="21"/>
            </w:pPr>
            <w:r>
              <w:t>0.0012</w:t>
            </w:r>
          </w:p>
        </w:tc>
        <w:tc>
          <w:tcPr>
            <w:tcW w:w="1537" w:type="dxa"/>
            <w:noWrap/>
            <w:vAlign w:val="center"/>
          </w:tcPr>
          <w:p w14:paraId="25AC7EB3">
            <w:pPr>
              <w:pStyle w:val="21"/>
            </w:pPr>
            <w:r>
              <w:t>0.0012</w:t>
            </w:r>
          </w:p>
        </w:tc>
        <w:tc>
          <w:tcPr>
            <w:tcW w:w="1538" w:type="dxa"/>
            <w:noWrap/>
            <w:vAlign w:val="center"/>
          </w:tcPr>
          <w:p w14:paraId="65856A9F">
            <w:pPr>
              <w:pStyle w:val="21"/>
            </w:pPr>
            <w:r>
              <w:t>0.0012</w:t>
            </w:r>
          </w:p>
        </w:tc>
        <w:tc>
          <w:tcPr>
            <w:tcW w:w="1537" w:type="dxa"/>
            <w:noWrap/>
          </w:tcPr>
          <w:p w14:paraId="4A584E8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8CA233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DB573A2">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521DD5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F3594D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59B0EF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898CE14">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9269448">
            <w:pPr>
              <w:jc w:val="center"/>
              <w:rPr>
                <w:rFonts w:ascii="Times New Roman" w:hAnsi="Times New Roman" w:cs="Times New Roman"/>
                <w:sz w:val="21"/>
                <w:szCs w:val="21"/>
              </w:rPr>
            </w:pPr>
            <w:r>
              <w:rPr>
                <w:rFonts w:ascii="Times New Roman" w:hAnsi="Times New Roman" w:cs="Times New Roman"/>
                <w:sz w:val="21"/>
                <w:szCs w:val="21"/>
              </w:rPr>
              <w:t>——</w:t>
            </w:r>
          </w:p>
        </w:tc>
      </w:tr>
      <w:tr w14:paraId="2891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3A27E337">
            <w:pPr>
              <w:pStyle w:val="21"/>
            </w:pPr>
            <w:r>
              <w:t>氯乙烯</w:t>
            </w:r>
          </w:p>
        </w:tc>
        <w:tc>
          <w:tcPr>
            <w:tcW w:w="1537" w:type="dxa"/>
            <w:noWrap/>
            <w:vAlign w:val="center"/>
          </w:tcPr>
          <w:p w14:paraId="2744968A">
            <w:pPr>
              <w:pStyle w:val="21"/>
            </w:pPr>
            <w:r>
              <w:t>0.0012</w:t>
            </w:r>
          </w:p>
        </w:tc>
        <w:tc>
          <w:tcPr>
            <w:tcW w:w="1537" w:type="dxa"/>
            <w:noWrap/>
            <w:vAlign w:val="center"/>
          </w:tcPr>
          <w:p w14:paraId="0D4FF2A5">
            <w:pPr>
              <w:pStyle w:val="21"/>
            </w:pPr>
            <w:r>
              <w:t>0.0012</w:t>
            </w:r>
          </w:p>
        </w:tc>
        <w:tc>
          <w:tcPr>
            <w:tcW w:w="1537" w:type="dxa"/>
            <w:noWrap/>
            <w:vAlign w:val="center"/>
          </w:tcPr>
          <w:p w14:paraId="4F1C547F">
            <w:pPr>
              <w:pStyle w:val="21"/>
            </w:pPr>
            <w:r>
              <w:t>0.0012</w:t>
            </w:r>
          </w:p>
        </w:tc>
        <w:tc>
          <w:tcPr>
            <w:tcW w:w="1538" w:type="dxa"/>
            <w:noWrap/>
            <w:vAlign w:val="center"/>
          </w:tcPr>
          <w:p w14:paraId="0CE25A97">
            <w:pPr>
              <w:pStyle w:val="21"/>
            </w:pPr>
            <w:r>
              <w:t>0.0012</w:t>
            </w:r>
          </w:p>
        </w:tc>
        <w:tc>
          <w:tcPr>
            <w:tcW w:w="1537" w:type="dxa"/>
            <w:noWrap/>
          </w:tcPr>
          <w:p w14:paraId="62BA0D2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69750C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602EAA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8F145B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B0C3BA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F5A065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BB1C458">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DC63950">
            <w:pPr>
              <w:jc w:val="center"/>
              <w:rPr>
                <w:rFonts w:ascii="Times New Roman" w:hAnsi="Times New Roman" w:cs="Times New Roman"/>
                <w:sz w:val="21"/>
                <w:szCs w:val="21"/>
              </w:rPr>
            </w:pPr>
            <w:r>
              <w:rPr>
                <w:rFonts w:ascii="Times New Roman" w:hAnsi="Times New Roman" w:cs="Times New Roman"/>
                <w:sz w:val="21"/>
                <w:szCs w:val="21"/>
              </w:rPr>
              <w:t>——</w:t>
            </w:r>
          </w:p>
        </w:tc>
      </w:tr>
      <w:tr w14:paraId="04A1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20D15F5">
            <w:pPr>
              <w:pStyle w:val="21"/>
            </w:pPr>
            <w:r>
              <w:t>苯</w:t>
            </w:r>
          </w:p>
        </w:tc>
        <w:tc>
          <w:tcPr>
            <w:tcW w:w="1537" w:type="dxa"/>
            <w:noWrap/>
            <w:vAlign w:val="center"/>
          </w:tcPr>
          <w:p w14:paraId="7B105C79">
            <w:pPr>
              <w:pStyle w:val="21"/>
            </w:pPr>
            <w:r>
              <w:t>0.0002</w:t>
            </w:r>
          </w:p>
        </w:tc>
        <w:tc>
          <w:tcPr>
            <w:tcW w:w="1537" w:type="dxa"/>
            <w:noWrap/>
            <w:vAlign w:val="center"/>
          </w:tcPr>
          <w:p w14:paraId="3DB8938E">
            <w:pPr>
              <w:pStyle w:val="21"/>
            </w:pPr>
            <w:r>
              <w:t>0.0002</w:t>
            </w:r>
          </w:p>
        </w:tc>
        <w:tc>
          <w:tcPr>
            <w:tcW w:w="1537" w:type="dxa"/>
            <w:noWrap/>
            <w:vAlign w:val="center"/>
          </w:tcPr>
          <w:p w14:paraId="6D018354">
            <w:pPr>
              <w:pStyle w:val="21"/>
            </w:pPr>
            <w:r>
              <w:t>0.0002</w:t>
            </w:r>
          </w:p>
        </w:tc>
        <w:tc>
          <w:tcPr>
            <w:tcW w:w="1538" w:type="dxa"/>
            <w:noWrap/>
            <w:vAlign w:val="center"/>
          </w:tcPr>
          <w:p w14:paraId="6E181810">
            <w:pPr>
              <w:pStyle w:val="21"/>
            </w:pPr>
            <w:r>
              <w:t>0.0002</w:t>
            </w:r>
          </w:p>
        </w:tc>
        <w:tc>
          <w:tcPr>
            <w:tcW w:w="1537" w:type="dxa"/>
            <w:noWrap/>
          </w:tcPr>
          <w:p w14:paraId="2D60030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7617FC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26F093F">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8C2929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B7DDF5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6ED6FC3">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DE541F1">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F1F7392">
            <w:pPr>
              <w:jc w:val="center"/>
              <w:rPr>
                <w:rFonts w:ascii="Times New Roman" w:hAnsi="Times New Roman" w:cs="Times New Roman"/>
                <w:sz w:val="21"/>
                <w:szCs w:val="21"/>
              </w:rPr>
            </w:pPr>
            <w:r>
              <w:rPr>
                <w:rFonts w:ascii="Times New Roman" w:hAnsi="Times New Roman" w:cs="Times New Roman"/>
                <w:sz w:val="21"/>
                <w:szCs w:val="21"/>
              </w:rPr>
              <w:t>——</w:t>
            </w:r>
          </w:p>
        </w:tc>
      </w:tr>
      <w:tr w14:paraId="38CE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450B747">
            <w:pPr>
              <w:pStyle w:val="21"/>
            </w:pPr>
            <w:r>
              <w:t>氯苯</w:t>
            </w:r>
          </w:p>
        </w:tc>
        <w:tc>
          <w:tcPr>
            <w:tcW w:w="1537" w:type="dxa"/>
            <w:noWrap/>
            <w:vAlign w:val="center"/>
          </w:tcPr>
          <w:p w14:paraId="679408BD">
            <w:pPr>
              <w:pStyle w:val="21"/>
            </w:pPr>
            <w:r>
              <w:t>0.000002</w:t>
            </w:r>
          </w:p>
        </w:tc>
        <w:tc>
          <w:tcPr>
            <w:tcW w:w="1537" w:type="dxa"/>
            <w:noWrap/>
            <w:vAlign w:val="center"/>
          </w:tcPr>
          <w:p w14:paraId="352034B8">
            <w:pPr>
              <w:pStyle w:val="21"/>
            </w:pPr>
            <w:r>
              <w:t>0.000002</w:t>
            </w:r>
          </w:p>
        </w:tc>
        <w:tc>
          <w:tcPr>
            <w:tcW w:w="1537" w:type="dxa"/>
            <w:noWrap/>
            <w:vAlign w:val="center"/>
          </w:tcPr>
          <w:p w14:paraId="2F934C90">
            <w:pPr>
              <w:pStyle w:val="21"/>
            </w:pPr>
            <w:r>
              <w:t>0.000002</w:t>
            </w:r>
          </w:p>
        </w:tc>
        <w:tc>
          <w:tcPr>
            <w:tcW w:w="1538" w:type="dxa"/>
            <w:noWrap/>
            <w:vAlign w:val="center"/>
          </w:tcPr>
          <w:p w14:paraId="40ED025C">
            <w:pPr>
              <w:pStyle w:val="21"/>
            </w:pPr>
            <w:r>
              <w:t>0.000002</w:t>
            </w:r>
          </w:p>
        </w:tc>
        <w:tc>
          <w:tcPr>
            <w:tcW w:w="1537" w:type="dxa"/>
            <w:noWrap/>
          </w:tcPr>
          <w:p w14:paraId="5F80594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9EE4BD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5E1514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FF7CB2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039D0D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50DA5F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7A5CBA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E8393ED">
            <w:pPr>
              <w:jc w:val="center"/>
              <w:rPr>
                <w:rFonts w:ascii="Times New Roman" w:hAnsi="Times New Roman" w:cs="Times New Roman"/>
                <w:sz w:val="21"/>
                <w:szCs w:val="21"/>
              </w:rPr>
            </w:pPr>
            <w:r>
              <w:rPr>
                <w:rFonts w:ascii="Times New Roman" w:hAnsi="Times New Roman" w:cs="Times New Roman"/>
                <w:sz w:val="21"/>
                <w:szCs w:val="21"/>
              </w:rPr>
              <w:t>——</w:t>
            </w:r>
          </w:p>
        </w:tc>
      </w:tr>
      <w:tr w14:paraId="7587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B5E0B49">
            <w:pPr>
              <w:pStyle w:val="21"/>
            </w:pPr>
            <w:r>
              <w:t>1,2-二氯苯</w:t>
            </w:r>
          </w:p>
        </w:tc>
        <w:tc>
          <w:tcPr>
            <w:tcW w:w="1537" w:type="dxa"/>
            <w:noWrap/>
            <w:vAlign w:val="center"/>
          </w:tcPr>
          <w:p w14:paraId="11E3DE91">
            <w:pPr>
              <w:pStyle w:val="21"/>
            </w:pPr>
            <w:r>
              <w:t>0.000001</w:t>
            </w:r>
          </w:p>
        </w:tc>
        <w:tc>
          <w:tcPr>
            <w:tcW w:w="1537" w:type="dxa"/>
            <w:noWrap/>
            <w:vAlign w:val="center"/>
          </w:tcPr>
          <w:p w14:paraId="6DDE1BA4">
            <w:pPr>
              <w:pStyle w:val="21"/>
            </w:pPr>
            <w:r>
              <w:t>0.000001</w:t>
            </w:r>
          </w:p>
        </w:tc>
        <w:tc>
          <w:tcPr>
            <w:tcW w:w="1537" w:type="dxa"/>
            <w:noWrap/>
            <w:vAlign w:val="center"/>
          </w:tcPr>
          <w:p w14:paraId="7CD760E7">
            <w:pPr>
              <w:pStyle w:val="21"/>
            </w:pPr>
            <w:r>
              <w:t>0.000001</w:t>
            </w:r>
          </w:p>
        </w:tc>
        <w:tc>
          <w:tcPr>
            <w:tcW w:w="1538" w:type="dxa"/>
            <w:noWrap/>
            <w:vAlign w:val="center"/>
          </w:tcPr>
          <w:p w14:paraId="6DAD87B5">
            <w:pPr>
              <w:pStyle w:val="21"/>
            </w:pPr>
            <w:r>
              <w:t>0.000001</w:t>
            </w:r>
          </w:p>
        </w:tc>
        <w:tc>
          <w:tcPr>
            <w:tcW w:w="1537" w:type="dxa"/>
            <w:noWrap/>
          </w:tcPr>
          <w:p w14:paraId="353C2C7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082482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1174DED">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615285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4B9174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BBFC2D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6A33C4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F4B4449">
            <w:pPr>
              <w:jc w:val="center"/>
              <w:rPr>
                <w:rFonts w:ascii="Times New Roman" w:hAnsi="Times New Roman" w:cs="Times New Roman"/>
                <w:sz w:val="21"/>
                <w:szCs w:val="21"/>
              </w:rPr>
            </w:pPr>
            <w:r>
              <w:rPr>
                <w:rFonts w:ascii="Times New Roman" w:hAnsi="Times New Roman" w:cs="Times New Roman"/>
                <w:sz w:val="21"/>
                <w:szCs w:val="21"/>
              </w:rPr>
              <w:t>——</w:t>
            </w:r>
          </w:p>
        </w:tc>
      </w:tr>
      <w:tr w14:paraId="3AE5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6592346F">
            <w:pPr>
              <w:pStyle w:val="21"/>
            </w:pPr>
            <w:r>
              <w:t>1,4-二氯苯</w:t>
            </w:r>
          </w:p>
        </w:tc>
        <w:tc>
          <w:tcPr>
            <w:tcW w:w="1537" w:type="dxa"/>
            <w:noWrap/>
            <w:vAlign w:val="center"/>
          </w:tcPr>
          <w:p w14:paraId="34F27897">
            <w:pPr>
              <w:pStyle w:val="21"/>
            </w:pPr>
            <w:r>
              <w:t>0.000038</w:t>
            </w:r>
          </w:p>
        </w:tc>
        <w:tc>
          <w:tcPr>
            <w:tcW w:w="1537" w:type="dxa"/>
            <w:noWrap/>
            <w:vAlign w:val="center"/>
          </w:tcPr>
          <w:p w14:paraId="550912C5">
            <w:pPr>
              <w:pStyle w:val="21"/>
            </w:pPr>
            <w:r>
              <w:t>0.000038</w:t>
            </w:r>
          </w:p>
        </w:tc>
        <w:tc>
          <w:tcPr>
            <w:tcW w:w="1537" w:type="dxa"/>
            <w:noWrap/>
            <w:vAlign w:val="center"/>
          </w:tcPr>
          <w:p w14:paraId="5821E835">
            <w:pPr>
              <w:pStyle w:val="21"/>
            </w:pPr>
            <w:r>
              <w:t>0.000038</w:t>
            </w:r>
          </w:p>
        </w:tc>
        <w:tc>
          <w:tcPr>
            <w:tcW w:w="1538" w:type="dxa"/>
            <w:noWrap/>
            <w:vAlign w:val="center"/>
          </w:tcPr>
          <w:p w14:paraId="27D60E86">
            <w:pPr>
              <w:pStyle w:val="21"/>
            </w:pPr>
            <w:r>
              <w:t>0.000038</w:t>
            </w:r>
          </w:p>
        </w:tc>
        <w:tc>
          <w:tcPr>
            <w:tcW w:w="1537" w:type="dxa"/>
            <w:noWrap/>
          </w:tcPr>
          <w:p w14:paraId="59F7F94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923076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FDF3EB3">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2753BC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683511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6CA5BE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C34C5D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F96E541">
            <w:pPr>
              <w:jc w:val="center"/>
              <w:rPr>
                <w:rFonts w:ascii="Times New Roman" w:hAnsi="Times New Roman" w:cs="Times New Roman"/>
                <w:sz w:val="21"/>
                <w:szCs w:val="21"/>
              </w:rPr>
            </w:pPr>
            <w:r>
              <w:rPr>
                <w:rFonts w:ascii="Times New Roman" w:hAnsi="Times New Roman" w:cs="Times New Roman"/>
                <w:sz w:val="21"/>
                <w:szCs w:val="21"/>
              </w:rPr>
              <w:t>——</w:t>
            </w:r>
          </w:p>
        </w:tc>
      </w:tr>
      <w:tr w14:paraId="0B5E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2405" w:type="dxa"/>
            <w:vAlign w:val="center"/>
          </w:tcPr>
          <w:p w14:paraId="1F61381F">
            <w:pPr>
              <w:pStyle w:val="21"/>
            </w:pPr>
            <w:r>
              <w:t>乙苯</w:t>
            </w:r>
          </w:p>
        </w:tc>
        <w:tc>
          <w:tcPr>
            <w:tcW w:w="1537" w:type="dxa"/>
            <w:noWrap/>
            <w:vAlign w:val="center"/>
          </w:tcPr>
          <w:p w14:paraId="6FB2BDC6">
            <w:pPr>
              <w:pStyle w:val="21"/>
            </w:pPr>
            <w:r>
              <w:t>0.000021</w:t>
            </w:r>
          </w:p>
        </w:tc>
        <w:tc>
          <w:tcPr>
            <w:tcW w:w="1537" w:type="dxa"/>
            <w:noWrap/>
            <w:vAlign w:val="center"/>
          </w:tcPr>
          <w:p w14:paraId="37273DD5">
            <w:pPr>
              <w:pStyle w:val="21"/>
            </w:pPr>
            <w:r>
              <w:t>0.000021</w:t>
            </w:r>
          </w:p>
        </w:tc>
        <w:tc>
          <w:tcPr>
            <w:tcW w:w="1537" w:type="dxa"/>
            <w:noWrap/>
            <w:vAlign w:val="center"/>
          </w:tcPr>
          <w:p w14:paraId="777BD33E">
            <w:pPr>
              <w:pStyle w:val="21"/>
            </w:pPr>
            <w:r>
              <w:t>0.000021</w:t>
            </w:r>
          </w:p>
        </w:tc>
        <w:tc>
          <w:tcPr>
            <w:tcW w:w="1538" w:type="dxa"/>
            <w:noWrap/>
            <w:vAlign w:val="center"/>
          </w:tcPr>
          <w:p w14:paraId="6463DA92">
            <w:pPr>
              <w:pStyle w:val="21"/>
            </w:pPr>
            <w:r>
              <w:t>0.000021</w:t>
            </w:r>
          </w:p>
        </w:tc>
        <w:tc>
          <w:tcPr>
            <w:tcW w:w="1537" w:type="dxa"/>
            <w:noWrap/>
          </w:tcPr>
          <w:p w14:paraId="65C5065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291997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6B8495C">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6E328E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3A642D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C5F597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0F92EB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282B4CC">
            <w:pPr>
              <w:jc w:val="center"/>
              <w:rPr>
                <w:rFonts w:ascii="Times New Roman" w:hAnsi="Times New Roman" w:cs="Times New Roman"/>
                <w:sz w:val="21"/>
                <w:szCs w:val="21"/>
              </w:rPr>
            </w:pPr>
            <w:r>
              <w:rPr>
                <w:rFonts w:ascii="Times New Roman" w:hAnsi="Times New Roman" w:cs="Times New Roman"/>
                <w:sz w:val="21"/>
                <w:szCs w:val="21"/>
              </w:rPr>
              <w:t>——</w:t>
            </w:r>
          </w:p>
        </w:tc>
      </w:tr>
      <w:tr w14:paraId="4D05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498B71F1">
            <w:pPr>
              <w:pStyle w:val="21"/>
            </w:pPr>
            <w:r>
              <w:t>苯乙烯</w:t>
            </w:r>
          </w:p>
        </w:tc>
        <w:tc>
          <w:tcPr>
            <w:tcW w:w="1537" w:type="dxa"/>
            <w:noWrap/>
            <w:vAlign w:val="center"/>
          </w:tcPr>
          <w:p w14:paraId="059EF64F">
            <w:pPr>
              <w:pStyle w:val="21"/>
            </w:pPr>
            <w:r>
              <w:t>0.0000004</w:t>
            </w:r>
          </w:p>
        </w:tc>
        <w:tc>
          <w:tcPr>
            <w:tcW w:w="1537" w:type="dxa"/>
            <w:noWrap/>
            <w:vAlign w:val="center"/>
          </w:tcPr>
          <w:p w14:paraId="3E5BDA50">
            <w:pPr>
              <w:pStyle w:val="21"/>
            </w:pPr>
            <w:r>
              <w:t>0.0000004</w:t>
            </w:r>
          </w:p>
        </w:tc>
        <w:tc>
          <w:tcPr>
            <w:tcW w:w="1537" w:type="dxa"/>
            <w:noWrap/>
            <w:vAlign w:val="center"/>
          </w:tcPr>
          <w:p w14:paraId="64D30FF1">
            <w:pPr>
              <w:pStyle w:val="21"/>
            </w:pPr>
            <w:r>
              <w:t>0.0000004</w:t>
            </w:r>
          </w:p>
        </w:tc>
        <w:tc>
          <w:tcPr>
            <w:tcW w:w="1538" w:type="dxa"/>
            <w:noWrap/>
            <w:vAlign w:val="center"/>
          </w:tcPr>
          <w:p w14:paraId="10178B70">
            <w:pPr>
              <w:pStyle w:val="21"/>
            </w:pPr>
            <w:r>
              <w:t>0.0000004</w:t>
            </w:r>
          </w:p>
        </w:tc>
        <w:tc>
          <w:tcPr>
            <w:tcW w:w="1537" w:type="dxa"/>
            <w:noWrap/>
            <w:vAlign w:val="center"/>
          </w:tcPr>
          <w:p w14:paraId="724CF6F7">
            <w:pPr>
              <w:pStyle w:val="21"/>
            </w:pPr>
            <w:r>
              <w:t>0.0000004</w:t>
            </w:r>
          </w:p>
        </w:tc>
        <w:tc>
          <w:tcPr>
            <w:tcW w:w="1537" w:type="dxa"/>
            <w:noWrap/>
            <w:vAlign w:val="center"/>
          </w:tcPr>
          <w:p w14:paraId="0DAB532D">
            <w:pPr>
              <w:pStyle w:val="21"/>
            </w:pPr>
            <w:r>
              <w:t>0.0000004</w:t>
            </w:r>
          </w:p>
        </w:tc>
        <w:tc>
          <w:tcPr>
            <w:tcW w:w="1537" w:type="dxa"/>
            <w:noWrap/>
            <w:vAlign w:val="center"/>
          </w:tcPr>
          <w:p w14:paraId="00A29921">
            <w:pPr>
              <w:pStyle w:val="21"/>
            </w:pPr>
            <w:r>
              <w:t>0.0000004</w:t>
            </w:r>
          </w:p>
        </w:tc>
        <w:tc>
          <w:tcPr>
            <w:tcW w:w="1538" w:type="dxa"/>
            <w:noWrap/>
            <w:vAlign w:val="center"/>
          </w:tcPr>
          <w:p w14:paraId="78D927CE">
            <w:pPr>
              <w:pStyle w:val="21"/>
            </w:pPr>
            <w:r>
              <w:t>0.0000004</w:t>
            </w:r>
          </w:p>
        </w:tc>
        <w:tc>
          <w:tcPr>
            <w:tcW w:w="1537" w:type="dxa"/>
            <w:noWrap/>
            <w:vAlign w:val="center"/>
          </w:tcPr>
          <w:p w14:paraId="3DD8F91B">
            <w:pPr>
              <w:pStyle w:val="21"/>
            </w:pPr>
            <w:r>
              <w:t>0.0000004</w:t>
            </w:r>
          </w:p>
        </w:tc>
        <w:tc>
          <w:tcPr>
            <w:tcW w:w="1537" w:type="dxa"/>
            <w:noWrap/>
            <w:vAlign w:val="center"/>
          </w:tcPr>
          <w:p w14:paraId="47D95C25">
            <w:pPr>
              <w:pStyle w:val="21"/>
            </w:pPr>
            <w:r>
              <w:t>0.0000004</w:t>
            </w:r>
          </w:p>
        </w:tc>
        <w:tc>
          <w:tcPr>
            <w:tcW w:w="1537" w:type="dxa"/>
            <w:noWrap/>
            <w:vAlign w:val="center"/>
          </w:tcPr>
          <w:p w14:paraId="78B0E163">
            <w:pPr>
              <w:pStyle w:val="21"/>
            </w:pPr>
            <w:r>
              <w:t>0.0000004</w:t>
            </w:r>
          </w:p>
        </w:tc>
        <w:tc>
          <w:tcPr>
            <w:tcW w:w="1538" w:type="dxa"/>
            <w:noWrap/>
            <w:vAlign w:val="center"/>
          </w:tcPr>
          <w:p w14:paraId="34C38D06">
            <w:pPr>
              <w:pStyle w:val="21"/>
            </w:pPr>
            <w:r>
              <w:t>0.0000004</w:t>
            </w:r>
          </w:p>
        </w:tc>
      </w:tr>
      <w:tr w14:paraId="6C52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7893CD78">
            <w:pPr>
              <w:pStyle w:val="21"/>
            </w:pPr>
            <w:r>
              <w:t>甲苯</w:t>
            </w:r>
          </w:p>
        </w:tc>
        <w:tc>
          <w:tcPr>
            <w:tcW w:w="1537" w:type="dxa"/>
            <w:noWrap/>
            <w:vAlign w:val="center"/>
          </w:tcPr>
          <w:p w14:paraId="593E6CB4">
            <w:pPr>
              <w:pStyle w:val="21"/>
            </w:pPr>
            <w:r>
              <w:t>0.000001</w:t>
            </w:r>
          </w:p>
        </w:tc>
        <w:tc>
          <w:tcPr>
            <w:tcW w:w="1537" w:type="dxa"/>
            <w:noWrap/>
            <w:vAlign w:val="center"/>
          </w:tcPr>
          <w:p w14:paraId="4ADD15D3">
            <w:pPr>
              <w:pStyle w:val="21"/>
            </w:pPr>
            <w:r>
              <w:t>0.000001</w:t>
            </w:r>
          </w:p>
        </w:tc>
        <w:tc>
          <w:tcPr>
            <w:tcW w:w="1537" w:type="dxa"/>
            <w:noWrap/>
            <w:vAlign w:val="center"/>
          </w:tcPr>
          <w:p w14:paraId="1E9B10BA">
            <w:pPr>
              <w:pStyle w:val="21"/>
            </w:pPr>
            <w:r>
              <w:t>0.000001</w:t>
            </w:r>
          </w:p>
        </w:tc>
        <w:tc>
          <w:tcPr>
            <w:tcW w:w="1538" w:type="dxa"/>
            <w:noWrap/>
            <w:vAlign w:val="center"/>
          </w:tcPr>
          <w:p w14:paraId="3DDD7794">
            <w:pPr>
              <w:pStyle w:val="21"/>
            </w:pPr>
            <w:r>
              <w:t>0.000001</w:t>
            </w:r>
          </w:p>
        </w:tc>
        <w:tc>
          <w:tcPr>
            <w:tcW w:w="1537" w:type="dxa"/>
            <w:noWrap/>
            <w:vAlign w:val="center"/>
          </w:tcPr>
          <w:p w14:paraId="74413198">
            <w:pPr>
              <w:pStyle w:val="21"/>
            </w:pPr>
            <w:r>
              <w:t>0.000001</w:t>
            </w:r>
          </w:p>
        </w:tc>
        <w:tc>
          <w:tcPr>
            <w:tcW w:w="1537" w:type="dxa"/>
            <w:noWrap/>
            <w:vAlign w:val="center"/>
          </w:tcPr>
          <w:p w14:paraId="04188357">
            <w:pPr>
              <w:pStyle w:val="21"/>
            </w:pPr>
            <w:r>
              <w:t>0.000001</w:t>
            </w:r>
          </w:p>
        </w:tc>
        <w:tc>
          <w:tcPr>
            <w:tcW w:w="1537" w:type="dxa"/>
            <w:noWrap/>
            <w:vAlign w:val="center"/>
          </w:tcPr>
          <w:p w14:paraId="3B736278">
            <w:pPr>
              <w:pStyle w:val="21"/>
            </w:pPr>
            <w:r>
              <w:t>0.000001</w:t>
            </w:r>
          </w:p>
        </w:tc>
        <w:tc>
          <w:tcPr>
            <w:tcW w:w="1538" w:type="dxa"/>
            <w:noWrap/>
            <w:vAlign w:val="center"/>
          </w:tcPr>
          <w:p w14:paraId="54956278">
            <w:pPr>
              <w:pStyle w:val="21"/>
            </w:pPr>
            <w:r>
              <w:t>0.000001</w:t>
            </w:r>
          </w:p>
        </w:tc>
        <w:tc>
          <w:tcPr>
            <w:tcW w:w="1537" w:type="dxa"/>
            <w:noWrap/>
            <w:vAlign w:val="center"/>
          </w:tcPr>
          <w:p w14:paraId="01EF7D60">
            <w:pPr>
              <w:pStyle w:val="21"/>
            </w:pPr>
            <w:r>
              <w:t>0.000001</w:t>
            </w:r>
          </w:p>
        </w:tc>
        <w:tc>
          <w:tcPr>
            <w:tcW w:w="1537" w:type="dxa"/>
            <w:noWrap/>
            <w:vAlign w:val="center"/>
          </w:tcPr>
          <w:p w14:paraId="5BA96EF1">
            <w:pPr>
              <w:pStyle w:val="21"/>
            </w:pPr>
            <w:r>
              <w:t>0.000001</w:t>
            </w:r>
          </w:p>
        </w:tc>
        <w:tc>
          <w:tcPr>
            <w:tcW w:w="1537" w:type="dxa"/>
            <w:noWrap/>
            <w:vAlign w:val="center"/>
          </w:tcPr>
          <w:p w14:paraId="0E11EDB2">
            <w:pPr>
              <w:pStyle w:val="21"/>
            </w:pPr>
            <w:r>
              <w:t>0.000001</w:t>
            </w:r>
          </w:p>
        </w:tc>
        <w:tc>
          <w:tcPr>
            <w:tcW w:w="1538" w:type="dxa"/>
            <w:noWrap/>
            <w:vAlign w:val="center"/>
          </w:tcPr>
          <w:p w14:paraId="60D87D7C">
            <w:pPr>
              <w:pStyle w:val="21"/>
            </w:pPr>
            <w:r>
              <w:t>0.000001</w:t>
            </w:r>
          </w:p>
        </w:tc>
      </w:tr>
      <w:tr w14:paraId="7845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430B3BCC">
            <w:pPr>
              <w:pStyle w:val="21"/>
            </w:pPr>
            <w:r>
              <w:t>间、对-二甲苯</w:t>
            </w:r>
          </w:p>
        </w:tc>
        <w:tc>
          <w:tcPr>
            <w:tcW w:w="1537" w:type="dxa"/>
            <w:noWrap/>
            <w:vAlign w:val="center"/>
          </w:tcPr>
          <w:p w14:paraId="2101E524">
            <w:pPr>
              <w:pStyle w:val="21"/>
            </w:pPr>
            <w:r>
              <w:t>0.000001</w:t>
            </w:r>
          </w:p>
        </w:tc>
        <w:tc>
          <w:tcPr>
            <w:tcW w:w="1537" w:type="dxa"/>
            <w:noWrap/>
            <w:vAlign w:val="center"/>
          </w:tcPr>
          <w:p w14:paraId="60C05C5C">
            <w:pPr>
              <w:pStyle w:val="21"/>
            </w:pPr>
            <w:r>
              <w:t>0.000001</w:t>
            </w:r>
          </w:p>
        </w:tc>
        <w:tc>
          <w:tcPr>
            <w:tcW w:w="1537" w:type="dxa"/>
            <w:noWrap/>
            <w:vAlign w:val="center"/>
          </w:tcPr>
          <w:p w14:paraId="4EA41DCC">
            <w:pPr>
              <w:pStyle w:val="21"/>
            </w:pPr>
            <w:r>
              <w:t>0.000001</w:t>
            </w:r>
          </w:p>
        </w:tc>
        <w:tc>
          <w:tcPr>
            <w:tcW w:w="1538" w:type="dxa"/>
            <w:noWrap/>
            <w:vAlign w:val="center"/>
          </w:tcPr>
          <w:p w14:paraId="0917F5ED">
            <w:pPr>
              <w:pStyle w:val="21"/>
            </w:pPr>
            <w:r>
              <w:t>0.000001</w:t>
            </w:r>
          </w:p>
        </w:tc>
        <w:tc>
          <w:tcPr>
            <w:tcW w:w="1537" w:type="dxa"/>
            <w:noWrap/>
            <w:vAlign w:val="center"/>
          </w:tcPr>
          <w:p w14:paraId="77423E44">
            <w:pPr>
              <w:pStyle w:val="21"/>
            </w:pPr>
            <w:r>
              <w:t>0.000001</w:t>
            </w:r>
          </w:p>
        </w:tc>
        <w:tc>
          <w:tcPr>
            <w:tcW w:w="1537" w:type="dxa"/>
            <w:noWrap/>
            <w:vAlign w:val="center"/>
          </w:tcPr>
          <w:p w14:paraId="435BA73F">
            <w:pPr>
              <w:pStyle w:val="21"/>
            </w:pPr>
            <w:r>
              <w:t>0.000001</w:t>
            </w:r>
          </w:p>
        </w:tc>
        <w:tc>
          <w:tcPr>
            <w:tcW w:w="1537" w:type="dxa"/>
            <w:noWrap/>
            <w:vAlign w:val="center"/>
          </w:tcPr>
          <w:p w14:paraId="2E2BEF22">
            <w:pPr>
              <w:pStyle w:val="21"/>
            </w:pPr>
            <w:r>
              <w:t>0.000001</w:t>
            </w:r>
          </w:p>
        </w:tc>
        <w:tc>
          <w:tcPr>
            <w:tcW w:w="1538" w:type="dxa"/>
            <w:noWrap/>
            <w:vAlign w:val="center"/>
          </w:tcPr>
          <w:p w14:paraId="6681BD9F">
            <w:pPr>
              <w:pStyle w:val="21"/>
            </w:pPr>
            <w:r>
              <w:t>0.000001</w:t>
            </w:r>
          </w:p>
        </w:tc>
        <w:tc>
          <w:tcPr>
            <w:tcW w:w="1537" w:type="dxa"/>
            <w:noWrap/>
            <w:vAlign w:val="center"/>
          </w:tcPr>
          <w:p w14:paraId="1A54678A">
            <w:pPr>
              <w:pStyle w:val="21"/>
            </w:pPr>
            <w:r>
              <w:t>0.000001</w:t>
            </w:r>
          </w:p>
        </w:tc>
        <w:tc>
          <w:tcPr>
            <w:tcW w:w="1537" w:type="dxa"/>
            <w:noWrap/>
            <w:vAlign w:val="center"/>
          </w:tcPr>
          <w:p w14:paraId="3314C664">
            <w:pPr>
              <w:pStyle w:val="21"/>
            </w:pPr>
            <w:r>
              <w:t>0.000001</w:t>
            </w:r>
          </w:p>
        </w:tc>
        <w:tc>
          <w:tcPr>
            <w:tcW w:w="1537" w:type="dxa"/>
            <w:noWrap/>
            <w:vAlign w:val="center"/>
          </w:tcPr>
          <w:p w14:paraId="3F0BB914">
            <w:pPr>
              <w:pStyle w:val="21"/>
            </w:pPr>
            <w:r>
              <w:t>0.000001</w:t>
            </w:r>
          </w:p>
        </w:tc>
        <w:tc>
          <w:tcPr>
            <w:tcW w:w="1538" w:type="dxa"/>
            <w:noWrap/>
            <w:vAlign w:val="center"/>
          </w:tcPr>
          <w:p w14:paraId="3FC80A6F">
            <w:pPr>
              <w:pStyle w:val="21"/>
            </w:pPr>
            <w:r>
              <w:t>0.000001</w:t>
            </w:r>
          </w:p>
        </w:tc>
      </w:tr>
      <w:tr w14:paraId="4F5C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0DFC4A6F">
            <w:pPr>
              <w:pStyle w:val="21"/>
            </w:pPr>
            <w:r>
              <w:t>邻-二甲苯</w:t>
            </w:r>
          </w:p>
        </w:tc>
        <w:tc>
          <w:tcPr>
            <w:tcW w:w="1537" w:type="dxa"/>
            <w:noWrap/>
            <w:vAlign w:val="center"/>
          </w:tcPr>
          <w:p w14:paraId="22C04032">
            <w:pPr>
              <w:pStyle w:val="21"/>
            </w:pPr>
            <w:r>
              <w:t>0.000001</w:t>
            </w:r>
          </w:p>
        </w:tc>
        <w:tc>
          <w:tcPr>
            <w:tcW w:w="1537" w:type="dxa"/>
            <w:noWrap/>
            <w:vAlign w:val="center"/>
          </w:tcPr>
          <w:p w14:paraId="446B76A9">
            <w:pPr>
              <w:pStyle w:val="21"/>
            </w:pPr>
            <w:r>
              <w:t>0.000001</w:t>
            </w:r>
          </w:p>
        </w:tc>
        <w:tc>
          <w:tcPr>
            <w:tcW w:w="1537" w:type="dxa"/>
            <w:noWrap/>
            <w:vAlign w:val="center"/>
          </w:tcPr>
          <w:p w14:paraId="69B40995">
            <w:pPr>
              <w:pStyle w:val="21"/>
            </w:pPr>
            <w:r>
              <w:t>0.000001</w:t>
            </w:r>
          </w:p>
        </w:tc>
        <w:tc>
          <w:tcPr>
            <w:tcW w:w="1538" w:type="dxa"/>
            <w:noWrap/>
            <w:vAlign w:val="center"/>
          </w:tcPr>
          <w:p w14:paraId="3AE09151">
            <w:pPr>
              <w:pStyle w:val="21"/>
            </w:pPr>
            <w:r>
              <w:t>0.000001</w:t>
            </w:r>
          </w:p>
        </w:tc>
        <w:tc>
          <w:tcPr>
            <w:tcW w:w="1537" w:type="dxa"/>
            <w:noWrap/>
            <w:vAlign w:val="center"/>
          </w:tcPr>
          <w:p w14:paraId="54339163">
            <w:pPr>
              <w:pStyle w:val="21"/>
            </w:pPr>
            <w:r>
              <w:t>0.000001</w:t>
            </w:r>
          </w:p>
        </w:tc>
        <w:tc>
          <w:tcPr>
            <w:tcW w:w="1537" w:type="dxa"/>
            <w:noWrap/>
            <w:vAlign w:val="center"/>
          </w:tcPr>
          <w:p w14:paraId="595D6F4F">
            <w:pPr>
              <w:pStyle w:val="21"/>
            </w:pPr>
            <w:r>
              <w:t>0.000001</w:t>
            </w:r>
          </w:p>
        </w:tc>
        <w:tc>
          <w:tcPr>
            <w:tcW w:w="1537" w:type="dxa"/>
            <w:noWrap/>
            <w:vAlign w:val="center"/>
          </w:tcPr>
          <w:p w14:paraId="70841C90">
            <w:pPr>
              <w:pStyle w:val="21"/>
            </w:pPr>
            <w:r>
              <w:t>0.000001</w:t>
            </w:r>
          </w:p>
        </w:tc>
        <w:tc>
          <w:tcPr>
            <w:tcW w:w="1538" w:type="dxa"/>
            <w:noWrap/>
            <w:vAlign w:val="center"/>
          </w:tcPr>
          <w:p w14:paraId="1748AB9D">
            <w:pPr>
              <w:pStyle w:val="21"/>
            </w:pPr>
            <w:r>
              <w:t>0.000001</w:t>
            </w:r>
          </w:p>
        </w:tc>
        <w:tc>
          <w:tcPr>
            <w:tcW w:w="1537" w:type="dxa"/>
            <w:noWrap/>
            <w:vAlign w:val="center"/>
          </w:tcPr>
          <w:p w14:paraId="59EC5DB5">
            <w:pPr>
              <w:pStyle w:val="21"/>
            </w:pPr>
            <w:r>
              <w:t>0.000001</w:t>
            </w:r>
          </w:p>
        </w:tc>
        <w:tc>
          <w:tcPr>
            <w:tcW w:w="1537" w:type="dxa"/>
            <w:noWrap/>
            <w:vAlign w:val="center"/>
          </w:tcPr>
          <w:p w14:paraId="5BD3C105">
            <w:pPr>
              <w:pStyle w:val="21"/>
            </w:pPr>
            <w:r>
              <w:t>0.000001</w:t>
            </w:r>
          </w:p>
        </w:tc>
        <w:tc>
          <w:tcPr>
            <w:tcW w:w="1537" w:type="dxa"/>
            <w:noWrap/>
            <w:vAlign w:val="center"/>
          </w:tcPr>
          <w:p w14:paraId="65A0B59B">
            <w:pPr>
              <w:pStyle w:val="21"/>
            </w:pPr>
            <w:r>
              <w:t>0.000001</w:t>
            </w:r>
          </w:p>
        </w:tc>
        <w:tc>
          <w:tcPr>
            <w:tcW w:w="1538" w:type="dxa"/>
            <w:noWrap/>
            <w:vAlign w:val="center"/>
          </w:tcPr>
          <w:p w14:paraId="6163DE83">
            <w:pPr>
              <w:pStyle w:val="21"/>
            </w:pPr>
            <w:r>
              <w:t>0.000001</w:t>
            </w:r>
          </w:p>
        </w:tc>
      </w:tr>
      <w:tr w14:paraId="66C4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1F4FAA0C">
            <w:pPr>
              <w:pStyle w:val="21"/>
            </w:pPr>
            <w:r>
              <w:t>硝基苯</w:t>
            </w:r>
          </w:p>
        </w:tc>
        <w:tc>
          <w:tcPr>
            <w:tcW w:w="1537" w:type="dxa"/>
            <w:noWrap/>
            <w:vAlign w:val="center"/>
          </w:tcPr>
          <w:p w14:paraId="4E3B3EB0">
            <w:pPr>
              <w:pStyle w:val="21"/>
            </w:pPr>
            <w:r>
              <w:t>0.0006</w:t>
            </w:r>
          </w:p>
        </w:tc>
        <w:tc>
          <w:tcPr>
            <w:tcW w:w="1537" w:type="dxa"/>
            <w:noWrap/>
            <w:vAlign w:val="center"/>
          </w:tcPr>
          <w:p w14:paraId="51E0C5D8">
            <w:pPr>
              <w:pStyle w:val="21"/>
            </w:pPr>
            <w:r>
              <w:t>0.0006</w:t>
            </w:r>
          </w:p>
        </w:tc>
        <w:tc>
          <w:tcPr>
            <w:tcW w:w="1537" w:type="dxa"/>
            <w:noWrap/>
            <w:vAlign w:val="center"/>
          </w:tcPr>
          <w:p w14:paraId="3712DC7E">
            <w:pPr>
              <w:pStyle w:val="21"/>
            </w:pPr>
            <w:r>
              <w:t>0.0006</w:t>
            </w:r>
          </w:p>
        </w:tc>
        <w:tc>
          <w:tcPr>
            <w:tcW w:w="1538" w:type="dxa"/>
            <w:noWrap/>
            <w:vAlign w:val="center"/>
          </w:tcPr>
          <w:p w14:paraId="69A18C43">
            <w:pPr>
              <w:pStyle w:val="21"/>
            </w:pPr>
            <w:r>
              <w:t>0.0006</w:t>
            </w:r>
          </w:p>
        </w:tc>
        <w:tc>
          <w:tcPr>
            <w:tcW w:w="1537" w:type="dxa"/>
            <w:noWrap/>
          </w:tcPr>
          <w:p w14:paraId="758ED2E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33E160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FE0CFA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E8B3F3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F041F9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C3C567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1CD19A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45CCA2B">
            <w:pPr>
              <w:jc w:val="center"/>
              <w:rPr>
                <w:rFonts w:ascii="Times New Roman" w:hAnsi="Times New Roman" w:cs="Times New Roman"/>
                <w:sz w:val="21"/>
                <w:szCs w:val="21"/>
              </w:rPr>
            </w:pPr>
            <w:r>
              <w:rPr>
                <w:rFonts w:ascii="Times New Roman" w:hAnsi="Times New Roman" w:cs="Times New Roman"/>
                <w:sz w:val="21"/>
                <w:szCs w:val="21"/>
              </w:rPr>
              <w:t>——</w:t>
            </w:r>
          </w:p>
        </w:tc>
      </w:tr>
      <w:tr w14:paraId="3BBF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2302E7C0">
            <w:pPr>
              <w:pStyle w:val="21"/>
            </w:pPr>
            <w:r>
              <w:t>苯胺</w:t>
            </w:r>
          </w:p>
        </w:tc>
        <w:tc>
          <w:tcPr>
            <w:tcW w:w="1537" w:type="dxa"/>
            <w:noWrap/>
            <w:vAlign w:val="center"/>
          </w:tcPr>
          <w:p w14:paraId="41817562">
            <w:pPr>
              <w:pStyle w:val="21"/>
            </w:pPr>
            <w:r>
              <w:t>0.0001</w:t>
            </w:r>
          </w:p>
        </w:tc>
        <w:tc>
          <w:tcPr>
            <w:tcW w:w="1537" w:type="dxa"/>
            <w:noWrap/>
            <w:vAlign w:val="center"/>
          </w:tcPr>
          <w:p w14:paraId="1E811921">
            <w:pPr>
              <w:pStyle w:val="21"/>
            </w:pPr>
            <w:r>
              <w:t>0.0001</w:t>
            </w:r>
          </w:p>
        </w:tc>
        <w:tc>
          <w:tcPr>
            <w:tcW w:w="1537" w:type="dxa"/>
            <w:noWrap/>
            <w:vAlign w:val="center"/>
          </w:tcPr>
          <w:p w14:paraId="59ADC960">
            <w:pPr>
              <w:pStyle w:val="21"/>
            </w:pPr>
            <w:r>
              <w:t>0.0001</w:t>
            </w:r>
          </w:p>
        </w:tc>
        <w:tc>
          <w:tcPr>
            <w:tcW w:w="1538" w:type="dxa"/>
            <w:noWrap/>
            <w:vAlign w:val="center"/>
          </w:tcPr>
          <w:p w14:paraId="7B133F2A">
            <w:pPr>
              <w:pStyle w:val="21"/>
            </w:pPr>
            <w:r>
              <w:t>0.0001</w:t>
            </w:r>
          </w:p>
        </w:tc>
        <w:tc>
          <w:tcPr>
            <w:tcW w:w="1537" w:type="dxa"/>
            <w:noWrap/>
          </w:tcPr>
          <w:p w14:paraId="2C6B1F8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4A6304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696D548">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380FB8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63F4C9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56A9DDD">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637131C">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9E4DB55">
            <w:pPr>
              <w:jc w:val="center"/>
              <w:rPr>
                <w:rFonts w:ascii="Times New Roman" w:hAnsi="Times New Roman" w:cs="Times New Roman"/>
                <w:sz w:val="21"/>
                <w:szCs w:val="21"/>
              </w:rPr>
            </w:pPr>
            <w:r>
              <w:rPr>
                <w:rFonts w:ascii="Times New Roman" w:hAnsi="Times New Roman" w:cs="Times New Roman"/>
                <w:sz w:val="21"/>
                <w:szCs w:val="21"/>
              </w:rPr>
              <w:t>——</w:t>
            </w:r>
          </w:p>
        </w:tc>
      </w:tr>
      <w:tr w14:paraId="04DA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3152DBC8">
            <w:pPr>
              <w:pStyle w:val="21"/>
            </w:pPr>
            <w:r>
              <w:t>2-氯苯酚</w:t>
            </w:r>
          </w:p>
        </w:tc>
        <w:tc>
          <w:tcPr>
            <w:tcW w:w="1537" w:type="dxa"/>
            <w:noWrap/>
            <w:vAlign w:val="center"/>
          </w:tcPr>
          <w:p w14:paraId="52C65295">
            <w:pPr>
              <w:pStyle w:val="21"/>
            </w:pPr>
            <w:r>
              <w:t>0.00001</w:t>
            </w:r>
          </w:p>
        </w:tc>
        <w:tc>
          <w:tcPr>
            <w:tcW w:w="1537" w:type="dxa"/>
            <w:noWrap/>
            <w:vAlign w:val="center"/>
          </w:tcPr>
          <w:p w14:paraId="1D5B108C">
            <w:pPr>
              <w:pStyle w:val="21"/>
            </w:pPr>
            <w:r>
              <w:t>0.00001</w:t>
            </w:r>
          </w:p>
        </w:tc>
        <w:tc>
          <w:tcPr>
            <w:tcW w:w="1537" w:type="dxa"/>
            <w:noWrap/>
            <w:vAlign w:val="center"/>
          </w:tcPr>
          <w:p w14:paraId="49968C59">
            <w:pPr>
              <w:pStyle w:val="21"/>
            </w:pPr>
            <w:r>
              <w:t>0.00001</w:t>
            </w:r>
          </w:p>
        </w:tc>
        <w:tc>
          <w:tcPr>
            <w:tcW w:w="1538" w:type="dxa"/>
            <w:noWrap/>
            <w:vAlign w:val="center"/>
          </w:tcPr>
          <w:p w14:paraId="2F9302BB">
            <w:pPr>
              <w:pStyle w:val="21"/>
            </w:pPr>
            <w:r>
              <w:t>0.00001</w:t>
            </w:r>
          </w:p>
        </w:tc>
        <w:tc>
          <w:tcPr>
            <w:tcW w:w="1537" w:type="dxa"/>
            <w:noWrap/>
          </w:tcPr>
          <w:p w14:paraId="35DC95F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A71793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E435EE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99CF22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5019B8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9B8651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20AA4B4">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D5D7191">
            <w:pPr>
              <w:jc w:val="center"/>
              <w:rPr>
                <w:rFonts w:ascii="Times New Roman" w:hAnsi="Times New Roman" w:cs="Times New Roman"/>
                <w:sz w:val="21"/>
                <w:szCs w:val="21"/>
              </w:rPr>
            </w:pPr>
            <w:r>
              <w:rPr>
                <w:rFonts w:ascii="Times New Roman" w:hAnsi="Times New Roman" w:cs="Times New Roman"/>
                <w:sz w:val="21"/>
                <w:szCs w:val="21"/>
              </w:rPr>
              <w:t>——</w:t>
            </w:r>
          </w:p>
        </w:tc>
      </w:tr>
      <w:tr w14:paraId="55EF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75B3E1C">
            <w:pPr>
              <w:pStyle w:val="21"/>
            </w:pPr>
            <w:r>
              <w:t>苯并(a)蒽</w:t>
            </w:r>
          </w:p>
        </w:tc>
        <w:tc>
          <w:tcPr>
            <w:tcW w:w="1537" w:type="dxa"/>
            <w:noWrap/>
            <w:vAlign w:val="center"/>
          </w:tcPr>
          <w:p w14:paraId="626A93BC">
            <w:pPr>
              <w:pStyle w:val="21"/>
            </w:pPr>
            <w:r>
              <w:t>0.0033</w:t>
            </w:r>
          </w:p>
        </w:tc>
        <w:tc>
          <w:tcPr>
            <w:tcW w:w="1537" w:type="dxa"/>
            <w:noWrap/>
            <w:vAlign w:val="center"/>
          </w:tcPr>
          <w:p w14:paraId="2DB26BCA">
            <w:pPr>
              <w:pStyle w:val="21"/>
            </w:pPr>
            <w:r>
              <w:t>0.0033</w:t>
            </w:r>
          </w:p>
        </w:tc>
        <w:tc>
          <w:tcPr>
            <w:tcW w:w="1537" w:type="dxa"/>
            <w:noWrap/>
            <w:vAlign w:val="center"/>
          </w:tcPr>
          <w:p w14:paraId="30DDEBB7">
            <w:pPr>
              <w:pStyle w:val="21"/>
            </w:pPr>
            <w:r>
              <w:t>0.0033</w:t>
            </w:r>
          </w:p>
        </w:tc>
        <w:tc>
          <w:tcPr>
            <w:tcW w:w="1538" w:type="dxa"/>
            <w:noWrap/>
            <w:vAlign w:val="center"/>
          </w:tcPr>
          <w:p w14:paraId="4CA8A252">
            <w:pPr>
              <w:pStyle w:val="21"/>
            </w:pPr>
            <w:r>
              <w:t>0.0033</w:t>
            </w:r>
          </w:p>
        </w:tc>
        <w:tc>
          <w:tcPr>
            <w:tcW w:w="1537" w:type="dxa"/>
            <w:noWrap/>
          </w:tcPr>
          <w:p w14:paraId="7C6811A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F7958A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D49FE2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AA87DC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CED2F8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246174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5F7DDB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10207BB">
            <w:pPr>
              <w:jc w:val="center"/>
              <w:rPr>
                <w:rFonts w:ascii="Times New Roman" w:hAnsi="Times New Roman" w:cs="Times New Roman"/>
                <w:sz w:val="21"/>
                <w:szCs w:val="21"/>
              </w:rPr>
            </w:pPr>
            <w:r>
              <w:rPr>
                <w:rFonts w:ascii="Times New Roman" w:hAnsi="Times New Roman" w:cs="Times New Roman"/>
                <w:sz w:val="21"/>
                <w:szCs w:val="21"/>
              </w:rPr>
              <w:t>——</w:t>
            </w:r>
          </w:p>
        </w:tc>
      </w:tr>
      <w:tr w14:paraId="1F44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5B0E548D">
            <w:pPr>
              <w:pStyle w:val="21"/>
            </w:pPr>
            <w:r>
              <w:t>苯并(a)芘</w:t>
            </w:r>
          </w:p>
        </w:tc>
        <w:tc>
          <w:tcPr>
            <w:tcW w:w="1537" w:type="dxa"/>
            <w:noWrap/>
            <w:vAlign w:val="center"/>
          </w:tcPr>
          <w:p w14:paraId="4FCE8E0C">
            <w:pPr>
              <w:pStyle w:val="21"/>
            </w:pPr>
            <w:r>
              <w:t>0.0333</w:t>
            </w:r>
          </w:p>
        </w:tc>
        <w:tc>
          <w:tcPr>
            <w:tcW w:w="1537" w:type="dxa"/>
            <w:noWrap/>
            <w:vAlign w:val="center"/>
          </w:tcPr>
          <w:p w14:paraId="422C409F">
            <w:pPr>
              <w:pStyle w:val="21"/>
            </w:pPr>
            <w:r>
              <w:t>0.0333</w:t>
            </w:r>
          </w:p>
        </w:tc>
        <w:tc>
          <w:tcPr>
            <w:tcW w:w="1537" w:type="dxa"/>
            <w:noWrap/>
            <w:vAlign w:val="center"/>
          </w:tcPr>
          <w:p w14:paraId="36B7DA92">
            <w:pPr>
              <w:pStyle w:val="21"/>
            </w:pPr>
            <w:r>
              <w:t>0.0333</w:t>
            </w:r>
          </w:p>
        </w:tc>
        <w:tc>
          <w:tcPr>
            <w:tcW w:w="1538" w:type="dxa"/>
            <w:noWrap/>
            <w:vAlign w:val="center"/>
          </w:tcPr>
          <w:p w14:paraId="4648DF77">
            <w:pPr>
              <w:pStyle w:val="21"/>
            </w:pPr>
            <w:r>
              <w:t>0.0333</w:t>
            </w:r>
          </w:p>
        </w:tc>
        <w:tc>
          <w:tcPr>
            <w:tcW w:w="1537" w:type="dxa"/>
            <w:noWrap/>
          </w:tcPr>
          <w:p w14:paraId="74B1BC8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19B9C1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9C08FD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5B5B621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BCE88D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D643EF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9D0D05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AD66DEE">
            <w:pPr>
              <w:jc w:val="center"/>
              <w:rPr>
                <w:rFonts w:ascii="Times New Roman" w:hAnsi="Times New Roman" w:cs="Times New Roman"/>
                <w:sz w:val="21"/>
                <w:szCs w:val="21"/>
              </w:rPr>
            </w:pPr>
            <w:r>
              <w:rPr>
                <w:rFonts w:ascii="Times New Roman" w:hAnsi="Times New Roman" w:cs="Times New Roman"/>
                <w:sz w:val="21"/>
                <w:szCs w:val="21"/>
              </w:rPr>
              <w:t>——</w:t>
            </w:r>
          </w:p>
        </w:tc>
      </w:tr>
      <w:tr w14:paraId="7B8D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133623DF">
            <w:pPr>
              <w:pStyle w:val="21"/>
            </w:pPr>
            <w:r>
              <w:t>苯并(b)荧蒽</w:t>
            </w:r>
          </w:p>
        </w:tc>
        <w:tc>
          <w:tcPr>
            <w:tcW w:w="1537" w:type="dxa"/>
            <w:noWrap/>
            <w:vAlign w:val="center"/>
          </w:tcPr>
          <w:p w14:paraId="1F0AE2AD">
            <w:pPr>
              <w:pStyle w:val="21"/>
            </w:pPr>
            <w:r>
              <w:t>0.0067</w:t>
            </w:r>
          </w:p>
        </w:tc>
        <w:tc>
          <w:tcPr>
            <w:tcW w:w="1537" w:type="dxa"/>
            <w:noWrap/>
            <w:vAlign w:val="center"/>
          </w:tcPr>
          <w:p w14:paraId="7FA6D751">
            <w:pPr>
              <w:pStyle w:val="21"/>
            </w:pPr>
            <w:r>
              <w:t>0.0067</w:t>
            </w:r>
          </w:p>
        </w:tc>
        <w:tc>
          <w:tcPr>
            <w:tcW w:w="1537" w:type="dxa"/>
            <w:noWrap/>
            <w:vAlign w:val="center"/>
          </w:tcPr>
          <w:p w14:paraId="3E9F41C7">
            <w:pPr>
              <w:pStyle w:val="21"/>
            </w:pPr>
            <w:r>
              <w:t>0.0067</w:t>
            </w:r>
          </w:p>
        </w:tc>
        <w:tc>
          <w:tcPr>
            <w:tcW w:w="1538" w:type="dxa"/>
            <w:noWrap/>
            <w:vAlign w:val="center"/>
          </w:tcPr>
          <w:p w14:paraId="7EAB32CD">
            <w:pPr>
              <w:pStyle w:val="21"/>
            </w:pPr>
            <w:r>
              <w:t>0.0067</w:t>
            </w:r>
          </w:p>
        </w:tc>
        <w:tc>
          <w:tcPr>
            <w:tcW w:w="1537" w:type="dxa"/>
            <w:noWrap/>
          </w:tcPr>
          <w:p w14:paraId="08C8D59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BB5CF2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8D8DCD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29CFD7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BB5BF5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67B1E8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C4F6030">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4C29D2ED">
            <w:pPr>
              <w:jc w:val="center"/>
              <w:rPr>
                <w:rFonts w:ascii="Times New Roman" w:hAnsi="Times New Roman" w:cs="Times New Roman"/>
                <w:sz w:val="21"/>
                <w:szCs w:val="21"/>
              </w:rPr>
            </w:pPr>
            <w:r>
              <w:rPr>
                <w:rFonts w:ascii="Times New Roman" w:hAnsi="Times New Roman" w:cs="Times New Roman"/>
                <w:sz w:val="21"/>
                <w:szCs w:val="21"/>
              </w:rPr>
              <w:t>——</w:t>
            </w:r>
          </w:p>
        </w:tc>
      </w:tr>
      <w:tr w14:paraId="2D29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03064429">
            <w:pPr>
              <w:pStyle w:val="21"/>
            </w:pPr>
            <w:r>
              <w:t>苯并(k)荧蒽</w:t>
            </w:r>
          </w:p>
        </w:tc>
        <w:tc>
          <w:tcPr>
            <w:tcW w:w="1537" w:type="dxa"/>
            <w:noWrap/>
            <w:vAlign w:val="center"/>
          </w:tcPr>
          <w:p w14:paraId="22717A17">
            <w:pPr>
              <w:pStyle w:val="21"/>
            </w:pPr>
            <w:r>
              <w:t>0.0003</w:t>
            </w:r>
          </w:p>
        </w:tc>
        <w:tc>
          <w:tcPr>
            <w:tcW w:w="1537" w:type="dxa"/>
            <w:noWrap/>
            <w:vAlign w:val="center"/>
          </w:tcPr>
          <w:p w14:paraId="766589BD">
            <w:pPr>
              <w:pStyle w:val="21"/>
            </w:pPr>
            <w:r>
              <w:t>0.0003</w:t>
            </w:r>
          </w:p>
        </w:tc>
        <w:tc>
          <w:tcPr>
            <w:tcW w:w="1537" w:type="dxa"/>
            <w:noWrap/>
            <w:vAlign w:val="center"/>
          </w:tcPr>
          <w:p w14:paraId="30621025">
            <w:pPr>
              <w:pStyle w:val="21"/>
            </w:pPr>
            <w:r>
              <w:t>0.0003</w:t>
            </w:r>
          </w:p>
        </w:tc>
        <w:tc>
          <w:tcPr>
            <w:tcW w:w="1538" w:type="dxa"/>
            <w:noWrap/>
            <w:vAlign w:val="center"/>
          </w:tcPr>
          <w:p w14:paraId="3D123847">
            <w:pPr>
              <w:pStyle w:val="21"/>
            </w:pPr>
            <w:r>
              <w:t>0.0003</w:t>
            </w:r>
          </w:p>
        </w:tc>
        <w:tc>
          <w:tcPr>
            <w:tcW w:w="1537" w:type="dxa"/>
            <w:noWrap/>
          </w:tcPr>
          <w:p w14:paraId="7F05D7A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E2F160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F6D0E32">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5C64D1C">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38906D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AD712A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7F3A09A">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08653187">
            <w:pPr>
              <w:jc w:val="center"/>
              <w:rPr>
                <w:rFonts w:ascii="Times New Roman" w:hAnsi="Times New Roman" w:cs="Times New Roman"/>
                <w:sz w:val="21"/>
                <w:szCs w:val="21"/>
              </w:rPr>
            </w:pPr>
            <w:r>
              <w:rPr>
                <w:rFonts w:ascii="Times New Roman" w:hAnsi="Times New Roman" w:cs="Times New Roman"/>
                <w:sz w:val="21"/>
                <w:szCs w:val="21"/>
              </w:rPr>
              <w:t>——</w:t>
            </w:r>
          </w:p>
        </w:tc>
      </w:tr>
      <w:tr w14:paraId="0F3A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3784128A">
            <w:pPr>
              <w:pStyle w:val="21"/>
            </w:pPr>
            <w:r>
              <w:t>䓛</w:t>
            </w:r>
          </w:p>
        </w:tc>
        <w:tc>
          <w:tcPr>
            <w:tcW w:w="1537" w:type="dxa"/>
            <w:noWrap/>
            <w:vAlign w:val="center"/>
          </w:tcPr>
          <w:p w14:paraId="60C7F93E">
            <w:pPr>
              <w:pStyle w:val="21"/>
            </w:pPr>
            <w:r>
              <w:t>0.00004</w:t>
            </w:r>
          </w:p>
        </w:tc>
        <w:tc>
          <w:tcPr>
            <w:tcW w:w="1537" w:type="dxa"/>
            <w:noWrap/>
            <w:vAlign w:val="center"/>
          </w:tcPr>
          <w:p w14:paraId="72B1B9CE">
            <w:pPr>
              <w:pStyle w:val="21"/>
            </w:pPr>
            <w:r>
              <w:t>0.00004</w:t>
            </w:r>
          </w:p>
        </w:tc>
        <w:tc>
          <w:tcPr>
            <w:tcW w:w="1537" w:type="dxa"/>
            <w:noWrap/>
            <w:vAlign w:val="center"/>
          </w:tcPr>
          <w:p w14:paraId="2731FE76">
            <w:pPr>
              <w:pStyle w:val="21"/>
            </w:pPr>
            <w:r>
              <w:t>0.00004</w:t>
            </w:r>
          </w:p>
        </w:tc>
        <w:tc>
          <w:tcPr>
            <w:tcW w:w="1538" w:type="dxa"/>
            <w:noWrap/>
            <w:vAlign w:val="center"/>
          </w:tcPr>
          <w:p w14:paraId="43FBBAA0">
            <w:pPr>
              <w:pStyle w:val="21"/>
            </w:pPr>
            <w:r>
              <w:t>0.00004</w:t>
            </w:r>
          </w:p>
        </w:tc>
        <w:tc>
          <w:tcPr>
            <w:tcW w:w="1537" w:type="dxa"/>
            <w:noWrap/>
          </w:tcPr>
          <w:p w14:paraId="2B336A16">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E799F49">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AE0B6CB">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29D16C9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23F33A5">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DAD1E87">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578F5DC">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C7CEA70">
            <w:pPr>
              <w:jc w:val="center"/>
              <w:rPr>
                <w:rFonts w:ascii="Times New Roman" w:hAnsi="Times New Roman" w:cs="Times New Roman"/>
                <w:sz w:val="21"/>
                <w:szCs w:val="21"/>
              </w:rPr>
            </w:pPr>
            <w:r>
              <w:rPr>
                <w:rFonts w:ascii="Times New Roman" w:hAnsi="Times New Roman" w:cs="Times New Roman"/>
                <w:sz w:val="21"/>
                <w:szCs w:val="21"/>
              </w:rPr>
              <w:t>——</w:t>
            </w:r>
          </w:p>
        </w:tc>
      </w:tr>
      <w:tr w14:paraId="456C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2405" w:type="dxa"/>
            <w:vAlign w:val="center"/>
          </w:tcPr>
          <w:p w14:paraId="58D7B494">
            <w:pPr>
              <w:pStyle w:val="21"/>
            </w:pPr>
            <w:r>
              <w:t>二苯并(a,h)蒽</w:t>
            </w:r>
          </w:p>
        </w:tc>
        <w:tc>
          <w:tcPr>
            <w:tcW w:w="1537" w:type="dxa"/>
            <w:noWrap/>
            <w:vAlign w:val="center"/>
          </w:tcPr>
          <w:p w14:paraId="66377139">
            <w:pPr>
              <w:pStyle w:val="21"/>
            </w:pPr>
            <w:r>
              <w:t>0.0333</w:t>
            </w:r>
          </w:p>
        </w:tc>
        <w:tc>
          <w:tcPr>
            <w:tcW w:w="1537" w:type="dxa"/>
            <w:noWrap/>
            <w:vAlign w:val="center"/>
          </w:tcPr>
          <w:p w14:paraId="77FF8147">
            <w:pPr>
              <w:pStyle w:val="21"/>
            </w:pPr>
            <w:r>
              <w:t>0.0333</w:t>
            </w:r>
          </w:p>
        </w:tc>
        <w:tc>
          <w:tcPr>
            <w:tcW w:w="1537" w:type="dxa"/>
            <w:noWrap/>
            <w:vAlign w:val="center"/>
          </w:tcPr>
          <w:p w14:paraId="200F7E60">
            <w:pPr>
              <w:pStyle w:val="21"/>
            </w:pPr>
            <w:r>
              <w:t>0.0333</w:t>
            </w:r>
          </w:p>
        </w:tc>
        <w:tc>
          <w:tcPr>
            <w:tcW w:w="1538" w:type="dxa"/>
            <w:noWrap/>
            <w:vAlign w:val="center"/>
          </w:tcPr>
          <w:p w14:paraId="0D6FECD7">
            <w:pPr>
              <w:pStyle w:val="21"/>
            </w:pPr>
            <w:r>
              <w:t>0.0333</w:t>
            </w:r>
          </w:p>
        </w:tc>
        <w:tc>
          <w:tcPr>
            <w:tcW w:w="1537" w:type="dxa"/>
            <w:noWrap/>
          </w:tcPr>
          <w:p w14:paraId="19DD9DE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6600017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945C5F8">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74C87F5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ACA8BB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75FCF2A">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19B619E">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0FC9855">
            <w:pPr>
              <w:jc w:val="center"/>
              <w:rPr>
                <w:rFonts w:ascii="Times New Roman" w:hAnsi="Times New Roman" w:cs="Times New Roman"/>
                <w:sz w:val="21"/>
                <w:szCs w:val="21"/>
              </w:rPr>
            </w:pPr>
            <w:r>
              <w:rPr>
                <w:rFonts w:ascii="Times New Roman" w:hAnsi="Times New Roman" w:cs="Times New Roman"/>
                <w:sz w:val="21"/>
                <w:szCs w:val="21"/>
              </w:rPr>
              <w:t>——</w:t>
            </w:r>
          </w:p>
        </w:tc>
      </w:tr>
      <w:tr w14:paraId="5B0C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768045D6">
            <w:pPr>
              <w:pStyle w:val="21"/>
            </w:pPr>
            <w:r>
              <w:t>茚并(1,2,3-c,d)芘</w:t>
            </w:r>
          </w:p>
        </w:tc>
        <w:tc>
          <w:tcPr>
            <w:tcW w:w="1537" w:type="dxa"/>
            <w:noWrap/>
            <w:vAlign w:val="center"/>
          </w:tcPr>
          <w:p w14:paraId="320421F9">
            <w:pPr>
              <w:pStyle w:val="21"/>
            </w:pPr>
            <w:r>
              <w:t>0.0033</w:t>
            </w:r>
          </w:p>
        </w:tc>
        <w:tc>
          <w:tcPr>
            <w:tcW w:w="1537" w:type="dxa"/>
            <w:noWrap/>
            <w:vAlign w:val="center"/>
          </w:tcPr>
          <w:p w14:paraId="6398116A">
            <w:pPr>
              <w:pStyle w:val="21"/>
            </w:pPr>
            <w:r>
              <w:t>0.0033</w:t>
            </w:r>
          </w:p>
        </w:tc>
        <w:tc>
          <w:tcPr>
            <w:tcW w:w="1537" w:type="dxa"/>
            <w:noWrap/>
            <w:vAlign w:val="center"/>
          </w:tcPr>
          <w:p w14:paraId="5BE1060B">
            <w:pPr>
              <w:pStyle w:val="21"/>
            </w:pPr>
            <w:r>
              <w:t>0.0033</w:t>
            </w:r>
          </w:p>
        </w:tc>
        <w:tc>
          <w:tcPr>
            <w:tcW w:w="1538" w:type="dxa"/>
            <w:noWrap/>
            <w:vAlign w:val="center"/>
          </w:tcPr>
          <w:p w14:paraId="62B1BB78">
            <w:pPr>
              <w:pStyle w:val="21"/>
            </w:pPr>
            <w:r>
              <w:t>0.0033</w:t>
            </w:r>
          </w:p>
        </w:tc>
        <w:tc>
          <w:tcPr>
            <w:tcW w:w="1537" w:type="dxa"/>
            <w:noWrap/>
          </w:tcPr>
          <w:p w14:paraId="5771E4E0">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47664FFF">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B17D5AF">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C6D719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DAA9D1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05597E42">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554D69F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15E70738">
            <w:pPr>
              <w:jc w:val="center"/>
              <w:rPr>
                <w:rFonts w:ascii="Times New Roman" w:hAnsi="Times New Roman" w:cs="Times New Roman"/>
                <w:sz w:val="21"/>
                <w:szCs w:val="21"/>
              </w:rPr>
            </w:pPr>
            <w:r>
              <w:rPr>
                <w:rFonts w:ascii="Times New Roman" w:hAnsi="Times New Roman" w:cs="Times New Roman"/>
                <w:sz w:val="21"/>
                <w:szCs w:val="21"/>
              </w:rPr>
              <w:t>——</w:t>
            </w:r>
          </w:p>
        </w:tc>
      </w:tr>
      <w:tr w14:paraId="4247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405" w:type="dxa"/>
            <w:vAlign w:val="center"/>
          </w:tcPr>
          <w:p w14:paraId="0F1700BB">
            <w:pPr>
              <w:pStyle w:val="21"/>
            </w:pPr>
            <w:r>
              <w:t>萘</w:t>
            </w:r>
          </w:p>
        </w:tc>
        <w:tc>
          <w:tcPr>
            <w:tcW w:w="1537" w:type="dxa"/>
            <w:noWrap/>
            <w:vAlign w:val="center"/>
          </w:tcPr>
          <w:p w14:paraId="0083C507">
            <w:pPr>
              <w:pStyle w:val="21"/>
            </w:pPr>
            <w:r>
              <w:t>0.0006</w:t>
            </w:r>
          </w:p>
        </w:tc>
        <w:tc>
          <w:tcPr>
            <w:tcW w:w="1537" w:type="dxa"/>
            <w:noWrap/>
            <w:vAlign w:val="center"/>
          </w:tcPr>
          <w:p w14:paraId="5A2A4EC5">
            <w:pPr>
              <w:pStyle w:val="21"/>
            </w:pPr>
            <w:r>
              <w:t>0.0006</w:t>
            </w:r>
          </w:p>
        </w:tc>
        <w:tc>
          <w:tcPr>
            <w:tcW w:w="1537" w:type="dxa"/>
            <w:noWrap/>
            <w:vAlign w:val="center"/>
          </w:tcPr>
          <w:p w14:paraId="241CC25F">
            <w:pPr>
              <w:pStyle w:val="21"/>
            </w:pPr>
            <w:r>
              <w:t>0.0006</w:t>
            </w:r>
          </w:p>
        </w:tc>
        <w:tc>
          <w:tcPr>
            <w:tcW w:w="1538" w:type="dxa"/>
            <w:noWrap/>
            <w:vAlign w:val="center"/>
          </w:tcPr>
          <w:p w14:paraId="7E597D8A">
            <w:pPr>
              <w:pStyle w:val="21"/>
            </w:pPr>
            <w:r>
              <w:t>0.0006</w:t>
            </w:r>
          </w:p>
        </w:tc>
        <w:tc>
          <w:tcPr>
            <w:tcW w:w="1537" w:type="dxa"/>
            <w:noWrap/>
          </w:tcPr>
          <w:p w14:paraId="4A321ED4">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7FD5830E">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D119A56">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675A9E98">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1A8326C1">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3472856B">
            <w:pPr>
              <w:jc w:val="center"/>
              <w:rPr>
                <w:rFonts w:ascii="Times New Roman" w:hAnsi="Times New Roman" w:cs="Times New Roman"/>
                <w:sz w:val="21"/>
                <w:szCs w:val="21"/>
              </w:rPr>
            </w:pPr>
            <w:r>
              <w:rPr>
                <w:rFonts w:ascii="Times New Roman" w:hAnsi="Times New Roman" w:cs="Times New Roman"/>
                <w:sz w:val="21"/>
                <w:szCs w:val="21"/>
              </w:rPr>
              <w:t>——</w:t>
            </w:r>
          </w:p>
        </w:tc>
        <w:tc>
          <w:tcPr>
            <w:tcW w:w="1537" w:type="dxa"/>
            <w:noWrap/>
          </w:tcPr>
          <w:p w14:paraId="28752267">
            <w:pPr>
              <w:jc w:val="center"/>
              <w:rPr>
                <w:rFonts w:ascii="Times New Roman" w:hAnsi="Times New Roman" w:cs="Times New Roman"/>
                <w:sz w:val="21"/>
                <w:szCs w:val="21"/>
              </w:rPr>
            </w:pPr>
            <w:r>
              <w:rPr>
                <w:rFonts w:ascii="Times New Roman" w:hAnsi="Times New Roman" w:cs="Times New Roman"/>
                <w:sz w:val="21"/>
                <w:szCs w:val="21"/>
              </w:rPr>
              <w:t>——</w:t>
            </w:r>
          </w:p>
        </w:tc>
        <w:tc>
          <w:tcPr>
            <w:tcW w:w="1538" w:type="dxa"/>
            <w:noWrap/>
          </w:tcPr>
          <w:p w14:paraId="30B59CAA">
            <w:pPr>
              <w:jc w:val="center"/>
              <w:rPr>
                <w:rFonts w:ascii="Times New Roman" w:hAnsi="Times New Roman" w:cs="Times New Roman"/>
                <w:sz w:val="21"/>
                <w:szCs w:val="21"/>
              </w:rPr>
            </w:pPr>
            <w:r>
              <w:rPr>
                <w:rFonts w:ascii="Times New Roman" w:hAnsi="Times New Roman" w:cs="Times New Roman"/>
                <w:sz w:val="21"/>
                <w:szCs w:val="21"/>
              </w:rPr>
              <w:t>——</w:t>
            </w:r>
          </w:p>
        </w:tc>
      </w:tr>
      <w:tr w14:paraId="3081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405" w:type="dxa"/>
            <w:vAlign w:val="center"/>
          </w:tcPr>
          <w:p w14:paraId="5E030F50">
            <w:pPr>
              <w:pStyle w:val="21"/>
            </w:pPr>
            <w:r>
              <w:t>石油烃（C</w:t>
            </w:r>
            <w:r>
              <w:rPr>
                <w:vertAlign w:val="subscript"/>
              </w:rPr>
              <w:t>10</w:t>
            </w:r>
            <w:r>
              <w:t>-C</w:t>
            </w:r>
            <w:r>
              <w:rPr>
                <w:vertAlign w:val="subscript"/>
              </w:rPr>
              <w:t>40</w:t>
            </w:r>
            <w:r>
              <w:t>）</w:t>
            </w:r>
          </w:p>
        </w:tc>
        <w:tc>
          <w:tcPr>
            <w:tcW w:w="1537" w:type="dxa"/>
            <w:noWrap/>
            <w:vAlign w:val="center"/>
          </w:tcPr>
          <w:p w14:paraId="366F6A0C">
            <w:pPr>
              <w:pStyle w:val="21"/>
            </w:pPr>
            <w:r>
              <w:t>0.0020</w:t>
            </w:r>
          </w:p>
        </w:tc>
        <w:tc>
          <w:tcPr>
            <w:tcW w:w="1537" w:type="dxa"/>
            <w:noWrap/>
            <w:vAlign w:val="center"/>
          </w:tcPr>
          <w:p w14:paraId="6B441D1B">
            <w:pPr>
              <w:pStyle w:val="21"/>
            </w:pPr>
            <w:r>
              <w:t>0.0018</w:t>
            </w:r>
          </w:p>
        </w:tc>
        <w:tc>
          <w:tcPr>
            <w:tcW w:w="1537" w:type="dxa"/>
            <w:noWrap/>
            <w:vAlign w:val="center"/>
          </w:tcPr>
          <w:p w14:paraId="2F1D9157">
            <w:pPr>
              <w:pStyle w:val="21"/>
            </w:pPr>
            <w:r>
              <w:t>0.0007</w:t>
            </w:r>
          </w:p>
        </w:tc>
        <w:tc>
          <w:tcPr>
            <w:tcW w:w="1538" w:type="dxa"/>
            <w:noWrap/>
            <w:vAlign w:val="center"/>
          </w:tcPr>
          <w:p w14:paraId="1C5D8C40">
            <w:pPr>
              <w:pStyle w:val="21"/>
            </w:pPr>
            <w:r>
              <w:t>0.0013</w:t>
            </w:r>
          </w:p>
        </w:tc>
        <w:tc>
          <w:tcPr>
            <w:tcW w:w="1537" w:type="dxa"/>
            <w:noWrap/>
            <w:vAlign w:val="center"/>
          </w:tcPr>
          <w:p w14:paraId="4BDA3E54">
            <w:pPr>
              <w:pStyle w:val="21"/>
            </w:pPr>
            <w:r>
              <w:t>0.0018</w:t>
            </w:r>
          </w:p>
        </w:tc>
        <w:tc>
          <w:tcPr>
            <w:tcW w:w="1537" w:type="dxa"/>
            <w:noWrap/>
            <w:vAlign w:val="center"/>
          </w:tcPr>
          <w:p w14:paraId="0E95F682">
            <w:pPr>
              <w:pStyle w:val="21"/>
            </w:pPr>
            <w:r>
              <w:t>0.0007</w:t>
            </w:r>
          </w:p>
        </w:tc>
        <w:tc>
          <w:tcPr>
            <w:tcW w:w="1537" w:type="dxa"/>
            <w:noWrap/>
            <w:vAlign w:val="center"/>
          </w:tcPr>
          <w:p w14:paraId="2A1E9279">
            <w:pPr>
              <w:pStyle w:val="21"/>
            </w:pPr>
            <w:r>
              <w:t>0.0007</w:t>
            </w:r>
          </w:p>
        </w:tc>
        <w:tc>
          <w:tcPr>
            <w:tcW w:w="1538" w:type="dxa"/>
            <w:noWrap/>
            <w:vAlign w:val="center"/>
          </w:tcPr>
          <w:p w14:paraId="71E5FD1A">
            <w:pPr>
              <w:pStyle w:val="21"/>
            </w:pPr>
            <w:r>
              <w:t>0.0018</w:t>
            </w:r>
          </w:p>
        </w:tc>
        <w:tc>
          <w:tcPr>
            <w:tcW w:w="1537" w:type="dxa"/>
            <w:noWrap/>
            <w:vAlign w:val="center"/>
          </w:tcPr>
          <w:p w14:paraId="1F2BC3C9">
            <w:pPr>
              <w:pStyle w:val="21"/>
            </w:pPr>
            <w:r>
              <w:t>0.0033</w:t>
            </w:r>
          </w:p>
        </w:tc>
        <w:tc>
          <w:tcPr>
            <w:tcW w:w="1537" w:type="dxa"/>
            <w:noWrap/>
            <w:vAlign w:val="center"/>
          </w:tcPr>
          <w:p w14:paraId="6D02BAE0">
            <w:pPr>
              <w:pStyle w:val="21"/>
            </w:pPr>
            <w:r>
              <w:t>0.0020</w:t>
            </w:r>
          </w:p>
        </w:tc>
        <w:tc>
          <w:tcPr>
            <w:tcW w:w="1537" w:type="dxa"/>
            <w:noWrap/>
            <w:vAlign w:val="center"/>
          </w:tcPr>
          <w:p w14:paraId="1CC820CF">
            <w:pPr>
              <w:pStyle w:val="21"/>
            </w:pPr>
            <w:r>
              <w:t>0.0020</w:t>
            </w:r>
          </w:p>
        </w:tc>
        <w:tc>
          <w:tcPr>
            <w:tcW w:w="1538" w:type="dxa"/>
            <w:noWrap/>
            <w:vAlign w:val="center"/>
          </w:tcPr>
          <w:p w14:paraId="449F5B5F">
            <w:pPr>
              <w:pStyle w:val="21"/>
            </w:pPr>
            <w:r>
              <w:t>0.0018</w:t>
            </w:r>
          </w:p>
        </w:tc>
      </w:tr>
      <w:tr w14:paraId="7099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405" w:type="dxa"/>
            <w:vAlign w:val="center"/>
          </w:tcPr>
          <w:p w14:paraId="6762C9C5">
            <w:pPr>
              <w:pStyle w:val="21"/>
            </w:pPr>
            <w:r>
              <w:t>二噁英（ng-TEQ/kg）</w:t>
            </w:r>
          </w:p>
        </w:tc>
        <w:tc>
          <w:tcPr>
            <w:tcW w:w="1537" w:type="dxa"/>
            <w:noWrap/>
            <w:vAlign w:val="center"/>
          </w:tcPr>
          <w:p w14:paraId="53E36647">
            <w:pPr>
              <w:pStyle w:val="21"/>
            </w:pPr>
            <w:r>
              <w:t>0.0016</w:t>
            </w:r>
          </w:p>
        </w:tc>
        <w:tc>
          <w:tcPr>
            <w:tcW w:w="1537" w:type="dxa"/>
            <w:noWrap/>
            <w:vAlign w:val="center"/>
          </w:tcPr>
          <w:p w14:paraId="55D79838">
            <w:pPr>
              <w:pStyle w:val="21"/>
            </w:pPr>
            <w:r>
              <w:t>0.0015</w:t>
            </w:r>
          </w:p>
        </w:tc>
        <w:tc>
          <w:tcPr>
            <w:tcW w:w="1537" w:type="dxa"/>
            <w:noWrap/>
            <w:vAlign w:val="center"/>
          </w:tcPr>
          <w:p w14:paraId="4AF781CC">
            <w:pPr>
              <w:pStyle w:val="21"/>
            </w:pPr>
            <w:r>
              <w:t>0.0014</w:t>
            </w:r>
          </w:p>
        </w:tc>
        <w:tc>
          <w:tcPr>
            <w:tcW w:w="1538" w:type="dxa"/>
            <w:noWrap/>
            <w:vAlign w:val="center"/>
          </w:tcPr>
          <w:p w14:paraId="143B46B4">
            <w:pPr>
              <w:pStyle w:val="21"/>
            </w:pPr>
            <w:r>
              <w:t>0.0015</w:t>
            </w:r>
          </w:p>
        </w:tc>
        <w:tc>
          <w:tcPr>
            <w:tcW w:w="1537" w:type="dxa"/>
            <w:noWrap/>
            <w:vAlign w:val="center"/>
          </w:tcPr>
          <w:p w14:paraId="411427D4">
            <w:pPr>
              <w:pStyle w:val="21"/>
            </w:pPr>
            <w:r>
              <w:t>0.0013</w:t>
            </w:r>
          </w:p>
        </w:tc>
        <w:tc>
          <w:tcPr>
            <w:tcW w:w="1537" w:type="dxa"/>
            <w:noWrap/>
            <w:vAlign w:val="center"/>
          </w:tcPr>
          <w:p w14:paraId="3D48D1F3">
            <w:pPr>
              <w:pStyle w:val="21"/>
            </w:pPr>
            <w:r>
              <w:t>0.0015</w:t>
            </w:r>
          </w:p>
        </w:tc>
        <w:tc>
          <w:tcPr>
            <w:tcW w:w="1537" w:type="dxa"/>
            <w:noWrap/>
            <w:vAlign w:val="center"/>
          </w:tcPr>
          <w:p w14:paraId="2DAB1A44">
            <w:pPr>
              <w:pStyle w:val="21"/>
            </w:pPr>
            <w:r>
              <w:t>0.0013</w:t>
            </w:r>
          </w:p>
        </w:tc>
        <w:tc>
          <w:tcPr>
            <w:tcW w:w="1538" w:type="dxa"/>
            <w:noWrap/>
            <w:vAlign w:val="center"/>
          </w:tcPr>
          <w:p w14:paraId="181B6504">
            <w:pPr>
              <w:pStyle w:val="21"/>
            </w:pPr>
            <w:r>
              <w:t>0.0016</w:t>
            </w:r>
          </w:p>
        </w:tc>
        <w:tc>
          <w:tcPr>
            <w:tcW w:w="1537" w:type="dxa"/>
            <w:noWrap/>
            <w:vAlign w:val="center"/>
          </w:tcPr>
          <w:p w14:paraId="6DFF1AC6">
            <w:pPr>
              <w:pStyle w:val="21"/>
            </w:pPr>
            <w:r>
              <w:t>0.0014</w:t>
            </w:r>
          </w:p>
        </w:tc>
        <w:tc>
          <w:tcPr>
            <w:tcW w:w="1537" w:type="dxa"/>
            <w:noWrap/>
            <w:vAlign w:val="center"/>
          </w:tcPr>
          <w:p w14:paraId="6EB31357">
            <w:pPr>
              <w:pStyle w:val="21"/>
            </w:pPr>
            <w:r>
              <w:t>0.0018</w:t>
            </w:r>
          </w:p>
        </w:tc>
        <w:tc>
          <w:tcPr>
            <w:tcW w:w="1537" w:type="dxa"/>
            <w:noWrap/>
            <w:vAlign w:val="center"/>
          </w:tcPr>
          <w:p w14:paraId="66F9E2B8">
            <w:pPr>
              <w:pStyle w:val="21"/>
            </w:pPr>
            <w:r>
              <w:t>0.0012</w:t>
            </w:r>
          </w:p>
        </w:tc>
        <w:tc>
          <w:tcPr>
            <w:tcW w:w="1538" w:type="dxa"/>
            <w:noWrap/>
            <w:vAlign w:val="center"/>
          </w:tcPr>
          <w:p w14:paraId="1B7B9F43">
            <w:pPr>
              <w:pStyle w:val="21"/>
            </w:pPr>
            <w:r>
              <w:t>0.0015</w:t>
            </w:r>
          </w:p>
        </w:tc>
      </w:tr>
    </w:tbl>
    <w:p w14:paraId="4E092B6A">
      <w:pPr>
        <w:rPr>
          <w:rFonts w:ascii="Times New Roman" w:hAnsi="Times New Roman" w:cs="Times New Roman"/>
          <w:sz w:val="21"/>
          <w:szCs w:val="21"/>
        </w:rPr>
      </w:pPr>
      <w:r>
        <w:rPr>
          <w:rFonts w:ascii="Times New Roman" w:hAnsi="Times New Roman" w:cs="Times New Roman"/>
          <w:sz w:val="21"/>
          <w:szCs w:val="21"/>
        </w:rPr>
        <w:t>注：未检出按检出限一半计；“/”表示不进行评价；“—”表示无监测数据</w:t>
      </w:r>
    </w:p>
    <w:p w14:paraId="50D3579A">
      <w:pPr>
        <w:pStyle w:val="14"/>
        <w:rPr>
          <w:rFonts w:cs="Times New Roman"/>
          <w:color w:val="auto"/>
        </w:rPr>
      </w:pPr>
      <w:r>
        <w:rPr>
          <w:rFonts w:cs="Times New Roman"/>
          <w:color w:val="auto"/>
        </w:rPr>
        <w:t xml:space="preserve">表 </w:t>
      </w:r>
      <w:r>
        <w:rPr>
          <w:rFonts w:cs="Times New Roman"/>
          <w:color w:val="auto"/>
        </w:rPr>
        <w:fldChar w:fldCharType="begin"/>
      </w:r>
      <w:r>
        <w:rPr>
          <w:rFonts w:cs="Times New Roman"/>
          <w:color w:val="auto"/>
        </w:rPr>
        <w:instrText xml:space="preserve"> STYLEREF 2 \s </w:instrText>
      </w:r>
      <w:r>
        <w:rPr>
          <w:rFonts w:cs="Times New Roman"/>
          <w:color w:val="auto"/>
        </w:rPr>
        <w:fldChar w:fldCharType="separate"/>
      </w:r>
      <w:r>
        <w:rPr>
          <w:rFonts w:cs="Times New Roman"/>
          <w:color w:val="auto"/>
        </w:rPr>
        <w:t>2.7</w:t>
      </w:r>
      <w:r>
        <w:rPr>
          <w:rFonts w:cs="Times New Roman"/>
          <w:color w:val="auto"/>
        </w:rPr>
        <w:fldChar w:fldCharType="end"/>
      </w:r>
      <w:r>
        <w:rPr>
          <w:rFonts w:cs="Times New Roman"/>
          <w:color w:val="auto"/>
        </w:rPr>
        <w:noBreakHyphen/>
      </w:r>
      <w:r>
        <w:rPr>
          <w:rFonts w:cs="Times New Roman"/>
          <w:color w:val="auto"/>
        </w:rPr>
        <w:fldChar w:fldCharType="begin"/>
      </w:r>
      <w:r>
        <w:rPr>
          <w:rFonts w:cs="Times New Roman"/>
          <w:color w:val="auto"/>
        </w:rPr>
        <w:instrText xml:space="preserve"> SEQ 表 \* ARABIC \s 2 </w:instrText>
      </w:r>
      <w:r>
        <w:rPr>
          <w:rFonts w:cs="Times New Roman"/>
          <w:color w:val="auto"/>
        </w:rPr>
        <w:fldChar w:fldCharType="separate"/>
      </w:r>
      <w:r>
        <w:rPr>
          <w:rFonts w:cs="Times New Roman"/>
          <w:color w:val="auto"/>
        </w:rPr>
        <w:t>25</w:t>
      </w:r>
      <w:r>
        <w:rPr>
          <w:rFonts w:cs="Times New Roman"/>
          <w:color w:val="auto"/>
        </w:rPr>
        <w:fldChar w:fldCharType="end"/>
      </w:r>
      <w:r>
        <w:rPr>
          <w:rFonts w:cs="Times New Roman"/>
          <w:color w:val="auto"/>
        </w:rPr>
        <w:t xml:space="preserve"> 土壤环境质量现状监测结果标准指数</w:t>
      </w:r>
    </w:p>
    <w:tbl>
      <w:tblPr>
        <w:tblStyle w:val="41"/>
        <w:tblW w:w="20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1337"/>
        <w:gridCol w:w="1337"/>
        <w:gridCol w:w="1337"/>
        <w:gridCol w:w="1337"/>
        <w:gridCol w:w="1430"/>
        <w:gridCol w:w="1337"/>
        <w:gridCol w:w="1337"/>
        <w:gridCol w:w="1337"/>
        <w:gridCol w:w="1593"/>
        <w:gridCol w:w="1486"/>
        <w:gridCol w:w="1048"/>
        <w:gridCol w:w="1499"/>
        <w:gridCol w:w="1332"/>
        <w:gridCol w:w="1260"/>
      </w:tblGrid>
      <w:tr w14:paraId="5A2B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Merge w:val="restart"/>
            <w:vAlign w:val="center"/>
          </w:tcPr>
          <w:p w14:paraId="56D47D78">
            <w:pPr>
              <w:pStyle w:val="78"/>
              <w:rPr>
                <w:rFonts w:cs="Times New Roman"/>
                <w:szCs w:val="21"/>
              </w:rPr>
            </w:pPr>
            <w:r>
              <w:rPr>
                <w:rFonts w:cs="Times New Roman"/>
                <w:szCs w:val="21"/>
              </w:rPr>
              <w:t>监测点位</w:t>
            </w:r>
          </w:p>
        </w:tc>
        <w:tc>
          <w:tcPr>
            <w:tcW w:w="5348" w:type="dxa"/>
            <w:gridSpan w:val="4"/>
            <w:vAlign w:val="center"/>
          </w:tcPr>
          <w:p w14:paraId="30DE4C39">
            <w:pPr>
              <w:pStyle w:val="78"/>
              <w:rPr>
                <w:rFonts w:cs="Times New Roman"/>
                <w:szCs w:val="21"/>
              </w:rPr>
            </w:pPr>
            <w:r>
              <w:rPr>
                <w:rFonts w:cs="Times New Roman"/>
                <w:szCs w:val="21"/>
              </w:rPr>
              <w:t>SH-4</w:t>
            </w:r>
          </w:p>
        </w:tc>
        <w:tc>
          <w:tcPr>
            <w:tcW w:w="5441" w:type="dxa"/>
            <w:gridSpan w:val="4"/>
            <w:vAlign w:val="center"/>
          </w:tcPr>
          <w:p w14:paraId="5B1EE233">
            <w:pPr>
              <w:pStyle w:val="78"/>
              <w:rPr>
                <w:rFonts w:cs="Times New Roman"/>
                <w:szCs w:val="21"/>
              </w:rPr>
            </w:pPr>
            <w:r>
              <w:rPr>
                <w:rFonts w:cs="Times New Roman"/>
                <w:szCs w:val="21"/>
              </w:rPr>
              <w:t>SH-5</w:t>
            </w:r>
          </w:p>
        </w:tc>
        <w:tc>
          <w:tcPr>
            <w:tcW w:w="1593" w:type="dxa"/>
            <w:vAlign w:val="center"/>
          </w:tcPr>
          <w:p w14:paraId="4AD8A0E8">
            <w:pPr>
              <w:pStyle w:val="78"/>
              <w:rPr>
                <w:rFonts w:cs="Times New Roman"/>
                <w:szCs w:val="21"/>
              </w:rPr>
            </w:pPr>
            <w:r>
              <w:rPr>
                <w:rFonts w:cs="Times New Roman"/>
                <w:szCs w:val="21"/>
              </w:rPr>
              <w:t>SH-6</w:t>
            </w:r>
          </w:p>
        </w:tc>
        <w:tc>
          <w:tcPr>
            <w:tcW w:w="1486" w:type="dxa"/>
            <w:vAlign w:val="center"/>
          </w:tcPr>
          <w:p w14:paraId="73A1D113">
            <w:pPr>
              <w:pStyle w:val="78"/>
              <w:rPr>
                <w:rFonts w:cs="Times New Roman"/>
                <w:szCs w:val="21"/>
              </w:rPr>
            </w:pPr>
            <w:r>
              <w:rPr>
                <w:rFonts w:cs="Times New Roman"/>
                <w:szCs w:val="21"/>
              </w:rPr>
              <w:t>SH-7</w:t>
            </w:r>
          </w:p>
        </w:tc>
        <w:tc>
          <w:tcPr>
            <w:tcW w:w="1048" w:type="dxa"/>
            <w:vAlign w:val="center"/>
          </w:tcPr>
          <w:p w14:paraId="21DEBC37">
            <w:pPr>
              <w:pStyle w:val="78"/>
              <w:rPr>
                <w:rFonts w:cs="Times New Roman"/>
                <w:szCs w:val="21"/>
              </w:rPr>
            </w:pPr>
            <w:r>
              <w:rPr>
                <w:rFonts w:cs="Times New Roman"/>
                <w:szCs w:val="21"/>
              </w:rPr>
              <w:t>SH-8</w:t>
            </w:r>
          </w:p>
        </w:tc>
        <w:tc>
          <w:tcPr>
            <w:tcW w:w="1499" w:type="dxa"/>
            <w:vAlign w:val="center"/>
          </w:tcPr>
          <w:p w14:paraId="78E75CA0">
            <w:pPr>
              <w:pStyle w:val="78"/>
              <w:rPr>
                <w:rFonts w:cs="Times New Roman"/>
                <w:szCs w:val="21"/>
              </w:rPr>
            </w:pPr>
            <w:r>
              <w:rPr>
                <w:rFonts w:cs="Times New Roman"/>
                <w:szCs w:val="21"/>
              </w:rPr>
              <w:t>SH-9</w:t>
            </w:r>
          </w:p>
        </w:tc>
        <w:tc>
          <w:tcPr>
            <w:tcW w:w="1332" w:type="dxa"/>
            <w:vAlign w:val="center"/>
          </w:tcPr>
          <w:p w14:paraId="5ED94D60">
            <w:pPr>
              <w:pStyle w:val="78"/>
              <w:rPr>
                <w:rFonts w:cs="Times New Roman"/>
                <w:szCs w:val="21"/>
              </w:rPr>
            </w:pPr>
            <w:r>
              <w:rPr>
                <w:rFonts w:cs="Times New Roman"/>
                <w:szCs w:val="21"/>
              </w:rPr>
              <w:t>SH-10</w:t>
            </w:r>
          </w:p>
        </w:tc>
        <w:tc>
          <w:tcPr>
            <w:tcW w:w="1260" w:type="dxa"/>
            <w:vAlign w:val="center"/>
          </w:tcPr>
          <w:p w14:paraId="517A4167">
            <w:pPr>
              <w:pStyle w:val="78"/>
              <w:rPr>
                <w:rFonts w:cs="Times New Roman"/>
                <w:szCs w:val="21"/>
              </w:rPr>
            </w:pPr>
            <w:r>
              <w:rPr>
                <w:rFonts w:cs="Times New Roman"/>
                <w:szCs w:val="21"/>
              </w:rPr>
              <w:t>SH-11</w:t>
            </w:r>
          </w:p>
        </w:tc>
      </w:tr>
      <w:tr w14:paraId="78A1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Merge w:val="continue"/>
            <w:vAlign w:val="center"/>
          </w:tcPr>
          <w:p w14:paraId="61E25B80">
            <w:pPr>
              <w:pStyle w:val="78"/>
              <w:rPr>
                <w:rFonts w:cs="Times New Roman"/>
                <w:szCs w:val="21"/>
              </w:rPr>
            </w:pPr>
          </w:p>
        </w:tc>
        <w:tc>
          <w:tcPr>
            <w:tcW w:w="1337" w:type="dxa"/>
            <w:vAlign w:val="center"/>
          </w:tcPr>
          <w:p w14:paraId="43DD1FCE">
            <w:pPr>
              <w:pStyle w:val="78"/>
              <w:rPr>
                <w:rFonts w:cs="Times New Roman"/>
                <w:szCs w:val="21"/>
              </w:rPr>
            </w:pPr>
            <w:r>
              <w:rPr>
                <w:rFonts w:cs="Times New Roman"/>
                <w:szCs w:val="21"/>
              </w:rPr>
              <w:t>0~0.5m</w:t>
            </w:r>
          </w:p>
        </w:tc>
        <w:tc>
          <w:tcPr>
            <w:tcW w:w="1337" w:type="dxa"/>
            <w:vAlign w:val="center"/>
          </w:tcPr>
          <w:p w14:paraId="151A07AB">
            <w:pPr>
              <w:pStyle w:val="78"/>
              <w:rPr>
                <w:rFonts w:cs="Times New Roman"/>
                <w:szCs w:val="21"/>
              </w:rPr>
            </w:pPr>
            <w:r>
              <w:rPr>
                <w:rFonts w:cs="Times New Roman"/>
                <w:szCs w:val="21"/>
              </w:rPr>
              <w:t>1.0~1.5m</w:t>
            </w:r>
          </w:p>
        </w:tc>
        <w:tc>
          <w:tcPr>
            <w:tcW w:w="1337" w:type="dxa"/>
            <w:vAlign w:val="center"/>
          </w:tcPr>
          <w:p w14:paraId="22A4D8D4">
            <w:pPr>
              <w:pStyle w:val="78"/>
              <w:rPr>
                <w:rFonts w:cs="Times New Roman"/>
                <w:szCs w:val="21"/>
              </w:rPr>
            </w:pPr>
            <w:r>
              <w:rPr>
                <w:rFonts w:cs="Times New Roman"/>
                <w:szCs w:val="21"/>
              </w:rPr>
              <w:t>2.0~2.5m</w:t>
            </w:r>
          </w:p>
        </w:tc>
        <w:tc>
          <w:tcPr>
            <w:tcW w:w="1337" w:type="dxa"/>
            <w:vAlign w:val="center"/>
          </w:tcPr>
          <w:p w14:paraId="291F0F37">
            <w:pPr>
              <w:pStyle w:val="78"/>
              <w:rPr>
                <w:rFonts w:cs="Times New Roman"/>
                <w:szCs w:val="21"/>
              </w:rPr>
            </w:pPr>
            <w:r>
              <w:rPr>
                <w:rFonts w:cs="Times New Roman"/>
                <w:szCs w:val="21"/>
              </w:rPr>
              <w:t>4.0~4.5m</w:t>
            </w:r>
          </w:p>
        </w:tc>
        <w:tc>
          <w:tcPr>
            <w:tcW w:w="1430" w:type="dxa"/>
            <w:vAlign w:val="center"/>
          </w:tcPr>
          <w:p w14:paraId="27976E6C">
            <w:pPr>
              <w:pStyle w:val="78"/>
              <w:rPr>
                <w:rFonts w:cs="Times New Roman"/>
                <w:szCs w:val="21"/>
              </w:rPr>
            </w:pPr>
            <w:r>
              <w:rPr>
                <w:rFonts w:cs="Times New Roman"/>
                <w:szCs w:val="21"/>
              </w:rPr>
              <w:t>0~0.5m</w:t>
            </w:r>
          </w:p>
        </w:tc>
        <w:tc>
          <w:tcPr>
            <w:tcW w:w="1337" w:type="dxa"/>
            <w:vAlign w:val="center"/>
          </w:tcPr>
          <w:p w14:paraId="7773FCF9">
            <w:pPr>
              <w:pStyle w:val="78"/>
              <w:rPr>
                <w:rFonts w:cs="Times New Roman"/>
                <w:szCs w:val="21"/>
              </w:rPr>
            </w:pPr>
            <w:r>
              <w:rPr>
                <w:rFonts w:cs="Times New Roman"/>
                <w:szCs w:val="21"/>
              </w:rPr>
              <w:t>1.0~1.5m</w:t>
            </w:r>
          </w:p>
        </w:tc>
        <w:tc>
          <w:tcPr>
            <w:tcW w:w="1337" w:type="dxa"/>
            <w:vAlign w:val="center"/>
          </w:tcPr>
          <w:p w14:paraId="37BCD132">
            <w:pPr>
              <w:pStyle w:val="78"/>
              <w:rPr>
                <w:rFonts w:cs="Times New Roman"/>
                <w:szCs w:val="21"/>
              </w:rPr>
            </w:pPr>
            <w:r>
              <w:rPr>
                <w:rFonts w:cs="Times New Roman"/>
                <w:szCs w:val="21"/>
              </w:rPr>
              <w:t>2.0~2.5m</w:t>
            </w:r>
          </w:p>
        </w:tc>
        <w:tc>
          <w:tcPr>
            <w:tcW w:w="1337" w:type="dxa"/>
            <w:vAlign w:val="center"/>
          </w:tcPr>
          <w:p w14:paraId="61B24500">
            <w:pPr>
              <w:pStyle w:val="78"/>
              <w:rPr>
                <w:rFonts w:cs="Times New Roman"/>
                <w:szCs w:val="21"/>
              </w:rPr>
            </w:pPr>
            <w:r>
              <w:rPr>
                <w:rFonts w:cs="Times New Roman"/>
                <w:szCs w:val="21"/>
              </w:rPr>
              <w:t>4.0~4.5m</w:t>
            </w:r>
          </w:p>
        </w:tc>
        <w:tc>
          <w:tcPr>
            <w:tcW w:w="1593" w:type="dxa"/>
            <w:vAlign w:val="center"/>
          </w:tcPr>
          <w:p w14:paraId="0F0E090A">
            <w:pPr>
              <w:pStyle w:val="78"/>
              <w:rPr>
                <w:rFonts w:cs="Times New Roman"/>
                <w:szCs w:val="21"/>
              </w:rPr>
            </w:pPr>
            <w:r>
              <w:rPr>
                <w:rFonts w:cs="Times New Roman"/>
                <w:szCs w:val="21"/>
              </w:rPr>
              <w:t>0~0.2m</w:t>
            </w:r>
          </w:p>
        </w:tc>
        <w:tc>
          <w:tcPr>
            <w:tcW w:w="1486" w:type="dxa"/>
            <w:vAlign w:val="center"/>
          </w:tcPr>
          <w:p w14:paraId="287D77A9">
            <w:pPr>
              <w:pStyle w:val="78"/>
              <w:rPr>
                <w:rFonts w:cs="Times New Roman"/>
                <w:szCs w:val="21"/>
              </w:rPr>
            </w:pPr>
            <w:r>
              <w:rPr>
                <w:rFonts w:cs="Times New Roman"/>
                <w:szCs w:val="21"/>
              </w:rPr>
              <w:t>0~0.2m</w:t>
            </w:r>
          </w:p>
        </w:tc>
        <w:tc>
          <w:tcPr>
            <w:tcW w:w="1048" w:type="dxa"/>
            <w:vAlign w:val="center"/>
          </w:tcPr>
          <w:p w14:paraId="70645C9E">
            <w:pPr>
              <w:pStyle w:val="78"/>
              <w:rPr>
                <w:rFonts w:cs="Times New Roman"/>
                <w:szCs w:val="21"/>
              </w:rPr>
            </w:pPr>
            <w:r>
              <w:rPr>
                <w:rFonts w:cs="Times New Roman"/>
                <w:szCs w:val="21"/>
              </w:rPr>
              <w:t>0~0.2m</w:t>
            </w:r>
          </w:p>
        </w:tc>
        <w:tc>
          <w:tcPr>
            <w:tcW w:w="1499" w:type="dxa"/>
            <w:vAlign w:val="center"/>
          </w:tcPr>
          <w:p w14:paraId="55420B83">
            <w:pPr>
              <w:pStyle w:val="78"/>
              <w:rPr>
                <w:rFonts w:cs="Times New Roman"/>
                <w:szCs w:val="21"/>
              </w:rPr>
            </w:pPr>
            <w:r>
              <w:rPr>
                <w:rFonts w:cs="Times New Roman"/>
                <w:szCs w:val="21"/>
              </w:rPr>
              <w:t>0~0.2m</w:t>
            </w:r>
          </w:p>
        </w:tc>
        <w:tc>
          <w:tcPr>
            <w:tcW w:w="1332" w:type="dxa"/>
            <w:vAlign w:val="center"/>
          </w:tcPr>
          <w:p w14:paraId="61C09301">
            <w:pPr>
              <w:pStyle w:val="78"/>
              <w:rPr>
                <w:rFonts w:cs="Times New Roman"/>
                <w:szCs w:val="21"/>
              </w:rPr>
            </w:pPr>
            <w:r>
              <w:rPr>
                <w:rFonts w:cs="Times New Roman"/>
                <w:szCs w:val="21"/>
              </w:rPr>
              <w:t>0~0.2m</w:t>
            </w:r>
          </w:p>
        </w:tc>
        <w:tc>
          <w:tcPr>
            <w:tcW w:w="1260" w:type="dxa"/>
            <w:vAlign w:val="center"/>
          </w:tcPr>
          <w:p w14:paraId="33D47537">
            <w:pPr>
              <w:pStyle w:val="78"/>
              <w:rPr>
                <w:rFonts w:cs="Times New Roman"/>
                <w:szCs w:val="21"/>
              </w:rPr>
            </w:pPr>
            <w:r>
              <w:rPr>
                <w:rFonts w:cs="Times New Roman"/>
                <w:szCs w:val="21"/>
              </w:rPr>
              <w:t>0~0.2m</w:t>
            </w:r>
          </w:p>
        </w:tc>
      </w:tr>
      <w:tr w14:paraId="5E80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69065241">
            <w:pPr>
              <w:pStyle w:val="78"/>
              <w:rPr>
                <w:rFonts w:cs="Times New Roman"/>
                <w:szCs w:val="21"/>
              </w:rPr>
            </w:pPr>
            <w:r>
              <w:rPr>
                <w:rFonts w:cs="Times New Roman"/>
                <w:szCs w:val="21"/>
              </w:rPr>
              <w:t>六价铬</w:t>
            </w:r>
          </w:p>
        </w:tc>
        <w:tc>
          <w:tcPr>
            <w:tcW w:w="1337" w:type="dxa"/>
            <w:noWrap/>
            <w:vAlign w:val="center"/>
          </w:tcPr>
          <w:p w14:paraId="328E7589">
            <w:pPr>
              <w:pStyle w:val="78"/>
              <w:rPr>
                <w:rFonts w:cs="Times New Roman"/>
                <w:szCs w:val="21"/>
              </w:rPr>
            </w:pPr>
            <w:r>
              <w:rPr>
                <w:rFonts w:cs="Times New Roman"/>
                <w:szCs w:val="21"/>
              </w:rPr>
              <w:t>0.0439</w:t>
            </w:r>
          </w:p>
        </w:tc>
        <w:tc>
          <w:tcPr>
            <w:tcW w:w="1337" w:type="dxa"/>
            <w:noWrap/>
            <w:vAlign w:val="center"/>
          </w:tcPr>
          <w:p w14:paraId="1E3FCE28">
            <w:pPr>
              <w:pStyle w:val="78"/>
              <w:rPr>
                <w:rFonts w:cs="Times New Roman"/>
                <w:szCs w:val="21"/>
              </w:rPr>
            </w:pPr>
            <w:r>
              <w:rPr>
                <w:rFonts w:cs="Times New Roman"/>
                <w:szCs w:val="21"/>
              </w:rPr>
              <w:t>0.0439</w:t>
            </w:r>
          </w:p>
        </w:tc>
        <w:tc>
          <w:tcPr>
            <w:tcW w:w="1337" w:type="dxa"/>
            <w:noWrap/>
            <w:vAlign w:val="center"/>
          </w:tcPr>
          <w:p w14:paraId="10D48FA7">
            <w:pPr>
              <w:pStyle w:val="78"/>
              <w:rPr>
                <w:rFonts w:cs="Times New Roman"/>
                <w:szCs w:val="21"/>
              </w:rPr>
            </w:pPr>
            <w:r>
              <w:rPr>
                <w:rFonts w:cs="Times New Roman"/>
                <w:szCs w:val="21"/>
              </w:rPr>
              <w:t>0.0439</w:t>
            </w:r>
          </w:p>
        </w:tc>
        <w:tc>
          <w:tcPr>
            <w:tcW w:w="1337" w:type="dxa"/>
            <w:noWrap/>
            <w:vAlign w:val="center"/>
          </w:tcPr>
          <w:p w14:paraId="4597B935">
            <w:pPr>
              <w:pStyle w:val="78"/>
              <w:rPr>
                <w:rFonts w:cs="Times New Roman"/>
                <w:szCs w:val="21"/>
              </w:rPr>
            </w:pPr>
            <w:r>
              <w:rPr>
                <w:rFonts w:cs="Times New Roman"/>
                <w:szCs w:val="21"/>
              </w:rPr>
              <w:t xml:space="preserve">0.0439 </w:t>
            </w:r>
          </w:p>
        </w:tc>
        <w:tc>
          <w:tcPr>
            <w:tcW w:w="1430" w:type="dxa"/>
            <w:noWrap/>
            <w:vAlign w:val="center"/>
          </w:tcPr>
          <w:p w14:paraId="68A9014A">
            <w:pPr>
              <w:pStyle w:val="78"/>
              <w:rPr>
                <w:rFonts w:cs="Times New Roman"/>
                <w:szCs w:val="21"/>
              </w:rPr>
            </w:pPr>
            <w:r>
              <w:rPr>
                <w:rFonts w:cs="Times New Roman"/>
                <w:szCs w:val="21"/>
              </w:rPr>
              <w:t xml:space="preserve">0.0439 </w:t>
            </w:r>
          </w:p>
        </w:tc>
        <w:tc>
          <w:tcPr>
            <w:tcW w:w="1337" w:type="dxa"/>
            <w:noWrap/>
            <w:vAlign w:val="center"/>
          </w:tcPr>
          <w:p w14:paraId="36A36853">
            <w:pPr>
              <w:pStyle w:val="78"/>
              <w:rPr>
                <w:rFonts w:cs="Times New Roman"/>
                <w:szCs w:val="21"/>
              </w:rPr>
            </w:pPr>
            <w:r>
              <w:rPr>
                <w:rFonts w:cs="Times New Roman"/>
                <w:szCs w:val="21"/>
              </w:rPr>
              <w:t xml:space="preserve">0.0439 </w:t>
            </w:r>
          </w:p>
        </w:tc>
        <w:tc>
          <w:tcPr>
            <w:tcW w:w="1337" w:type="dxa"/>
            <w:noWrap/>
            <w:vAlign w:val="center"/>
          </w:tcPr>
          <w:p w14:paraId="35E5F5F8">
            <w:pPr>
              <w:pStyle w:val="78"/>
              <w:rPr>
                <w:rFonts w:cs="Times New Roman"/>
                <w:szCs w:val="21"/>
              </w:rPr>
            </w:pPr>
            <w:r>
              <w:rPr>
                <w:rFonts w:cs="Times New Roman"/>
                <w:szCs w:val="21"/>
              </w:rPr>
              <w:t xml:space="preserve">0.0439 </w:t>
            </w:r>
          </w:p>
        </w:tc>
        <w:tc>
          <w:tcPr>
            <w:tcW w:w="1337" w:type="dxa"/>
            <w:noWrap/>
            <w:vAlign w:val="center"/>
          </w:tcPr>
          <w:p w14:paraId="5219FF50">
            <w:pPr>
              <w:pStyle w:val="78"/>
              <w:rPr>
                <w:rFonts w:cs="Times New Roman"/>
                <w:szCs w:val="21"/>
              </w:rPr>
            </w:pPr>
            <w:r>
              <w:rPr>
                <w:rFonts w:cs="Times New Roman"/>
                <w:szCs w:val="21"/>
              </w:rPr>
              <w:t xml:space="preserve">0.0439 </w:t>
            </w:r>
          </w:p>
        </w:tc>
        <w:tc>
          <w:tcPr>
            <w:tcW w:w="1593" w:type="dxa"/>
            <w:noWrap/>
            <w:vAlign w:val="center"/>
          </w:tcPr>
          <w:p w14:paraId="4A648032">
            <w:pPr>
              <w:pStyle w:val="78"/>
              <w:rPr>
                <w:rFonts w:cs="Times New Roman"/>
                <w:szCs w:val="21"/>
              </w:rPr>
            </w:pPr>
            <w:r>
              <w:rPr>
                <w:rFonts w:cs="Times New Roman"/>
                <w:szCs w:val="21"/>
              </w:rPr>
              <w:t xml:space="preserve">0.0439 </w:t>
            </w:r>
          </w:p>
        </w:tc>
        <w:tc>
          <w:tcPr>
            <w:tcW w:w="1486" w:type="dxa"/>
            <w:noWrap/>
            <w:vAlign w:val="center"/>
          </w:tcPr>
          <w:p w14:paraId="0C96D9BB">
            <w:pPr>
              <w:pStyle w:val="78"/>
              <w:rPr>
                <w:rFonts w:cs="Times New Roman"/>
                <w:szCs w:val="21"/>
              </w:rPr>
            </w:pPr>
            <w:r>
              <w:rPr>
                <w:rFonts w:cs="Times New Roman"/>
                <w:szCs w:val="21"/>
              </w:rPr>
              <w:t xml:space="preserve">0.0439 </w:t>
            </w:r>
          </w:p>
        </w:tc>
        <w:tc>
          <w:tcPr>
            <w:tcW w:w="1048" w:type="dxa"/>
            <w:noWrap/>
            <w:vAlign w:val="center"/>
          </w:tcPr>
          <w:p w14:paraId="122B8D10">
            <w:pPr>
              <w:pStyle w:val="78"/>
              <w:rPr>
                <w:rFonts w:cs="Times New Roman"/>
                <w:szCs w:val="21"/>
              </w:rPr>
            </w:pPr>
            <w:r>
              <w:rPr>
                <w:rFonts w:cs="Times New Roman"/>
                <w:szCs w:val="21"/>
              </w:rPr>
              <w:t xml:space="preserve">/ </w:t>
            </w:r>
          </w:p>
        </w:tc>
        <w:tc>
          <w:tcPr>
            <w:tcW w:w="1499" w:type="dxa"/>
            <w:noWrap/>
            <w:vAlign w:val="center"/>
          </w:tcPr>
          <w:p w14:paraId="2BCF6625">
            <w:pPr>
              <w:pStyle w:val="78"/>
              <w:rPr>
                <w:rFonts w:cs="Times New Roman"/>
                <w:szCs w:val="21"/>
              </w:rPr>
            </w:pPr>
            <w:r>
              <w:rPr>
                <w:rFonts w:cs="Times New Roman"/>
                <w:szCs w:val="21"/>
              </w:rPr>
              <w:t xml:space="preserve">0.0439 </w:t>
            </w:r>
          </w:p>
        </w:tc>
        <w:tc>
          <w:tcPr>
            <w:tcW w:w="1332" w:type="dxa"/>
            <w:noWrap/>
            <w:vAlign w:val="center"/>
          </w:tcPr>
          <w:p w14:paraId="4E8E7048">
            <w:pPr>
              <w:pStyle w:val="78"/>
              <w:rPr>
                <w:rFonts w:cs="Times New Roman"/>
                <w:szCs w:val="21"/>
              </w:rPr>
            </w:pPr>
            <w:r>
              <w:rPr>
                <w:rFonts w:cs="Times New Roman"/>
                <w:szCs w:val="21"/>
              </w:rPr>
              <w:t xml:space="preserve">0.0439 </w:t>
            </w:r>
          </w:p>
        </w:tc>
        <w:tc>
          <w:tcPr>
            <w:tcW w:w="1260" w:type="dxa"/>
            <w:noWrap/>
            <w:vAlign w:val="center"/>
          </w:tcPr>
          <w:p w14:paraId="49766800">
            <w:pPr>
              <w:pStyle w:val="78"/>
              <w:rPr>
                <w:rFonts w:cs="Times New Roman"/>
                <w:szCs w:val="21"/>
              </w:rPr>
            </w:pPr>
            <w:r>
              <w:rPr>
                <w:rFonts w:cs="Times New Roman"/>
                <w:szCs w:val="21"/>
              </w:rPr>
              <w:t xml:space="preserve">0.0439 </w:t>
            </w:r>
          </w:p>
        </w:tc>
      </w:tr>
      <w:tr w14:paraId="618F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097133E6">
            <w:pPr>
              <w:pStyle w:val="78"/>
              <w:rPr>
                <w:rFonts w:cs="Times New Roman"/>
                <w:szCs w:val="21"/>
              </w:rPr>
            </w:pPr>
            <w:r>
              <w:rPr>
                <w:rFonts w:cs="Times New Roman"/>
                <w:szCs w:val="21"/>
              </w:rPr>
              <w:t>总汞</w:t>
            </w:r>
          </w:p>
        </w:tc>
        <w:tc>
          <w:tcPr>
            <w:tcW w:w="1337" w:type="dxa"/>
            <w:noWrap/>
            <w:vAlign w:val="center"/>
          </w:tcPr>
          <w:p w14:paraId="56E0BDB8">
            <w:pPr>
              <w:pStyle w:val="78"/>
              <w:rPr>
                <w:rFonts w:cs="Times New Roman"/>
                <w:szCs w:val="21"/>
              </w:rPr>
            </w:pPr>
            <w:r>
              <w:rPr>
                <w:rFonts w:cs="Times New Roman"/>
                <w:szCs w:val="21"/>
              </w:rPr>
              <w:t>0.0002</w:t>
            </w:r>
          </w:p>
        </w:tc>
        <w:tc>
          <w:tcPr>
            <w:tcW w:w="1337" w:type="dxa"/>
            <w:noWrap/>
            <w:vAlign w:val="center"/>
          </w:tcPr>
          <w:p w14:paraId="06DB1A68">
            <w:pPr>
              <w:pStyle w:val="78"/>
              <w:rPr>
                <w:rFonts w:cs="Times New Roman"/>
                <w:szCs w:val="21"/>
              </w:rPr>
            </w:pPr>
            <w:r>
              <w:rPr>
                <w:rFonts w:cs="Times New Roman"/>
                <w:szCs w:val="21"/>
              </w:rPr>
              <w:t>0.0003</w:t>
            </w:r>
          </w:p>
        </w:tc>
        <w:tc>
          <w:tcPr>
            <w:tcW w:w="1337" w:type="dxa"/>
            <w:noWrap/>
            <w:vAlign w:val="center"/>
          </w:tcPr>
          <w:p w14:paraId="1E90C41A">
            <w:pPr>
              <w:pStyle w:val="78"/>
              <w:rPr>
                <w:rFonts w:cs="Times New Roman"/>
                <w:szCs w:val="21"/>
              </w:rPr>
            </w:pPr>
            <w:r>
              <w:rPr>
                <w:rFonts w:cs="Times New Roman"/>
                <w:szCs w:val="21"/>
              </w:rPr>
              <w:t>0.0002</w:t>
            </w:r>
          </w:p>
        </w:tc>
        <w:tc>
          <w:tcPr>
            <w:tcW w:w="1337" w:type="dxa"/>
            <w:noWrap/>
            <w:vAlign w:val="center"/>
          </w:tcPr>
          <w:p w14:paraId="32BFD564">
            <w:pPr>
              <w:pStyle w:val="78"/>
              <w:rPr>
                <w:rFonts w:cs="Times New Roman"/>
                <w:szCs w:val="21"/>
              </w:rPr>
            </w:pPr>
            <w:r>
              <w:rPr>
                <w:rFonts w:cs="Times New Roman"/>
                <w:szCs w:val="21"/>
              </w:rPr>
              <w:t xml:space="preserve">0.0004 </w:t>
            </w:r>
          </w:p>
        </w:tc>
        <w:tc>
          <w:tcPr>
            <w:tcW w:w="1430" w:type="dxa"/>
            <w:noWrap/>
            <w:vAlign w:val="center"/>
          </w:tcPr>
          <w:p w14:paraId="046A1CCC">
            <w:pPr>
              <w:pStyle w:val="78"/>
              <w:rPr>
                <w:rFonts w:cs="Times New Roman"/>
                <w:szCs w:val="21"/>
              </w:rPr>
            </w:pPr>
            <w:r>
              <w:rPr>
                <w:rFonts w:cs="Times New Roman"/>
                <w:szCs w:val="21"/>
              </w:rPr>
              <w:t xml:space="preserve">0.0008 </w:t>
            </w:r>
          </w:p>
        </w:tc>
        <w:tc>
          <w:tcPr>
            <w:tcW w:w="1337" w:type="dxa"/>
            <w:noWrap/>
            <w:vAlign w:val="center"/>
          </w:tcPr>
          <w:p w14:paraId="75DF6BD0">
            <w:pPr>
              <w:pStyle w:val="78"/>
              <w:rPr>
                <w:rFonts w:cs="Times New Roman"/>
                <w:szCs w:val="21"/>
              </w:rPr>
            </w:pPr>
            <w:r>
              <w:rPr>
                <w:rFonts w:cs="Times New Roman"/>
                <w:szCs w:val="21"/>
              </w:rPr>
              <w:t xml:space="preserve">0.0004 </w:t>
            </w:r>
          </w:p>
        </w:tc>
        <w:tc>
          <w:tcPr>
            <w:tcW w:w="1337" w:type="dxa"/>
            <w:noWrap/>
            <w:vAlign w:val="center"/>
          </w:tcPr>
          <w:p w14:paraId="17380320">
            <w:pPr>
              <w:pStyle w:val="78"/>
              <w:rPr>
                <w:rFonts w:cs="Times New Roman"/>
                <w:szCs w:val="21"/>
              </w:rPr>
            </w:pPr>
            <w:r>
              <w:rPr>
                <w:rFonts w:cs="Times New Roman"/>
                <w:szCs w:val="21"/>
              </w:rPr>
              <w:t xml:space="preserve">0.0003 </w:t>
            </w:r>
          </w:p>
        </w:tc>
        <w:tc>
          <w:tcPr>
            <w:tcW w:w="1337" w:type="dxa"/>
            <w:noWrap/>
            <w:vAlign w:val="center"/>
          </w:tcPr>
          <w:p w14:paraId="5ADCA024">
            <w:pPr>
              <w:pStyle w:val="78"/>
              <w:rPr>
                <w:rFonts w:cs="Times New Roman"/>
                <w:szCs w:val="21"/>
              </w:rPr>
            </w:pPr>
            <w:r>
              <w:rPr>
                <w:rFonts w:cs="Times New Roman"/>
                <w:szCs w:val="21"/>
              </w:rPr>
              <w:t xml:space="preserve">0.0008 </w:t>
            </w:r>
          </w:p>
        </w:tc>
        <w:tc>
          <w:tcPr>
            <w:tcW w:w="1593" w:type="dxa"/>
            <w:noWrap/>
            <w:vAlign w:val="center"/>
          </w:tcPr>
          <w:p w14:paraId="5CF863C9">
            <w:pPr>
              <w:pStyle w:val="78"/>
              <w:rPr>
                <w:rFonts w:cs="Times New Roman"/>
                <w:szCs w:val="21"/>
              </w:rPr>
            </w:pPr>
            <w:r>
              <w:rPr>
                <w:rFonts w:cs="Times New Roman"/>
                <w:szCs w:val="21"/>
              </w:rPr>
              <w:t xml:space="preserve">0.0005 </w:t>
            </w:r>
          </w:p>
        </w:tc>
        <w:tc>
          <w:tcPr>
            <w:tcW w:w="1486" w:type="dxa"/>
            <w:noWrap/>
            <w:vAlign w:val="center"/>
          </w:tcPr>
          <w:p w14:paraId="401906A3">
            <w:pPr>
              <w:pStyle w:val="78"/>
              <w:rPr>
                <w:rFonts w:cs="Times New Roman"/>
                <w:szCs w:val="21"/>
              </w:rPr>
            </w:pPr>
            <w:r>
              <w:rPr>
                <w:rFonts w:cs="Times New Roman"/>
                <w:szCs w:val="21"/>
              </w:rPr>
              <w:t xml:space="preserve">0.0002 </w:t>
            </w:r>
          </w:p>
        </w:tc>
        <w:tc>
          <w:tcPr>
            <w:tcW w:w="1048" w:type="dxa"/>
            <w:noWrap/>
            <w:vAlign w:val="center"/>
          </w:tcPr>
          <w:p w14:paraId="1B207548">
            <w:pPr>
              <w:pStyle w:val="78"/>
              <w:rPr>
                <w:rFonts w:cs="Times New Roman"/>
                <w:szCs w:val="21"/>
              </w:rPr>
            </w:pPr>
            <w:r>
              <w:rPr>
                <w:rFonts w:cs="Times New Roman"/>
                <w:szCs w:val="21"/>
              </w:rPr>
              <w:t xml:space="preserve">0.0154 </w:t>
            </w:r>
          </w:p>
        </w:tc>
        <w:tc>
          <w:tcPr>
            <w:tcW w:w="1499" w:type="dxa"/>
            <w:noWrap/>
            <w:vAlign w:val="center"/>
          </w:tcPr>
          <w:p w14:paraId="47400B5F">
            <w:pPr>
              <w:pStyle w:val="78"/>
              <w:rPr>
                <w:rFonts w:cs="Times New Roman"/>
                <w:szCs w:val="21"/>
              </w:rPr>
            </w:pPr>
            <w:r>
              <w:rPr>
                <w:rFonts w:cs="Times New Roman"/>
                <w:szCs w:val="21"/>
              </w:rPr>
              <w:t xml:space="preserve">0.0007 </w:t>
            </w:r>
          </w:p>
        </w:tc>
        <w:tc>
          <w:tcPr>
            <w:tcW w:w="1332" w:type="dxa"/>
            <w:noWrap/>
            <w:vAlign w:val="center"/>
          </w:tcPr>
          <w:p w14:paraId="7F010889">
            <w:pPr>
              <w:pStyle w:val="78"/>
              <w:rPr>
                <w:rFonts w:cs="Times New Roman"/>
                <w:szCs w:val="21"/>
              </w:rPr>
            </w:pPr>
            <w:r>
              <w:rPr>
                <w:rFonts w:cs="Times New Roman"/>
                <w:szCs w:val="21"/>
              </w:rPr>
              <w:t xml:space="preserve">0.0004 </w:t>
            </w:r>
          </w:p>
        </w:tc>
        <w:tc>
          <w:tcPr>
            <w:tcW w:w="1260" w:type="dxa"/>
            <w:noWrap/>
            <w:vAlign w:val="center"/>
          </w:tcPr>
          <w:p w14:paraId="65B1657B">
            <w:pPr>
              <w:pStyle w:val="78"/>
              <w:rPr>
                <w:rFonts w:cs="Times New Roman"/>
                <w:szCs w:val="21"/>
              </w:rPr>
            </w:pPr>
            <w:r>
              <w:rPr>
                <w:rFonts w:cs="Times New Roman"/>
                <w:szCs w:val="21"/>
              </w:rPr>
              <w:t xml:space="preserve">0.0002 </w:t>
            </w:r>
          </w:p>
        </w:tc>
      </w:tr>
      <w:tr w14:paraId="4E50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4718438E">
            <w:pPr>
              <w:pStyle w:val="78"/>
              <w:rPr>
                <w:rFonts w:cs="Times New Roman"/>
                <w:szCs w:val="21"/>
              </w:rPr>
            </w:pPr>
            <w:r>
              <w:rPr>
                <w:rFonts w:cs="Times New Roman"/>
                <w:szCs w:val="21"/>
              </w:rPr>
              <w:t>总砷</w:t>
            </w:r>
          </w:p>
        </w:tc>
        <w:tc>
          <w:tcPr>
            <w:tcW w:w="1337" w:type="dxa"/>
            <w:noWrap/>
            <w:vAlign w:val="center"/>
          </w:tcPr>
          <w:p w14:paraId="08E480F8">
            <w:pPr>
              <w:pStyle w:val="78"/>
              <w:rPr>
                <w:rFonts w:cs="Times New Roman"/>
                <w:szCs w:val="21"/>
              </w:rPr>
            </w:pPr>
            <w:r>
              <w:rPr>
                <w:rFonts w:cs="Times New Roman"/>
                <w:szCs w:val="21"/>
              </w:rPr>
              <w:t>0.0355</w:t>
            </w:r>
          </w:p>
        </w:tc>
        <w:tc>
          <w:tcPr>
            <w:tcW w:w="1337" w:type="dxa"/>
            <w:noWrap/>
            <w:vAlign w:val="center"/>
          </w:tcPr>
          <w:p w14:paraId="41347087">
            <w:pPr>
              <w:pStyle w:val="78"/>
              <w:rPr>
                <w:rFonts w:cs="Times New Roman"/>
                <w:szCs w:val="21"/>
              </w:rPr>
            </w:pPr>
            <w:r>
              <w:rPr>
                <w:rFonts w:cs="Times New Roman"/>
                <w:szCs w:val="21"/>
              </w:rPr>
              <w:t>0.0267</w:t>
            </w:r>
          </w:p>
        </w:tc>
        <w:tc>
          <w:tcPr>
            <w:tcW w:w="1337" w:type="dxa"/>
            <w:noWrap/>
            <w:vAlign w:val="center"/>
          </w:tcPr>
          <w:p w14:paraId="13CDBAFF">
            <w:pPr>
              <w:pStyle w:val="78"/>
              <w:rPr>
                <w:rFonts w:cs="Times New Roman"/>
                <w:szCs w:val="21"/>
              </w:rPr>
            </w:pPr>
            <w:r>
              <w:rPr>
                <w:rFonts w:cs="Times New Roman"/>
                <w:szCs w:val="21"/>
              </w:rPr>
              <w:t>0.0132</w:t>
            </w:r>
          </w:p>
        </w:tc>
        <w:tc>
          <w:tcPr>
            <w:tcW w:w="1337" w:type="dxa"/>
            <w:noWrap/>
            <w:vAlign w:val="center"/>
          </w:tcPr>
          <w:p w14:paraId="568B74D8">
            <w:pPr>
              <w:pStyle w:val="78"/>
              <w:rPr>
                <w:rFonts w:cs="Times New Roman"/>
                <w:szCs w:val="21"/>
              </w:rPr>
            </w:pPr>
            <w:r>
              <w:rPr>
                <w:rFonts w:cs="Times New Roman"/>
                <w:szCs w:val="21"/>
              </w:rPr>
              <w:t xml:space="preserve">0.0535 </w:t>
            </w:r>
          </w:p>
        </w:tc>
        <w:tc>
          <w:tcPr>
            <w:tcW w:w="1430" w:type="dxa"/>
            <w:noWrap/>
            <w:vAlign w:val="center"/>
          </w:tcPr>
          <w:p w14:paraId="3F0E62C1">
            <w:pPr>
              <w:pStyle w:val="78"/>
              <w:rPr>
                <w:rFonts w:cs="Times New Roman"/>
                <w:szCs w:val="21"/>
              </w:rPr>
            </w:pPr>
            <w:r>
              <w:rPr>
                <w:rFonts w:cs="Times New Roman"/>
                <w:szCs w:val="21"/>
              </w:rPr>
              <w:t xml:space="preserve">0.0300 </w:t>
            </w:r>
          </w:p>
        </w:tc>
        <w:tc>
          <w:tcPr>
            <w:tcW w:w="1337" w:type="dxa"/>
            <w:noWrap/>
            <w:vAlign w:val="center"/>
          </w:tcPr>
          <w:p w14:paraId="25EF4940">
            <w:pPr>
              <w:pStyle w:val="78"/>
              <w:rPr>
                <w:rFonts w:cs="Times New Roman"/>
                <w:szCs w:val="21"/>
              </w:rPr>
            </w:pPr>
            <w:r>
              <w:rPr>
                <w:rFonts w:cs="Times New Roman"/>
                <w:szCs w:val="21"/>
              </w:rPr>
              <w:t xml:space="preserve">0.0223 </w:t>
            </w:r>
          </w:p>
        </w:tc>
        <w:tc>
          <w:tcPr>
            <w:tcW w:w="1337" w:type="dxa"/>
            <w:noWrap/>
            <w:vAlign w:val="center"/>
          </w:tcPr>
          <w:p w14:paraId="67D9EC7F">
            <w:pPr>
              <w:pStyle w:val="78"/>
              <w:rPr>
                <w:rFonts w:cs="Times New Roman"/>
                <w:szCs w:val="21"/>
              </w:rPr>
            </w:pPr>
            <w:r>
              <w:rPr>
                <w:rFonts w:cs="Times New Roman"/>
                <w:szCs w:val="21"/>
              </w:rPr>
              <w:t xml:space="preserve">0.0318 </w:t>
            </w:r>
          </w:p>
        </w:tc>
        <w:tc>
          <w:tcPr>
            <w:tcW w:w="1337" w:type="dxa"/>
            <w:noWrap/>
            <w:vAlign w:val="center"/>
          </w:tcPr>
          <w:p w14:paraId="2E52B295">
            <w:pPr>
              <w:pStyle w:val="78"/>
              <w:rPr>
                <w:rFonts w:cs="Times New Roman"/>
                <w:szCs w:val="21"/>
              </w:rPr>
            </w:pPr>
            <w:r>
              <w:rPr>
                <w:rFonts w:cs="Times New Roman"/>
                <w:szCs w:val="21"/>
              </w:rPr>
              <w:t xml:space="preserve">0.0240 </w:t>
            </w:r>
          </w:p>
        </w:tc>
        <w:tc>
          <w:tcPr>
            <w:tcW w:w="1593" w:type="dxa"/>
            <w:noWrap/>
            <w:vAlign w:val="center"/>
          </w:tcPr>
          <w:p w14:paraId="3599CDEE">
            <w:pPr>
              <w:pStyle w:val="78"/>
              <w:rPr>
                <w:rFonts w:cs="Times New Roman"/>
                <w:szCs w:val="21"/>
              </w:rPr>
            </w:pPr>
            <w:r>
              <w:rPr>
                <w:rFonts w:cs="Times New Roman"/>
                <w:szCs w:val="21"/>
              </w:rPr>
              <w:t xml:space="preserve">0.0303 </w:t>
            </w:r>
          </w:p>
        </w:tc>
        <w:tc>
          <w:tcPr>
            <w:tcW w:w="1486" w:type="dxa"/>
            <w:noWrap/>
            <w:vAlign w:val="center"/>
          </w:tcPr>
          <w:p w14:paraId="687DE818">
            <w:pPr>
              <w:pStyle w:val="78"/>
              <w:rPr>
                <w:rFonts w:cs="Times New Roman"/>
                <w:szCs w:val="21"/>
              </w:rPr>
            </w:pPr>
            <w:r>
              <w:rPr>
                <w:rFonts w:cs="Times New Roman"/>
                <w:szCs w:val="21"/>
              </w:rPr>
              <w:t xml:space="preserve">0.0372 </w:t>
            </w:r>
          </w:p>
        </w:tc>
        <w:tc>
          <w:tcPr>
            <w:tcW w:w="1048" w:type="dxa"/>
            <w:noWrap/>
            <w:vAlign w:val="center"/>
          </w:tcPr>
          <w:p w14:paraId="413DC93E">
            <w:pPr>
              <w:pStyle w:val="78"/>
              <w:rPr>
                <w:rFonts w:cs="Times New Roman"/>
                <w:szCs w:val="21"/>
              </w:rPr>
            </w:pPr>
            <w:r>
              <w:rPr>
                <w:rFonts w:cs="Times New Roman"/>
                <w:szCs w:val="21"/>
              </w:rPr>
              <w:t xml:space="preserve">0.0573 </w:t>
            </w:r>
          </w:p>
        </w:tc>
        <w:tc>
          <w:tcPr>
            <w:tcW w:w="1499" w:type="dxa"/>
            <w:noWrap/>
            <w:vAlign w:val="center"/>
          </w:tcPr>
          <w:p w14:paraId="7A5E3845">
            <w:pPr>
              <w:pStyle w:val="78"/>
              <w:rPr>
                <w:rFonts w:cs="Times New Roman"/>
                <w:szCs w:val="21"/>
              </w:rPr>
            </w:pPr>
            <w:r>
              <w:rPr>
                <w:rFonts w:cs="Times New Roman"/>
                <w:szCs w:val="21"/>
              </w:rPr>
              <w:t xml:space="preserve">0.0657 </w:t>
            </w:r>
          </w:p>
        </w:tc>
        <w:tc>
          <w:tcPr>
            <w:tcW w:w="1332" w:type="dxa"/>
            <w:noWrap/>
            <w:vAlign w:val="center"/>
          </w:tcPr>
          <w:p w14:paraId="0BA1ACBA">
            <w:pPr>
              <w:pStyle w:val="78"/>
              <w:rPr>
                <w:rFonts w:cs="Times New Roman"/>
                <w:szCs w:val="21"/>
              </w:rPr>
            </w:pPr>
            <w:r>
              <w:rPr>
                <w:rFonts w:cs="Times New Roman"/>
                <w:szCs w:val="21"/>
              </w:rPr>
              <w:t xml:space="preserve">0.0253 </w:t>
            </w:r>
          </w:p>
        </w:tc>
        <w:tc>
          <w:tcPr>
            <w:tcW w:w="1260" w:type="dxa"/>
            <w:noWrap/>
            <w:vAlign w:val="center"/>
          </w:tcPr>
          <w:p w14:paraId="546C0036">
            <w:pPr>
              <w:pStyle w:val="78"/>
              <w:rPr>
                <w:rFonts w:cs="Times New Roman"/>
                <w:szCs w:val="21"/>
              </w:rPr>
            </w:pPr>
            <w:r>
              <w:rPr>
                <w:rFonts w:cs="Times New Roman"/>
                <w:szCs w:val="21"/>
              </w:rPr>
              <w:t xml:space="preserve">0.0235 </w:t>
            </w:r>
          </w:p>
        </w:tc>
      </w:tr>
      <w:tr w14:paraId="347F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114652F3">
            <w:pPr>
              <w:pStyle w:val="78"/>
              <w:rPr>
                <w:rFonts w:cs="Times New Roman"/>
                <w:szCs w:val="21"/>
              </w:rPr>
            </w:pPr>
            <w:r>
              <w:rPr>
                <w:rFonts w:cs="Times New Roman"/>
                <w:szCs w:val="21"/>
              </w:rPr>
              <w:t>铜</w:t>
            </w:r>
          </w:p>
        </w:tc>
        <w:tc>
          <w:tcPr>
            <w:tcW w:w="1337" w:type="dxa"/>
            <w:noWrap/>
            <w:vAlign w:val="center"/>
          </w:tcPr>
          <w:p w14:paraId="51E8DEB0">
            <w:pPr>
              <w:pStyle w:val="78"/>
              <w:rPr>
                <w:rFonts w:cs="Times New Roman"/>
                <w:szCs w:val="21"/>
              </w:rPr>
            </w:pPr>
            <w:r>
              <w:rPr>
                <w:rFonts w:cs="Times New Roman"/>
                <w:szCs w:val="21"/>
              </w:rPr>
              <w:t>0.0002</w:t>
            </w:r>
          </w:p>
        </w:tc>
        <w:tc>
          <w:tcPr>
            <w:tcW w:w="1337" w:type="dxa"/>
            <w:noWrap/>
            <w:vAlign w:val="center"/>
          </w:tcPr>
          <w:p w14:paraId="6DB3D86E">
            <w:pPr>
              <w:pStyle w:val="78"/>
              <w:rPr>
                <w:rFonts w:cs="Times New Roman"/>
                <w:szCs w:val="21"/>
              </w:rPr>
            </w:pPr>
            <w:r>
              <w:rPr>
                <w:rFonts w:cs="Times New Roman"/>
                <w:szCs w:val="21"/>
              </w:rPr>
              <w:t>0.0001</w:t>
            </w:r>
          </w:p>
        </w:tc>
        <w:tc>
          <w:tcPr>
            <w:tcW w:w="1337" w:type="dxa"/>
            <w:noWrap/>
            <w:vAlign w:val="center"/>
          </w:tcPr>
          <w:p w14:paraId="2782F3A4">
            <w:pPr>
              <w:pStyle w:val="78"/>
              <w:rPr>
                <w:rFonts w:cs="Times New Roman"/>
                <w:szCs w:val="21"/>
              </w:rPr>
            </w:pPr>
            <w:r>
              <w:rPr>
                <w:rFonts w:cs="Times New Roman"/>
                <w:szCs w:val="21"/>
              </w:rPr>
              <w:t>0.0001</w:t>
            </w:r>
          </w:p>
        </w:tc>
        <w:tc>
          <w:tcPr>
            <w:tcW w:w="1337" w:type="dxa"/>
            <w:noWrap/>
            <w:vAlign w:val="center"/>
          </w:tcPr>
          <w:p w14:paraId="65C9A1D5">
            <w:pPr>
              <w:pStyle w:val="78"/>
              <w:rPr>
                <w:rFonts w:cs="Times New Roman"/>
                <w:szCs w:val="21"/>
              </w:rPr>
            </w:pPr>
            <w:r>
              <w:rPr>
                <w:rFonts w:cs="Times New Roman"/>
                <w:szCs w:val="21"/>
              </w:rPr>
              <w:t xml:space="preserve">0.0002 </w:t>
            </w:r>
          </w:p>
        </w:tc>
        <w:tc>
          <w:tcPr>
            <w:tcW w:w="1430" w:type="dxa"/>
            <w:noWrap/>
            <w:vAlign w:val="center"/>
          </w:tcPr>
          <w:p w14:paraId="03525E9F">
            <w:pPr>
              <w:pStyle w:val="78"/>
              <w:rPr>
                <w:rFonts w:cs="Times New Roman"/>
                <w:szCs w:val="21"/>
              </w:rPr>
            </w:pPr>
            <w:r>
              <w:rPr>
                <w:rFonts w:cs="Times New Roman"/>
                <w:szCs w:val="21"/>
              </w:rPr>
              <w:t xml:space="preserve">0.0001 </w:t>
            </w:r>
          </w:p>
        </w:tc>
        <w:tc>
          <w:tcPr>
            <w:tcW w:w="1337" w:type="dxa"/>
            <w:noWrap/>
            <w:vAlign w:val="center"/>
          </w:tcPr>
          <w:p w14:paraId="0A049F01">
            <w:pPr>
              <w:pStyle w:val="78"/>
              <w:rPr>
                <w:rFonts w:cs="Times New Roman"/>
                <w:szCs w:val="21"/>
              </w:rPr>
            </w:pPr>
            <w:r>
              <w:rPr>
                <w:rFonts w:cs="Times New Roman"/>
                <w:szCs w:val="21"/>
              </w:rPr>
              <w:t xml:space="preserve">0.0002 </w:t>
            </w:r>
          </w:p>
        </w:tc>
        <w:tc>
          <w:tcPr>
            <w:tcW w:w="1337" w:type="dxa"/>
            <w:noWrap/>
            <w:vAlign w:val="center"/>
          </w:tcPr>
          <w:p w14:paraId="6E54A767">
            <w:pPr>
              <w:pStyle w:val="78"/>
              <w:rPr>
                <w:rFonts w:cs="Times New Roman"/>
                <w:szCs w:val="21"/>
              </w:rPr>
            </w:pPr>
            <w:r>
              <w:rPr>
                <w:rFonts w:cs="Times New Roman"/>
                <w:szCs w:val="21"/>
              </w:rPr>
              <w:t xml:space="preserve">0.0526 </w:t>
            </w:r>
          </w:p>
        </w:tc>
        <w:tc>
          <w:tcPr>
            <w:tcW w:w="1337" w:type="dxa"/>
            <w:noWrap/>
            <w:vAlign w:val="center"/>
          </w:tcPr>
          <w:p w14:paraId="40A71A89">
            <w:pPr>
              <w:pStyle w:val="78"/>
              <w:rPr>
                <w:rFonts w:cs="Times New Roman"/>
                <w:szCs w:val="21"/>
              </w:rPr>
            </w:pPr>
            <w:r>
              <w:rPr>
                <w:rFonts w:cs="Times New Roman"/>
                <w:szCs w:val="21"/>
              </w:rPr>
              <w:t xml:space="preserve">0.0001 </w:t>
            </w:r>
          </w:p>
        </w:tc>
        <w:tc>
          <w:tcPr>
            <w:tcW w:w="1593" w:type="dxa"/>
            <w:noWrap/>
            <w:vAlign w:val="center"/>
          </w:tcPr>
          <w:p w14:paraId="65B1DBB3">
            <w:pPr>
              <w:pStyle w:val="78"/>
              <w:rPr>
                <w:rFonts w:cs="Times New Roman"/>
                <w:szCs w:val="21"/>
              </w:rPr>
            </w:pPr>
            <w:r>
              <w:rPr>
                <w:rFonts w:cs="Times New Roman"/>
                <w:szCs w:val="21"/>
              </w:rPr>
              <w:t xml:space="preserve">0.0002 </w:t>
            </w:r>
          </w:p>
        </w:tc>
        <w:tc>
          <w:tcPr>
            <w:tcW w:w="1486" w:type="dxa"/>
            <w:noWrap/>
            <w:vAlign w:val="center"/>
          </w:tcPr>
          <w:p w14:paraId="73464B60">
            <w:pPr>
              <w:pStyle w:val="78"/>
              <w:rPr>
                <w:rFonts w:cs="Times New Roman"/>
                <w:szCs w:val="21"/>
              </w:rPr>
            </w:pPr>
            <w:r>
              <w:rPr>
                <w:rFonts w:cs="Times New Roman"/>
                <w:szCs w:val="21"/>
              </w:rPr>
              <w:t xml:space="preserve">0.0002 </w:t>
            </w:r>
          </w:p>
        </w:tc>
        <w:tc>
          <w:tcPr>
            <w:tcW w:w="1048" w:type="dxa"/>
            <w:noWrap/>
            <w:vAlign w:val="center"/>
          </w:tcPr>
          <w:p w14:paraId="6AC68A8C">
            <w:pPr>
              <w:pStyle w:val="78"/>
              <w:rPr>
                <w:rFonts w:cs="Times New Roman"/>
                <w:szCs w:val="21"/>
              </w:rPr>
            </w:pPr>
            <w:r>
              <w:rPr>
                <w:rFonts w:cs="Times New Roman"/>
                <w:szCs w:val="21"/>
              </w:rPr>
              <w:t xml:space="preserve">0.0600 </w:t>
            </w:r>
          </w:p>
        </w:tc>
        <w:tc>
          <w:tcPr>
            <w:tcW w:w="1499" w:type="dxa"/>
            <w:noWrap/>
            <w:vAlign w:val="center"/>
          </w:tcPr>
          <w:p w14:paraId="5DBE139F">
            <w:pPr>
              <w:pStyle w:val="78"/>
              <w:rPr>
                <w:rFonts w:cs="Times New Roman"/>
                <w:szCs w:val="21"/>
              </w:rPr>
            </w:pPr>
            <w:r>
              <w:rPr>
                <w:rFonts w:cs="Times New Roman"/>
                <w:szCs w:val="21"/>
              </w:rPr>
              <w:t xml:space="preserve">0.0004 </w:t>
            </w:r>
          </w:p>
        </w:tc>
        <w:tc>
          <w:tcPr>
            <w:tcW w:w="1332" w:type="dxa"/>
            <w:noWrap/>
            <w:vAlign w:val="center"/>
          </w:tcPr>
          <w:p w14:paraId="600390DA">
            <w:pPr>
              <w:pStyle w:val="78"/>
              <w:rPr>
                <w:rFonts w:cs="Times New Roman"/>
                <w:szCs w:val="21"/>
              </w:rPr>
            </w:pPr>
            <w:r>
              <w:rPr>
                <w:rFonts w:cs="Times New Roman"/>
                <w:szCs w:val="21"/>
              </w:rPr>
              <w:t xml:space="preserve">0.0001 </w:t>
            </w:r>
          </w:p>
        </w:tc>
        <w:tc>
          <w:tcPr>
            <w:tcW w:w="1260" w:type="dxa"/>
            <w:noWrap/>
            <w:vAlign w:val="center"/>
          </w:tcPr>
          <w:p w14:paraId="03D8F016">
            <w:pPr>
              <w:pStyle w:val="78"/>
              <w:rPr>
                <w:rFonts w:cs="Times New Roman"/>
                <w:szCs w:val="21"/>
              </w:rPr>
            </w:pPr>
            <w:r>
              <w:rPr>
                <w:rFonts w:cs="Times New Roman"/>
                <w:szCs w:val="21"/>
              </w:rPr>
              <w:t xml:space="preserve">0.0001 </w:t>
            </w:r>
          </w:p>
        </w:tc>
      </w:tr>
      <w:tr w14:paraId="1C82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105DC879">
            <w:pPr>
              <w:pStyle w:val="78"/>
              <w:rPr>
                <w:rFonts w:cs="Times New Roman"/>
                <w:szCs w:val="21"/>
              </w:rPr>
            </w:pPr>
            <w:r>
              <w:rPr>
                <w:rFonts w:cs="Times New Roman"/>
                <w:szCs w:val="21"/>
              </w:rPr>
              <w:t>铅</w:t>
            </w:r>
          </w:p>
        </w:tc>
        <w:tc>
          <w:tcPr>
            <w:tcW w:w="1337" w:type="dxa"/>
            <w:noWrap/>
            <w:vAlign w:val="center"/>
          </w:tcPr>
          <w:p w14:paraId="78E085F9">
            <w:pPr>
              <w:pStyle w:val="78"/>
              <w:rPr>
                <w:rFonts w:cs="Times New Roman"/>
                <w:szCs w:val="21"/>
              </w:rPr>
            </w:pPr>
            <w:r>
              <w:rPr>
                <w:rFonts w:cs="Times New Roman"/>
                <w:szCs w:val="21"/>
              </w:rPr>
              <w:t>0.0200</w:t>
            </w:r>
          </w:p>
        </w:tc>
        <w:tc>
          <w:tcPr>
            <w:tcW w:w="1337" w:type="dxa"/>
            <w:noWrap/>
            <w:vAlign w:val="center"/>
          </w:tcPr>
          <w:p w14:paraId="58808E40">
            <w:pPr>
              <w:pStyle w:val="78"/>
              <w:rPr>
                <w:rFonts w:cs="Times New Roman"/>
                <w:szCs w:val="21"/>
              </w:rPr>
            </w:pPr>
            <w:r>
              <w:rPr>
                <w:rFonts w:cs="Times New Roman"/>
                <w:szCs w:val="21"/>
              </w:rPr>
              <w:t>0.0138</w:t>
            </w:r>
          </w:p>
        </w:tc>
        <w:tc>
          <w:tcPr>
            <w:tcW w:w="1337" w:type="dxa"/>
            <w:noWrap/>
            <w:vAlign w:val="center"/>
          </w:tcPr>
          <w:p w14:paraId="56DE2390">
            <w:pPr>
              <w:pStyle w:val="78"/>
              <w:rPr>
                <w:rFonts w:cs="Times New Roman"/>
                <w:szCs w:val="21"/>
              </w:rPr>
            </w:pPr>
            <w:r>
              <w:rPr>
                <w:rFonts w:cs="Times New Roman"/>
                <w:szCs w:val="21"/>
              </w:rPr>
              <w:t>0.0250</w:t>
            </w:r>
          </w:p>
        </w:tc>
        <w:tc>
          <w:tcPr>
            <w:tcW w:w="1337" w:type="dxa"/>
            <w:noWrap/>
            <w:vAlign w:val="center"/>
          </w:tcPr>
          <w:p w14:paraId="23071DE3">
            <w:pPr>
              <w:pStyle w:val="78"/>
              <w:rPr>
                <w:rFonts w:cs="Times New Roman"/>
                <w:szCs w:val="21"/>
              </w:rPr>
            </w:pPr>
            <w:r>
              <w:rPr>
                <w:rFonts w:cs="Times New Roman"/>
                <w:szCs w:val="21"/>
              </w:rPr>
              <w:t xml:space="preserve">0.0225 </w:t>
            </w:r>
          </w:p>
        </w:tc>
        <w:tc>
          <w:tcPr>
            <w:tcW w:w="1430" w:type="dxa"/>
            <w:noWrap/>
            <w:vAlign w:val="center"/>
          </w:tcPr>
          <w:p w14:paraId="63124762">
            <w:pPr>
              <w:pStyle w:val="78"/>
              <w:rPr>
                <w:rFonts w:cs="Times New Roman"/>
                <w:szCs w:val="21"/>
              </w:rPr>
            </w:pPr>
            <w:r>
              <w:rPr>
                <w:rFonts w:cs="Times New Roman"/>
                <w:szCs w:val="21"/>
              </w:rPr>
              <w:t xml:space="preserve">0.0200 </w:t>
            </w:r>
          </w:p>
        </w:tc>
        <w:tc>
          <w:tcPr>
            <w:tcW w:w="1337" w:type="dxa"/>
            <w:noWrap/>
            <w:vAlign w:val="center"/>
          </w:tcPr>
          <w:p w14:paraId="4F49641A">
            <w:pPr>
              <w:pStyle w:val="78"/>
              <w:rPr>
                <w:rFonts w:cs="Times New Roman"/>
                <w:szCs w:val="21"/>
              </w:rPr>
            </w:pPr>
            <w:r>
              <w:rPr>
                <w:rFonts w:cs="Times New Roman"/>
                <w:szCs w:val="21"/>
              </w:rPr>
              <w:t xml:space="preserve">0.0200 </w:t>
            </w:r>
          </w:p>
        </w:tc>
        <w:tc>
          <w:tcPr>
            <w:tcW w:w="1337" w:type="dxa"/>
            <w:noWrap/>
            <w:vAlign w:val="center"/>
          </w:tcPr>
          <w:p w14:paraId="4D9209B1">
            <w:pPr>
              <w:pStyle w:val="78"/>
              <w:rPr>
                <w:rFonts w:cs="Times New Roman"/>
                <w:szCs w:val="21"/>
              </w:rPr>
            </w:pPr>
            <w:r>
              <w:rPr>
                <w:rFonts w:cs="Times New Roman"/>
                <w:szCs w:val="21"/>
              </w:rPr>
              <w:t xml:space="preserve">0.3947 </w:t>
            </w:r>
          </w:p>
        </w:tc>
        <w:tc>
          <w:tcPr>
            <w:tcW w:w="1337" w:type="dxa"/>
            <w:noWrap/>
            <w:vAlign w:val="center"/>
          </w:tcPr>
          <w:p w14:paraId="768AB9BE">
            <w:pPr>
              <w:pStyle w:val="78"/>
              <w:rPr>
                <w:rFonts w:cs="Times New Roman"/>
                <w:szCs w:val="21"/>
              </w:rPr>
            </w:pPr>
            <w:r>
              <w:rPr>
                <w:rFonts w:cs="Times New Roman"/>
                <w:szCs w:val="21"/>
              </w:rPr>
              <w:t xml:space="preserve">0.0150 </w:t>
            </w:r>
          </w:p>
        </w:tc>
        <w:tc>
          <w:tcPr>
            <w:tcW w:w="1593" w:type="dxa"/>
            <w:noWrap/>
            <w:vAlign w:val="center"/>
          </w:tcPr>
          <w:p w14:paraId="4304A42F">
            <w:pPr>
              <w:pStyle w:val="78"/>
              <w:rPr>
                <w:rFonts w:cs="Times New Roman"/>
                <w:szCs w:val="21"/>
              </w:rPr>
            </w:pPr>
            <w:r>
              <w:rPr>
                <w:rFonts w:cs="Times New Roman"/>
                <w:szCs w:val="21"/>
              </w:rPr>
              <w:t xml:space="preserve">0.0150 </w:t>
            </w:r>
          </w:p>
        </w:tc>
        <w:tc>
          <w:tcPr>
            <w:tcW w:w="1486" w:type="dxa"/>
            <w:noWrap/>
            <w:vAlign w:val="center"/>
          </w:tcPr>
          <w:p w14:paraId="241B8A26">
            <w:pPr>
              <w:pStyle w:val="78"/>
              <w:rPr>
                <w:rFonts w:cs="Times New Roman"/>
                <w:szCs w:val="21"/>
              </w:rPr>
            </w:pPr>
            <w:r>
              <w:rPr>
                <w:rFonts w:cs="Times New Roman"/>
                <w:szCs w:val="21"/>
              </w:rPr>
              <w:t xml:space="preserve">0.0188 </w:t>
            </w:r>
          </w:p>
        </w:tc>
        <w:tc>
          <w:tcPr>
            <w:tcW w:w="1048" w:type="dxa"/>
            <w:noWrap/>
            <w:vAlign w:val="center"/>
          </w:tcPr>
          <w:p w14:paraId="4F8F9CEF">
            <w:pPr>
              <w:pStyle w:val="78"/>
              <w:rPr>
                <w:rFonts w:cs="Times New Roman"/>
                <w:szCs w:val="21"/>
              </w:rPr>
            </w:pPr>
            <w:r>
              <w:rPr>
                <w:rFonts w:cs="Times New Roman"/>
                <w:szCs w:val="21"/>
              </w:rPr>
              <w:t xml:space="preserve">0.1714 </w:t>
            </w:r>
          </w:p>
        </w:tc>
        <w:tc>
          <w:tcPr>
            <w:tcW w:w="1499" w:type="dxa"/>
            <w:noWrap/>
            <w:vAlign w:val="center"/>
          </w:tcPr>
          <w:p w14:paraId="53846174">
            <w:pPr>
              <w:pStyle w:val="78"/>
              <w:rPr>
                <w:rFonts w:cs="Times New Roman"/>
                <w:szCs w:val="21"/>
              </w:rPr>
            </w:pPr>
            <w:r>
              <w:rPr>
                <w:rFonts w:cs="Times New Roman"/>
                <w:szCs w:val="21"/>
              </w:rPr>
              <w:t xml:space="preserve">0.0600 </w:t>
            </w:r>
          </w:p>
        </w:tc>
        <w:tc>
          <w:tcPr>
            <w:tcW w:w="1332" w:type="dxa"/>
            <w:noWrap/>
            <w:vAlign w:val="center"/>
          </w:tcPr>
          <w:p w14:paraId="189B76CF">
            <w:pPr>
              <w:pStyle w:val="78"/>
              <w:rPr>
                <w:rFonts w:cs="Times New Roman"/>
                <w:szCs w:val="21"/>
              </w:rPr>
            </w:pPr>
            <w:r>
              <w:rPr>
                <w:rFonts w:cs="Times New Roman"/>
                <w:szCs w:val="21"/>
              </w:rPr>
              <w:t xml:space="preserve">0.0138 </w:t>
            </w:r>
          </w:p>
        </w:tc>
        <w:tc>
          <w:tcPr>
            <w:tcW w:w="1260" w:type="dxa"/>
            <w:noWrap/>
            <w:vAlign w:val="center"/>
          </w:tcPr>
          <w:p w14:paraId="1F29AA9C">
            <w:pPr>
              <w:pStyle w:val="78"/>
              <w:rPr>
                <w:rFonts w:cs="Times New Roman"/>
                <w:szCs w:val="21"/>
              </w:rPr>
            </w:pPr>
            <w:r>
              <w:rPr>
                <w:rFonts w:cs="Times New Roman"/>
                <w:szCs w:val="21"/>
              </w:rPr>
              <w:t xml:space="preserve">0.0063 </w:t>
            </w:r>
          </w:p>
        </w:tc>
      </w:tr>
      <w:tr w14:paraId="1540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62F69A9F">
            <w:pPr>
              <w:pStyle w:val="78"/>
              <w:rPr>
                <w:rFonts w:cs="Times New Roman"/>
                <w:szCs w:val="21"/>
              </w:rPr>
            </w:pPr>
            <w:r>
              <w:rPr>
                <w:rFonts w:cs="Times New Roman"/>
                <w:szCs w:val="21"/>
              </w:rPr>
              <w:t>镍</w:t>
            </w:r>
          </w:p>
        </w:tc>
        <w:tc>
          <w:tcPr>
            <w:tcW w:w="1337" w:type="dxa"/>
            <w:noWrap/>
            <w:vAlign w:val="center"/>
          </w:tcPr>
          <w:p w14:paraId="2996AAEB">
            <w:pPr>
              <w:pStyle w:val="78"/>
              <w:rPr>
                <w:rFonts w:cs="Times New Roman"/>
                <w:szCs w:val="21"/>
              </w:rPr>
            </w:pPr>
            <w:r>
              <w:rPr>
                <w:rFonts w:cs="Times New Roman"/>
                <w:szCs w:val="21"/>
              </w:rPr>
              <w:t>0.0056</w:t>
            </w:r>
          </w:p>
        </w:tc>
        <w:tc>
          <w:tcPr>
            <w:tcW w:w="1337" w:type="dxa"/>
            <w:noWrap/>
            <w:vAlign w:val="center"/>
          </w:tcPr>
          <w:p w14:paraId="1427B518">
            <w:pPr>
              <w:pStyle w:val="78"/>
              <w:rPr>
                <w:rFonts w:cs="Times New Roman"/>
                <w:szCs w:val="21"/>
              </w:rPr>
            </w:pPr>
            <w:r>
              <w:rPr>
                <w:rFonts w:cs="Times New Roman"/>
                <w:szCs w:val="21"/>
              </w:rPr>
              <w:t>0.0044</w:t>
            </w:r>
          </w:p>
        </w:tc>
        <w:tc>
          <w:tcPr>
            <w:tcW w:w="1337" w:type="dxa"/>
            <w:noWrap/>
            <w:vAlign w:val="center"/>
          </w:tcPr>
          <w:p w14:paraId="525B0447">
            <w:pPr>
              <w:pStyle w:val="78"/>
              <w:rPr>
                <w:rFonts w:cs="Times New Roman"/>
                <w:szCs w:val="21"/>
              </w:rPr>
            </w:pPr>
            <w:r>
              <w:rPr>
                <w:rFonts w:cs="Times New Roman"/>
                <w:szCs w:val="21"/>
              </w:rPr>
              <w:t>0.0067</w:t>
            </w:r>
          </w:p>
        </w:tc>
        <w:tc>
          <w:tcPr>
            <w:tcW w:w="1337" w:type="dxa"/>
            <w:noWrap/>
            <w:vAlign w:val="center"/>
          </w:tcPr>
          <w:p w14:paraId="08BFF83B">
            <w:pPr>
              <w:pStyle w:val="78"/>
              <w:rPr>
                <w:rFonts w:cs="Times New Roman"/>
                <w:szCs w:val="21"/>
              </w:rPr>
            </w:pPr>
            <w:r>
              <w:rPr>
                <w:rFonts w:cs="Times New Roman"/>
                <w:szCs w:val="21"/>
              </w:rPr>
              <w:t xml:space="preserve">0.0156 </w:t>
            </w:r>
          </w:p>
        </w:tc>
        <w:tc>
          <w:tcPr>
            <w:tcW w:w="1430" w:type="dxa"/>
            <w:noWrap/>
            <w:vAlign w:val="center"/>
          </w:tcPr>
          <w:p w14:paraId="47A29A25">
            <w:pPr>
              <w:pStyle w:val="78"/>
              <w:rPr>
                <w:rFonts w:cs="Times New Roman"/>
                <w:szCs w:val="21"/>
              </w:rPr>
            </w:pPr>
            <w:r>
              <w:rPr>
                <w:rFonts w:cs="Times New Roman"/>
                <w:szCs w:val="21"/>
              </w:rPr>
              <w:t xml:space="preserve">0.0044 </w:t>
            </w:r>
          </w:p>
        </w:tc>
        <w:tc>
          <w:tcPr>
            <w:tcW w:w="1337" w:type="dxa"/>
            <w:noWrap/>
            <w:vAlign w:val="center"/>
          </w:tcPr>
          <w:p w14:paraId="44004573">
            <w:pPr>
              <w:pStyle w:val="78"/>
              <w:rPr>
                <w:rFonts w:cs="Times New Roman"/>
                <w:szCs w:val="21"/>
              </w:rPr>
            </w:pPr>
            <w:r>
              <w:rPr>
                <w:rFonts w:cs="Times New Roman"/>
                <w:szCs w:val="21"/>
              </w:rPr>
              <w:t xml:space="preserve">0.0044 </w:t>
            </w:r>
          </w:p>
        </w:tc>
        <w:tc>
          <w:tcPr>
            <w:tcW w:w="1337" w:type="dxa"/>
            <w:noWrap/>
            <w:vAlign w:val="center"/>
          </w:tcPr>
          <w:p w14:paraId="5975159B">
            <w:pPr>
              <w:pStyle w:val="78"/>
              <w:rPr>
                <w:rFonts w:cs="Times New Roman"/>
                <w:szCs w:val="21"/>
              </w:rPr>
            </w:pPr>
            <w:r>
              <w:rPr>
                <w:rFonts w:cs="Times New Roman"/>
                <w:szCs w:val="21"/>
              </w:rPr>
              <w:t xml:space="preserve">0.0789 </w:t>
            </w:r>
          </w:p>
        </w:tc>
        <w:tc>
          <w:tcPr>
            <w:tcW w:w="1337" w:type="dxa"/>
            <w:noWrap/>
            <w:vAlign w:val="center"/>
          </w:tcPr>
          <w:p w14:paraId="7BCACA6D">
            <w:pPr>
              <w:pStyle w:val="78"/>
              <w:rPr>
                <w:rFonts w:cs="Times New Roman"/>
                <w:szCs w:val="21"/>
              </w:rPr>
            </w:pPr>
            <w:r>
              <w:rPr>
                <w:rFonts w:cs="Times New Roman"/>
                <w:szCs w:val="21"/>
              </w:rPr>
              <w:t xml:space="preserve">0.0017 </w:t>
            </w:r>
          </w:p>
        </w:tc>
        <w:tc>
          <w:tcPr>
            <w:tcW w:w="1593" w:type="dxa"/>
            <w:noWrap/>
            <w:vAlign w:val="center"/>
          </w:tcPr>
          <w:p w14:paraId="2DC49FC0">
            <w:pPr>
              <w:pStyle w:val="78"/>
              <w:rPr>
                <w:rFonts w:cs="Times New Roman"/>
                <w:szCs w:val="21"/>
              </w:rPr>
            </w:pPr>
            <w:r>
              <w:rPr>
                <w:rFonts w:cs="Times New Roman"/>
                <w:szCs w:val="21"/>
              </w:rPr>
              <w:t xml:space="preserve">0.0044 </w:t>
            </w:r>
          </w:p>
        </w:tc>
        <w:tc>
          <w:tcPr>
            <w:tcW w:w="1486" w:type="dxa"/>
            <w:noWrap/>
            <w:vAlign w:val="center"/>
          </w:tcPr>
          <w:p w14:paraId="6B314ECE">
            <w:pPr>
              <w:pStyle w:val="78"/>
              <w:rPr>
                <w:rFonts w:cs="Times New Roman"/>
                <w:szCs w:val="21"/>
              </w:rPr>
            </w:pPr>
            <w:r>
              <w:rPr>
                <w:rFonts w:cs="Times New Roman"/>
                <w:szCs w:val="21"/>
              </w:rPr>
              <w:t xml:space="preserve">0.0056 </w:t>
            </w:r>
          </w:p>
        </w:tc>
        <w:tc>
          <w:tcPr>
            <w:tcW w:w="1048" w:type="dxa"/>
            <w:noWrap/>
            <w:vAlign w:val="center"/>
          </w:tcPr>
          <w:p w14:paraId="5DA92EAB">
            <w:pPr>
              <w:pStyle w:val="78"/>
              <w:rPr>
                <w:rFonts w:cs="Times New Roman"/>
                <w:szCs w:val="21"/>
              </w:rPr>
            </w:pPr>
            <w:r>
              <w:rPr>
                <w:rFonts w:cs="Times New Roman"/>
                <w:szCs w:val="21"/>
              </w:rPr>
              <w:t xml:space="preserve">0.0250 </w:t>
            </w:r>
          </w:p>
        </w:tc>
        <w:tc>
          <w:tcPr>
            <w:tcW w:w="1499" w:type="dxa"/>
            <w:noWrap/>
            <w:vAlign w:val="center"/>
          </w:tcPr>
          <w:p w14:paraId="3E703D73">
            <w:pPr>
              <w:pStyle w:val="78"/>
              <w:rPr>
                <w:rFonts w:cs="Times New Roman"/>
                <w:szCs w:val="21"/>
              </w:rPr>
            </w:pPr>
            <w:r>
              <w:rPr>
                <w:rFonts w:cs="Times New Roman"/>
                <w:szCs w:val="21"/>
              </w:rPr>
              <w:t xml:space="preserve">0.0111 </w:t>
            </w:r>
          </w:p>
        </w:tc>
        <w:tc>
          <w:tcPr>
            <w:tcW w:w="1332" w:type="dxa"/>
            <w:noWrap/>
            <w:vAlign w:val="center"/>
          </w:tcPr>
          <w:p w14:paraId="72F22AC2">
            <w:pPr>
              <w:pStyle w:val="78"/>
              <w:rPr>
                <w:rFonts w:cs="Times New Roman"/>
                <w:szCs w:val="21"/>
              </w:rPr>
            </w:pPr>
            <w:r>
              <w:rPr>
                <w:rFonts w:cs="Times New Roman"/>
                <w:szCs w:val="21"/>
              </w:rPr>
              <w:t xml:space="preserve">0.0044 </w:t>
            </w:r>
          </w:p>
        </w:tc>
        <w:tc>
          <w:tcPr>
            <w:tcW w:w="1260" w:type="dxa"/>
            <w:noWrap/>
            <w:vAlign w:val="center"/>
          </w:tcPr>
          <w:p w14:paraId="4F5F4757">
            <w:pPr>
              <w:pStyle w:val="78"/>
              <w:rPr>
                <w:rFonts w:cs="Times New Roman"/>
                <w:szCs w:val="21"/>
              </w:rPr>
            </w:pPr>
            <w:r>
              <w:rPr>
                <w:rFonts w:cs="Times New Roman"/>
                <w:szCs w:val="21"/>
              </w:rPr>
              <w:t xml:space="preserve">0.0044 </w:t>
            </w:r>
          </w:p>
        </w:tc>
      </w:tr>
      <w:tr w14:paraId="772A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7011BED2">
            <w:pPr>
              <w:pStyle w:val="78"/>
              <w:rPr>
                <w:rFonts w:cs="Times New Roman"/>
                <w:szCs w:val="21"/>
              </w:rPr>
            </w:pPr>
            <w:r>
              <w:rPr>
                <w:rFonts w:cs="Times New Roman"/>
                <w:szCs w:val="21"/>
              </w:rPr>
              <w:t>锌</w:t>
            </w:r>
          </w:p>
        </w:tc>
        <w:tc>
          <w:tcPr>
            <w:tcW w:w="1337" w:type="dxa"/>
            <w:noWrap/>
            <w:vAlign w:val="center"/>
          </w:tcPr>
          <w:p w14:paraId="73D278CB">
            <w:pPr>
              <w:pStyle w:val="78"/>
              <w:rPr>
                <w:rFonts w:cs="Times New Roman"/>
                <w:szCs w:val="21"/>
              </w:rPr>
            </w:pPr>
            <w:r>
              <w:rPr>
                <w:rFonts w:cs="Times New Roman"/>
                <w:szCs w:val="21"/>
              </w:rPr>
              <w:t>0.0018</w:t>
            </w:r>
          </w:p>
        </w:tc>
        <w:tc>
          <w:tcPr>
            <w:tcW w:w="1337" w:type="dxa"/>
            <w:noWrap/>
            <w:vAlign w:val="center"/>
          </w:tcPr>
          <w:p w14:paraId="6C710359">
            <w:pPr>
              <w:pStyle w:val="78"/>
              <w:rPr>
                <w:rFonts w:cs="Times New Roman"/>
                <w:szCs w:val="21"/>
              </w:rPr>
            </w:pPr>
            <w:r>
              <w:rPr>
                <w:rFonts w:cs="Times New Roman"/>
                <w:szCs w:val="21"/>
              </w:rPr>
              <w:t>0.0014</w:t>
            </w:r>
          </w:p>
        </w:tc>
        <w:tc>
          <w:tcPr>
            <w:tcW w:w="1337" w:type="dxa"/>
            <w:noWrap/>
            <w:vAlign w:val="center"/>
          </w:tcPr>
          <w:p w14:paraId="469A540F">
            <w:pPr>
              <w:pStyle w:val="78"/>
              <w:rPr>
                <w:rFonts w:cs="Times New Roman"/>
                <w:szCs w:val="21"/>
              </w:rPr>
            </w:pPr>
            <w:r>
              <w:rPr>
                <w:rFonts w:cs="Times New Roman"/>
                <w:szCs w:val="21"/>
              </w:rPr>
              <w:t>0.0020</w:t>
            </w:r>
          </w:p>
        </w:tc>
        <w:tc>
          <w:tcPr>
            <w:tcW w:w="1337" w:type="dxa"/>
            <w:noWrap/>
            <w:vAlign w:val="center"/>
          </w:tcPr>
          <w:p w14:paraId="29979E7D">
            <w:pPr>
              <w:pStyle w:val="78"/>
              <w:rPr>
                <w:rFonts w:cs="Times New Roman"/>
                <w:szCs w:val="21"/>
              </w:rPr>
            </w:pPr>
            <w:r>
              <w:rPr>
                <w:rFonts w:cs="Times New Roman"/>
                <w:szCs w:val="21"/>
              </w:rPr>
              <w:t xml:space="preserve">0.0030 </w:t>
            </w:r>
          </w:p>
        </w:tc>
        <w:tc>
          <w:tcPr>
            <w:tcW w:w="1430" w:type="dxa"/>
            <w:noWrap/>
            <w:vAlign w:val="center"/>
          </w:tcPr>
          <w:p w14:paraId="38A7EF7C">
            <w:pPr>
              <w:pStyle w:val="78"/>
              <w:rPr>
                <w:rFonts w:cs="Times New Roman"/>
                <w:szCs w:val="21"/>
              </w:rPr>
            </w:pPr>
            <w:r>
              <w:rPr>
                <w:rFonts w:cs="Times New Roman"/>
                <w:szCs w:val="21"/>
              </w:rPr>
              <w:t xml:space="preserve">0.0015 </w:t>
            </w:r>
          </w:p>
        </w:tc>
        <w:tc>
          <w:tcPr>
            <w:tcW w:w="1337" w:type="dxa"/>
            <w:noWrap/>
            <w:vAlign w:val="center"/>
          </w:tcPr>
          <w:p w14:paraId="1D9B4C3A">
            <w:pPr>
              <w:pStyle w:val="78"/>
              <w:rPr>
                <w:rFonts w:cs="Times New Roman"/>
                <w:szCs w:val="21"/>
              </w:rPr>
            </w:pPr>
            <w:r>
              <w:rPr>
                <w:rFonts w:cs="Times New Roman"/>
                <w:szCs w:val="21"/>
              </w:rPr>
              <w:t xml:space="preserve">0.0017 </w:t>
            </w:r>
          </w:p>
        </w:tc>
        <w:tc>
          <w:tcPr>
            <w:tcW w:w="1337" w:type="dxa"/>
            <w:noWrap/>
            <w:vAlign w:val="center"/>
          </w:tcPr>
          <w:p w14:paraId="69C8214A">
            <w:pPr>
              <w:pStyle w:val="78"/>
              <w:rPr>
                <w:rFonts w:cs="Times New Roman"/>
                <w:szCs w:val="21"/>
              </w:rPr>
            </w:pPr>
            <w:r>
              <w:rPr>
                <w:rFonts w:cs="Times New Roman"/>
                <w:szCs w:val="21"/>
              </w:rPr>
              <w:t xml:space="preserve">0.4474 </w:t>
            </w:r>
          </w:p>
        </w:tc>
        <w:tc>
          <w:tcPr>
            <w:tcW w:w="1337" w:type="dxa"/>
            <w:noWrap/>
            <w:vAlign w:val="center"/>
          </w:tcPr>
          <w:p w14:paraId="3DB1F404">
            <w:pPr>
              <w:pStyle w:val="78"/>
              <w:rPr>
                <w:rFonts w:cs="Times New Roman"/>
                <w:szCs w:val="21"/>
              </w:rPr>
            </w:pPr>
            <w:r>
              <w:rPr>
                <w:rFonts w:cs="Times New Roman"/>
                <w:szCs w:val="21"/>
              </w:rPr>
              <w:t xml:space="preserve">0.0021 </w:t>
            </w:r>
          </w:p>
        </w:tc>
        <w:tc>
          <w:tcPr>
            <w:tcW w:w="1593" w:type="dxa"/>
            <w:noWrap/>
            <w:vAlign w:val="center"/>
          </w:tcPr>
          <w:p w14:paraId="6EEB1903">
            <w:pPr>
              <w:pStyle w:val="78"/>
              <w:rPr>
                <w:rFonts w:cs="Times New Roman"/>
                <w:szCs w:val="21"/>
              </w:rPr>
            </w:pPr>
            <w:r>
              <w:rPr>
                <w:rFonts w:cs="Times New Roman"/>
                <w:szCs w:val="21"/>
              </w:rPr>
              <w:t xml:space="preserve">0.0018 </w:t>
            </w:r>
          </w:p>
        </w:tc>
        <w:tc>
          <w:tcPr>
            <w:tcW w:w="1486" w:type="dxa"/>
            <w:noWrap/>
            <w:vAlign w:val="center"/>
          </w:tcPr>
          <w:p w14:paraId="4C2B86F1">
            <w:pPr>
              <w:pStyle w:val="78"/>
              <w:rPr>
                <w:rFonts w:cs="Times New Roman"/>
                <w:szCs w:val="21"/>
              </w:rPr>
            </w:pPr>
            <w:r>
              <w:rPr>
                <w:rFonts w:cs="Times New Roman"/>
                <w:szCs w:val="21"/>
              </w:rPr>
              <w:t xml:space="preserve">0.0023 </w:t>
            </w:r>
          </w:p>
        </w:tc>
        <w:tc>
          <w:tcPr>
            <w:tcW w:w="1048" w:type="dxa"/>
            <w:noWrap/>
            <w:vAlign w:val="center"/>
          </w:tcPr>
          <w:p w14:paraId="3CE4B952">
            <w:pPr>
              <w:pStyle w:val="78"/>
              <w:rPr>
                <w:rFonts w:cs="Times New Roman"/>
                <w:szCs w:val="21"/>
              </w:rPr>
            </w:pPr>
            <w:r>
              <w:rPr>
                <w:rFonts w:cs="Times New Roman"/>
                <w:szCs w:val="21"/>
              </w:rPr>
              <w:t xml:space="preserve">0.0600 </w:t>
            </w:r>
          </w:p>
        </w:tc>
        <w:tc>
          <w:tcPr>
            <w:tcW w:w="1499" w:type="dxa"/>
            <w:noWrap/>
            <w:vAlign w:val="center"/>
          </w:tcPr>
          <w:p w14:paraId="2DA65C9A">
            <w:pPr>
              <w:pStyle w:val="78"/>
              <w:rPr>
                <w:rFonts w:cs="Times New Roman"/>
                <w:szCs w:val="21"/>
              </w:rPr>
            </w:pPr>
            <w:r>
              <w:rPr>
                <w:rFonts w:cs="Times New Roman"/>
                <w:szCs w:val="21"/>
              </w:rPr>
              <w:t xml:space="preserve">0.0042 </w:t>
            </w:r>
          </w:p>
        </w:tc>
        <w:tc>
          <w:tcPr>
            <w:tcW w:w="1332" w:type="dxa"/>
            <w:noWrap/>
            <w:vAlign w:val="center"/>
          </w:tcPr>
          <w:p w14:paraId="623B434E">
            <w:pPr>
              <w:pStyle w:val="78"/>
              <w:rPr>
                <w:rFonts w:cs="Times New Roman"/>
                <w:szCs w:val="21"/>
              </w:rPr>
            </w:pPr>
            <w:r>
              <w:rPr>
                <w:rFonts w:cs="Times New Roman"/>
                <w:szCs w:val="21"/>
              </w:rPr>
              <w:t xml:space="preserve">0.0019 </w:t>
            </w:r>
          </w:p>
        </w:tc>
        <w:tc>
          <w:tcPr>
            <w:tcW w:w="1260" w:type="dxa"/>
            <w:noWrap/>
            <w:vAlign w:val="center"/>
          </w:tcPr>
          <w:p w14:paraId="1691EC7E">
            <w:pPr>
              <w:pStyle w:val="78"/>
              <w:rPr>
                <w:rFonts w:cs="Times New Roman"/>
                <w:szCs w:val="21"/>
              </w:rPr>
            </w:pPr>
            <w:r>
              <w:rPr>
                <w:rFonts w:cs="Times New Roman"/>
                <w:szCs w:val="21"/>
              </w:rPr>
              <w:t xml:space="preserve">0.0013 </w:t>
            </w:r>
          </w:p>
        </w:tc>
      </w:tr>
      <w:tr w14:paraId="32F7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2EB807B3">
            <w:pPr>
              <w:pStyle w:val="78"/>
              <w:rPr>
                <w:rFonts w:cs="Times New Roman"/>
                <w:szCs w:val="21"/>
              </w:rPr>
            </w:pPr>
            <w:r>
              <w:rPr>
                <w:rFonts w:cs="Times New Roman"/>
                <w:szCs w:val="21"/>
              </w:rPr>
              <w:t>镉</w:t>
            </w:r>
          </w:p>
        </w:tc>
        <w:tc>
          <w:tcPr>
            <w:tcW w:w="1337" w:type="dxa"/>
            <w:noWrap/>
            <w:vAlign w:val="center"/>
          </w:tcPr>
          <w:p w14:paraId="650C1818">
            <w:pPr>
              <w:pStyle w:val="78"/>
              <w:rPr>
                <w:rFonts w:cs="Times New Roman"/>
                <w:szCs w:val="21"/>
              </w:rPr>
            </w:pPr>
            <w:r>
              <w:rPr>
                <w:rFonts w:cs="Times New Roman"/>
                <w:szCs w:val="21"/>
              </w:rPr>
              <w:t>0.0001</w:t>
            </w:r>
          </w:p>
        </w:tc>
        <w:tc>
          <w:tcPr>
            <w:tcW w:w="1337" w:type="dxa"/>
            <w:noWrap/>
            <w:vAlign w:val="center"/>
          </w:tcPr>
          <w:p w14:paraId="1C054828">
            <w:pPr>
              <w:pStyle w:val="78"/>
              <w:rPr>
                <w:rFonts w:cs="Times New Roman"/>
                <w:szCs w:val="21"/>
              </w:rPr>
            </w:pPr>
            <w:r>
              <w:rPr>
                <w:rFonts w:cs="Times New Roman"/>
                <w:szCs w:val="21"/>
              </w:rPr>
              <w:t>0.0001</w:t>
            </w:r>
          </w:p>
        </w:tc>
        <w:tc>
          <w:tcPr>
            <w:tcW w:w="1337" w:type="dxa"/>
            <w:noWrap/>
            <w:vAlign w:val="center"/>
          </w:tcPr>
          <w:p w14:paraId="11ADEE8A">
            <w:pPr>
              <w:pStyle w:val="78"/>
              <w:rPr>
                <w:rFonts w:cs="Times New Roman"/>
                <w:szCs w:val="21"/>
              </w:rPr>
            </w:pPr>
            <w:r>
              <w:rPr>
                <w:rFonts w:cs="Times New Roman"/>
                <w:szCs w:val="21"/>
              </w:rPr>
              <w:t>0.0001</w:t>
            </w:r>
          </w:p>
        </w:tc>
        <w:tc>
          <w:tcPr>
            <w:tcW w:w="1337" w:type="dxa"/>
            <w:noWrap/>
            <w:vAlign w:val="center"/>
          </w:tcPr>
          <w:p w14:paraId="58A4ECF6">
            <w:pPr>
              <w:pStyle w:val="78"/>
              <w:rPr>
                <w:rFonts w:cs="Times New Roman"/>
                <w:szCs w:val="21"/>
              </w:rPr>
            </w:pPr>
            <w:r>
              <w:rPr>
                <w:rFonts w:cs="Times New Roman"/>
                <w:szCs w:val="21"/>
              </w:rPr>
              <w:t xml:space="preserve">0.0001 </w:t>
            </w:r>
          </w:p>
        </w:tc>
        <w:tc>
          <w:tcPr>
            <w:tcW w:w="1430" w:type="dxa"/>
            <w:noWrap/>
            <w:vAlign w:val="center"/>
          </w:tcPr>
          <w:p w14:paraId="4A23887C">
            <w:pPr>
              <w:pStyle w:val="78"/>
              <w:rPr>
                <w:rFonts w:cs="Times New Roman"/>
                <w:szCs w:val="21"/>
              </w:rPr>
            </w:pPr>
            <w:r>
              <w:rPr>
                <w:rFonts w:cs="Times New Roman"/>
                <w:szCs w:val="21"/>
              </w:rPr>
              <w:t xml:space="preserve">0.0002 </w:t>
            </w:r>
          </w:p>
        </w:tc>
        <w:tc>
          <w:tcPr>
            <w:tcW w:w="1337" w:type="dxa"/>
            <w:noWrap/>
            <w:vAlign w:val="center"/>
          </w:tcPr>
          <w:p w14:paraId="5037E532">
            <w:pPr>
              <w:pStyle w:val="78"/>
              <w:rPr>
                <w:rFonts w:cs="Times New Roman"/>
                <w:szCs w:val="21"/>
              </w:rPr>
            </w:pPr>
            <w:r>
              <w:rPr>
                <w:rFonts w:cs="Times New Roman"/>
                <w:szCs w:val="21"/>
              </w:rPr>
              <w:t xml:space="preserve">0.0003 </w:t>
            </w:r>
          </w:p>
        </w:tc>
        <w:tc>
          <w:tcPr>
            <w:tcW w:w="1337" w:type="dxa"/>
            <w:noWrap/>
            <w:vAlign w:val="center"/>
          </w:tcPr>
          <w:p w14:paraId="0B609B70">
            <w:pPr>
              <w:pStyle w:val="78"/>
              <w:rPr>
                <w:rFonts w:cs="Times New Roman"/>
                <w:szCs w:val="21"/>
              </w:rPr>
            </w:pPr>
            <w:r>
              <w:rPr>
                <w:rFonts w:cs="Times New Roman"/>
                <w:szCs w:val="21"/>
              </w:rPr>
              <w:t xml:space="preserve">0.0001 </w:t>
            </w:r>
          </w:p>
        </w:tc>
        <w:tc>
          <w:tcPr>
            <w:tcW w:w="1337" w:type="dxa"/>
            <w:noWrap/>
            <w:vAlign w:val="center"/>
          </w:tcPr>
          <w:p w14:paraId="1437DD39">
            <w:pPr>
              <w:pStyle w:val="78"/>
              <w:rPr>
                <w:rFonts w:cs="Times New Roman"/>
                <w:szCs w:val="21"/>
              </w:rPr>
            </w:pPr>
            <w:r>
              <w:rPr>
                <w:rFonts w:cs="Times New Roman"/>
                <w:szCs w:val="21"/>
              </w:rPr>
              <w:t xml:space="preserve">0.0001 </w:t>
            </w:r>
          </w:p>
        </w:tc>
        <w:tc>
          <w:tcPr>
            <w:tcW w:w="1593" w:type="dxa"/>
            <w:noWrap/>
            <w:vAlign w:val="center"/>
          </w:tcPr>
          <w:p w14:paraId="3E2E9CC3">
            <w:pPr>
              <w:pStyle w:val="78"/>
              <w:rPr>
                <w:rFonts w:cs="Times New Roman"/>
                <w:szCs w:val="21"/>
              </w:rPr>
            </w:pPr>
            <w:r>
              <w:rPr>
                <w:rFonts w:cs="Times New Roman"/>
                <w:szCs w:val="21"/>
              </w:rPr>
              <w:t xml:space="preserve">0.0003 </w:t>
            </w:r>
          </w:p>
        </w:tc>
        <w:tc>
          <w:tcPr>
            <w:tcW w:w="1486" w:type="dxa"/>
            <w:noWrap/>
            <w:vAlign w:val="center"/>
          </w:tcPr>
          <w:p w14:paraId="1D40C281">
            <w:pPr>
              <w:pStyle w:val="78"/>
              <w:rPr>
                <w:rFonts w:cs="Times New Roman"/>
                <w:szCs w:val="21"/>
              </w:rPr>
            </w:pPr>
            <w:r>
              <w:rPr>
                <w:rFonts w:cs="Times New Roman"/>
                <w:szCs w:val="21"/>
              </w:rPr>
              <w:t xml:space="preserve">0.0001 </w:t>
            </w:r>
          </w:p>
        </w:tc>
        <w:tc>
          <w:tcPr>
            <w:tcW w:w="1048" w:type="dxa"/>
            <w:noWrap/>
            <w:vAlign w:val="center"/>
          </w:tcPr>
          <w:p w14:paraId="58728449">
            <w:pPr>
              <w:pStyle w:val="78"/>
              <w:rPr>
                <w:rFonts w:cs="Times New Roman"/>
                <w:szCs w:val="21"/>
              </w:rPr>
            </w:pPr>
            <w:r>
              <w:rPr>
                <w:rFonts w:cs="Times New Roman"/>
                <w:szCs w:val="21"/>
              </w:rPr>
              <w:t xml:space="preserve">0.0167 </w:t>
            </w:r>
          </w:p>
        </w:tc>
        <w:tc>
          <w:tcPr>
            <w:tcW w:w="1499" w:type="dxa"/>
            <w:noWrap/>
            <w:vAlign w:val="center"/>
          </w:tcPr>
          <w:p w14:paraId="3C49D1EA">
            <w:pPr>
              <w:pStyle w:val="78"/>
              <w:rPr>
                <w:rFonts w:cs="Times New Roman"/>
                <w:szCs w:val="21"/>
              </w:rPr>
            </w:pPr>
            <w:r>
              <w:rPr>
                <w:rFonts w:cs="Times New Roman"/>
                <w:szCs w:val="21"/>
              </w:rPr>
              <w:t xml:space="preserve">0.0002 </w:t>
            </w:r>
          </w:p>
        </w:tc>
        <w:tc>
          <w:tcPr>
            <w:tcW w:w="1332" w:type="dxa"/>
            <w:noWrap/>
            <w:vAlign w:val="center"/>
          </w:tcPr>
          <w:p w14:paraId="7706DF56">
            <w:pPr>
              <w:pStyle w:val="78"/>
              <w:rPr>
                <w:rFonts w:cs="Times New Roman"/>
                <w:szCs w:val="21"/>
              </w:rPr>
            </w:pPr>
            <w:r>
              <w:rPr>
                <w:rFonts w:cs="Times New Roman"/>
                <w:szCs w:val="21"/>
              </w:rPr>
              <w:t xml:space="preserve">0.0003 </w:t>
            </w:r>
          </w:p>
        </w:tc>
        <w:tc>
          <w:tcPr>
            <w:tcW w:w="1260" w:type="dxa"/>
            <w:noWrap/>
            <w:vAlign w:val="center"/>
          </w:tcPr>
          <w:p w14:paraId="5DB2E492">
            <w:pPr>
              <w:pStyle w:val="78"/>
              <w:rPr>
                <w:rFonts w:cs="Times New Roman"/>
                <w:szCs w:val="21"/>
              </w:rPr>
            </w:pPr>
            <w:r>
              <w:rPr>
                <w:rFonts w:cs="Times New Roman"/>
                <w:szCs w:val="21"/>
              </w:rPr>
              <w:t xml:space="preserve">0.0002 </w:t>
            </w:r>
          </w:p>
        </w:tc>
      </w:tr>
      <w:tr w14:paraId="6AD2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5FA10EDB">
            <w:pPr>
              <w:pStyle w:val="78"/>
              <w:rPr>
                <w:rFonts w:cs="Times New Roman"/>
                <w:szCs w:val="21"/>
              </w:rPr>
            </w:pPr>
            <w:r>
              <w:rPr>
                <w:rFonts w:cs="Times New Roman"/>
                <w:szCs w:val="21"/>
              </w:rPr>
              <w:t>铬</w:t>
            </w:r>
          </w:p>
        </w:tc>
        <w:tc>
          <w:tcPr>
            <w:tcW w:w="1337" w:type="dxa"/>
            <w:noWrap/>
            <w:vAlign w:val="center"/>
          </w:tcPr>
          <w:p w14:paraId="40C3CA8A">
            <w:pPr>
              <w:pStyle w:val="78"/>
              <w:rPr>
                <w:rFonts w:cs="Times New Roman"/>
                <w:szCs w:val="21"/>
              </w:rPr>
            </w:pPr>
            <w:r>
              <w:rPr>
                <w:rFonts w:cs="Times New Roman"/>
                <w:szCs w:val="21"/>
              </w:rPr>
              <w:t>——</w:t>
            </w:r>
          </w:p>
        </w:tc>
        <w:tc>
          <w:tcPr>
            <w:tcW w:w="1337" w:type="dxa"/>
            <w:noWrap/>
          </w:tcPr>
          <w:p w14:paraId="323DE7F3">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0BF82AA0">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4A87EB54">
            <w:pPr>
              <w:jc w:val="center"/>
              <w:rPr>
                <w:rFonts w:ascii="Times New Roman" w:hAnsi="Times New Roman" w:cs="Times New Roman"/>
                <w:sz w:val="21"/>
                <w:szCs w:val="21"/>
              </w:rPr>
            </w:pPr>
            <w:r>
              <w:rPr>
                <w:rFonts w:ascii="Times New Roman" w:hAnsi="Times New Roman" w:cs="Times New Roman"/>
                <w:sz w:val="21"/>
                <w:szCs w:val="21"/>
              </w:rPr>
              <w:t>——</w:t>
            </w:r>
          </w:p>
        </w:tc>
        <w:tc>
          <w:tcPr>
            <w:tcW w:w="1430" w:type="dxa"/>
            <w:noWrap/>
          </w:tcPr>
          <w:p w14:paraId="5B5BDFFD">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6EACCB04">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75F55E0C">
            <w:pPr>
              <w:jc w:val="center"/>
              <w:rPr>
                <w:rFonts w:ascii="Times New Roman" w:hAnsi="Times New Roman" w:cs="Times New Roman"/>
                <w:sz w:val="21"/>
                <w:szCs w:val="21"/>
              </w:rPr>
            </w:pPr>
            <w:r>
              <w:rPr>
                <w:rFonts w:ascii="Times New Roman" w:hAnsi="Times New Roman" w:cs="Times New Roman"/>
                <w:sz w:val="21"/>
                <w:szCs w:val="21"/>
              </w:rPr>
              <w:t>——</w:t>
            </w:r>
          </w:p>
        </w:tc>
        <w:tc>
          <w:tcPr>
            <w:tcW w:w="1337" w:type="dxa"/>
            <w:noWrap/>
          </w:tcPr>
          <w:p w14:paraId="6125ED77">
            <w:pPr>
              <w:jc w:val="center"/>
              <w:rPr>
                <w:rFonts w:ascii="Times New Roman" w:hAnsi="Times New Roman" w:cs="Times New Roman"/>
                <w:sz w:val="21"/>
                <w:szCs w:val="21"/>
              </w:rPr>
            </w:pPr>
            <w:r>
              <w:rPr>
                <w:rFonts w:ascii="Times New Roman" w:hAnsi="Times New Roman" w:cs="Times New Roman"/>
                <w:sz w:val="21"/>
                <w:szCs w:val="21"/>
              </w:rPr>
              <w:t>——</w:t>
            </w:r>
          </w:p>
        </w:tc>
        <w:tc>
          <w:tcPr>
            <w:tcW w:w="1593" w:type="dxa"/>
            <w:noWrap/>
          </w:tcPr>
          <w:p w14:paraId="0713D8DB">
            <w:pPr>
              <w:jc w:val="center"/>
              <w:rPr>
                <w:rFonts w:ascii="Times New Roman" w:hAnsi="Times New Roman" w:cs="Times New Roman"/>
                <w:sz w:val="21"/>
                <w:szCs w:val="21"/>
              </w:rPr>
            </w:pPr>
            <w:r>
              <w:rPr>
                <w:rFonts w:ascii="Times New Roman" w:hAnsi="Times New Roman" w:cs="Times New Roman"/>
                <w:sz w:val="21"/>
                <w:szCs w:val="21"/>
              </w:rPr>
              <w:t>——</w:t>
            </w:r>
          </w:p>
        </w:tc>
        <w:tc>
          <w:tcPr>
            <w:tcW w:w="1486" w:type="dxa"/>
            <w:noWrap/>
          </w:tcPr>
          <w:p w14:paraId="1F730F3F">
            <w:pPr>
              <w:jc w:val="center"/>
              <w:rPr>
                <w:rFonts w:ascii="Times New Roman" w:hAnsi="Times New Roman" w:cs="Times New Roman"/>
                <w:sz w:val="21"/>
                <w:szCs w:val="21"/>
              </w:rPr>
            </w:pPr>
            <w:r>
              <w:rPr>
                <w:rFonts w:ascii="Times New Roman" w:hAnsi="Times New Roman" w:cs="Times New Roman"/>
                <w:sz w:val="21"/>
                <w:szCs w:val="21"/>
              </w:rPr>
              <w:t>——</w:t>
            </w:r>
          </w:p>
        </w:tc>
        <w:tc>
          <w:tcPr>
            <w:tcW w:w="1048" w:type="dxa"/>
            <w:noWrap/>
            <w:vAlign w:val="center"/>
          </w:tcPr>
          <w:p w14:paraId="1C1C9485">
            <w:pPr>
              <w:pStyle w:val="78"/>
              <w:rPr>
                <w:rFonts w:cs="Times New Roman"/>
                <w:szCs w:val="21"/>
              </w:rPr>
            </w:pPr>
            <w:r>
              <w:rPr>
                <w:rFonts w:cs="Times New Roman"/>
                <w:szCs w:val="21"/>
              </w:rPr>
              <w:t xml:space="preserve">0.0533 </w:t>
            </w:r>
          </w:p>
        </w:tc>
        <w:tc>
          <w:tcPr>
            <w:tcW w:w="1499" w:type="dxa"/>
            <w:noWrap/>
          </w:tcPr>
          <w:p w14:paraId="0F7A6160">
            <w:pPr>
              <w:jc w:val="center"/>
              <w:rPr>
                <w:rFonts w:ascii="Times New Roman" w:hAnsi="Times New Roman" w:cs="Times New Roman"/>
                <w:sz w:val="21"/>
                <w:szCs w:val="21"/>
              </w:rPr>
            </w:pPr>
            <w:r>
              <w:rPr>
                <w:rFonts w:ascii="Times New Roman" w:hAnsi="Times New Roman" w:cs="Times New Roman"/>
                <w:sz w:val="21"/>
                <w:szCs w:val="21"/>
              </w:rPr>
              <w:t>——</w:t>
            </w:r>
          </w:p>
        </w:tc>
        <w:tc>
          <w:tcPr>
            <w:tcW w:w="1332" w:type="dxa"/>
            <w:noWrap/>
          </w:tcPr>
          <w:p w14:paraId="64F6560C">
            <w:pPr>
              <w:jc w:val="center"/>
              <w:rPr>
                <w:rFonts w:ascii="Times New Roman" w:hAnsi="Times New Roman" w:cs="Times New Roman"/>
                <w:sz w:val="21"/>
                <w:szCs w:val="21"/>
              </w:rPr>
            </w:pPr>
            <w:r>
              <w:rPr>
                <w:rFonts w:ascii="Times New Roman" w:hAnsi="Times New Roman" w:cs="Times New Roman"/>
                <w:sz w:val="21"/>
                <w:szCs w:val="21"/>
              </w:rPr>
              <w:t>——</w:t>
            </w:r>
          </w:p>
        </w:tc>
        <w:tc>
          <w:tcPr>
            <w:tcW w:w="1260" w:type="dxa"/>
            <w:noWrap/>
          </w:tcPr>
          <w:p w14:paraId="594FF0B6">
            <w:pPr>
              <w:jc w:val="center"/>
              <w:rPr>
                <w:rFonts w:ascii="Times New Roman" w:hAnsi="Times New Roman" w:cs="Times New Roman"/>
                <w:sz w:val="21"/>
                <w:szCs w:val="21"/>
              </w:rPr>
            </w:pPr>
            <w:r>
              <w:rPr>
                <w:rFonts w:ascii="Times New Roman" w:hAnsi="Times New Roman" w:cs="Times New Roman"/>
                <w:sz w:val="21"/>
                <w:szCs w:val="21"/>
              </w:rPr>
              <w:t>——</w:t>
            </w:r>
          </w:p>
        </w:tc>
      </w:tr>
      <w:tr w14:paraId="7643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220473A9">
            <w:pPr>
              <w:pStyle w:val="78"/>
              <w:rPr>
                <w:rFonts w:cs="Times New Roman"/>
                <w:szCs w:val="21"/>
              </w:rPr>
            </w:pPr>
            <w:r>
              <w:rPr>
                <w:rFonts w:cs="Times New Roman"/>
                <w:szCs w:val="21"/>
              </w:rPr>
              <w:t>钒</w:t>
            </w:r>
          </w:p>
        </w:tc>
        <w:tc>
          <w:tcPr>
            <w:tcW w:w="1337" w:type="dxa"/>
            <w:noWrap/>
            <w:vAlign w:val="center"/>
          </w:tcPr>
          <w:p w14:paraId="1FD5DA76">
            <w:pPr>
              <w:pStyle w:val="78"/>
              <w:rPr>
                <w:rFonts w:cs="Times New Roman"/>
                <w:szCs w:val="21"/>
              </w:rPr>
            </w:pPr>
            <w:r>
              <w:rPr>
                <w:rFonts w:cs="Times New Roman"/>
                <w:szCs w:val="21"/>
              </w:rPr>
              <w:t>0.0234</w:t>
            </w:r>
          </w:p>
        </w:tc>
        <w:tc>
          <w:tcPr>
            <w:tcW w:w="1337" w:type="dxa"/>
            <w:noWrap/>
            <w:vAlign w:val="center"/>
          </w:tcPr>
          <w:p w14:paraId="6A2A9FF4">
            <w:pPr>
              <w:pStyle w:val="78"/>
              <w:rPr>
                <w:rFonts w:cs="Times New Roman"/>
                <w:szCs w:val="21"/>
              </w:rPr>
            </w:pPr>
            <w:r>
              <w:rPr>
                <w:rFonts w:cs="Times New Roman"/>
                <w:szCs w:val="21"/>
              </w:rPr>
              <w:t>0.0189</w:t>
            </w:r>
          </w:p>
        </w:tc>
        <w:tc>
          <w:tcPr>
            <w:tcW w:w="1337" w:type="dxa"/>
            <w:noWrap/>
            <w:vAlign w:val="center"/>
          </w:tcPr>
          <w:p w14:paraId="00475199">
            <w:pPr>
              <w:pStyle w:val="78"/>
              <w:rPr>
                <w:rFonts w:cs="Times New Roman"/>
                <w:szCs w:val="21"/>
              </w:rPr>
            </w:pPr>
            <w:r>
              <w:rPr>
                <w:rFonts w:cs="Times New Roman"/>
                <w:szCs w:val="21"/>
              </w:rPr>
              <w:t>0.0266</w:t>
            </w:r>
          </w:p>
        </w:tc>
        <w:tc>
          <w:tcPr>
            <w:tcW w:w="1337" w:type="dxa"/>
            <w:noWrap/>
            <w:vAlign w:val="center"/>
          </w:tcPr>
          <w:p w14:paraId="4B121B05">
            <w:pPr>
              <w:pStyle w:val="78"/>
              <w:rPr>
                <w:rFonts w:cs="Times New Roman"/>
                <w:szCs w:val="21"/>
              </w:rPr>
            </w:pPr>
            <w:r>
              <w:rPr>
                <w:rFonts w:cs="Times New Roman"/>
                <w:szCs w:val="21"/>
              </w:rPr>
              <w:t xml:space="preserve">0.0557 </w:t>
            </w:r>
          </w:p>
        </w:tc>
        <w:tc>
          <w:tcPr>
            <w:tcW w:w="1430" w:type="dxa"/>
            <w:noWrap/>
            <w:vAlign w:val="center"/>
          </w:tcPr>
          <w:p w14:paraId="10A370C1">
            <w:pPr>
              <w:pStyle w:val="78"/>
              <w:rPr>
                <w:rFonts w:cs="Times New Roman"/>
                <w:szCs w:val="21"/>
              </w:rPr>
            </w:pPr>
            <w:r>
              <w:rPr>
                <w:rFonts w:cs="Times New Roman"/>
                <w:szCs w:val="21"/>
              </w:rPr>
              <w:t xml:space="preserve">0.0199 </w:t>
            </w:r>
          </w:p>
        </w:tc>
        <w:tc>
          <w:tcPr>
            <w:tcW w:w="1337" w:type="dxa"/>
            <w:noWrap/>
            <w:vAlign w:val="center"/>
          </w:tcPr>
          <w:p w14:paraId="6929471F">
            <w:pPr>
              <w:pStyle w:val="78"/>
              <w:rPr>
                <w:rFonts w:cs="Times New Roman"/>
                <w:szCs w:val="21"/>
              </w:rPr>
            </w:pPr>
            <w:r>
              <w:rPr>
                <w:rFonts w:cs="Times New Roman"/>
                <w:szCs w:val="21"/>
              </w:rPr>
              <w:t xml:space="preserve">0.0203 </w:t>
            </w:r>
          </w:p>
        </w:tc>
        <w:tc>
          <w:tcPr>
            <w:tcW w:w="1337" w:type="dxa"/>
            <w:noWrap/>
            <w:vAlign w:val="center"/>
          </w:tcPr>
          <w:p w14:paraId="6F9A5423">
            <w:pPr>
              <w:pStyle w:val="78"/>
              <w:rPr>
                <w:rFonts w:cs="Times New Roman"/>
                <w:szCs w:val="21"/>
              </w:rPr>
            </w:pPr>
            <w:r>
              <w:rPr>
                <w:rFonts w:cs="Times New Roman"/>
                <w:szCs w:val="21"/>
              </w:rPr>
              <w:t xml:space="preserve">0.4632 </w:t>
            </w:r>
          </w:p>
        </w:tc>
        <w:tc>
          <w:tcPr>
            <w:tcW w:w="1337" w:type="dxa"/>
            <w:noWrap/>
            <w:vAlign w:val="center"/>
          </w:tcPr>
          <w:p w14:paraId="0E9AC7CA">
            <w:pPr>
              <w:pStyle w:val="78"/>
              <w:rPr>
                <w:rFonts w:cs="Times New Roman"/>
                <w:szCs w:val="21"/>
              </w:rPr>
            </w:pPr>
            <w:r>
              <w:rPr>
                <w:rFonts w:cs="Times New Roman"/>
                <w:szCs w:val="21"/>
              </w:rPr>
              <w:t xml:space="preserve">0.0144 </w:t>
            </w:r>
          </w:p>
        </w:tc>
        <w:tc>
          <w:tcPr>
            <w:tcW w:w="1593" w:type="dxa"/>
            <w:noWrap/>
            <w:vAlign w:val="center"/>
          </w:tcPr>
          <w:p w14:paraId="62EF5AA3">
            <w:pPr>
              <w:pStyle w:val="78"/>
              <w:rPr>
                <w:rFonts w:cs="Times New Roman"/>
                <w:szCs w:val="21"/>
              </w:rPr>
            </w:pPr>
            <w:r>
              <w:rPr>
                <w:rFonts w:cs="Times New Roman"/>
                <w:szCs w:val="21"/>
              </w:rPr>
              <w:t xml:space="preserve">0.0262 </w:t>
            </w:r>
          </w:p>
        </w:tc>
        <w:tc>
          <w:tcPr>
            <w:tcW w:w="1486" w:type="dxa"/>
            <w:noWrap/>
            <w:vAlign w:val="center"/>
          </w:tcPr>
          <w:p w14:paraId="1374F948">
            <w:pPr>
              <w:pStyle w:val="78"/>
              <w:rPr>
                <w:rFonts w:cs="Times New Roman"/>
                <w:szCs w:val="21"/>
              </w:rPr>
            </w:pPr>
            <w:r>
              <w:rPr>
                <w:rFonts w:cs="Times New Roman"/>
                <w:szCs w:val="21"/>
              </w:rPr>
              <w:t xml:space="preserve">0.0263 </w:t>
            </w:r>
          </w:p>
        </w:tc>
        <w:tc>
          <w:tcPr>
            <w:tcW w:w="1048" w:type="dxa"/>
            <w:noWrap/>
            <w:vAlign w:val="center"/>
          </w:tcPr>
          <w:p w14:paraId="098BFF60">
            <w:pPr>
              <w:pStyle w:val="78"/>
              <w:rPr>
                <w:rFonts w:cs="Times New Roman"/>
                <w:szCs w:val="21"/>
              </w:rPr>
            </w:pPr>
            <w:r>
              <w:rPr>
                <w:rFonts w:cs="Times New Roman"/>
                <w:szCs w:val="21"/>
              </w:rPr>
              <w:t>/</w:t>
            </w:r>
          </w:p>
        </w:tc>
        <w:tc>
          <w:tcPr>
            <w:tcW w:w="1499" w:type="dxa"/>
            <w:noWrap/>
            <w:vAlign w:val="center"/>
          </w:tcPr>
          <w:p w14:paraId="5AD0AC89">
            <w:pPr>
              <w:pStyle w:val="78"/>
              <w:rPr>
                <w:rFonts w:cs="Times New Roman"/>
                <w:szCs w:val="21"/>
              </w:rPr>
            </w:pPr>
            <w:r>
              <w:rPr>
                <w:rFonts w:cs="Times New Roman"/>
                <w:szCs w:val="21"/>
              </w:rPr>
              <w:t xml:space="preserve">0.0406 </w:t>
            </w:r>
          </w:p>
        </w:tc>
        <w:tc>
          <w:tcPr>
            <w:tcW w:w="1332" w:type="dxa"/>
            <w:noWrap/>
            <w:vAlign w:val="center"/>
          </w:tcPr>
          <w:p w14:paraId="1277F97C">
            <w:pPr>
              <w:pStyle w:val="78"/>
              <w:rPr>
                <w:rFonts w:cs="Times New Roman"/>
                <w:szCs w:val="21"/>
              </w:rPr>
            </w:pPr>
            <w:r>
              <w:rPr>
                <w:rFonts w:cs="Times New Roman"/>
                <w:szCs w:val="21"/>
              </w:rPr>
              <w:t xml:space="preserve">0.0197 </w:t>
            </w:r>
          </w:p>
        </w:tc>
        <w:tc>
          <w:tcPr>
            <w:tcW w:w="1260" w:type="dxa"/>
            <w:noWrap/>
            <w:vAlign w:val="center"/>
          </w:tcPr>
          <w:p w14:paraId="1FAACB3D">
            <w:pPr>
              <w:pStyle w:val="78"/>
              <w:rPr>
                <w:rFonts w:cs="Times New Roman"/>
                <w:szCs w:val="21"/>
              </w:rPr>
            </w:pPr>
            <w:r>
              <w:rPr>
                <w:rFonts w:cs="Times New Roman"/>
                <w:szCs w:val="21"/>
              </w:rPr>
              <w:t xml:space="preserve">0.0181 </w:t>
            </w:r>
          </w:p>
        </w:tc>
      </w:tr>
      <w:tr w14:paraId="14EF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1A1EFB14">
            <w:pPr>
              <w:pStyle w:val="78"/>
              <w:rPr>
                <w:rFonts w:cs="Times New Roman"/>
                <w:szCs w:val="21"/>
              </w:rPr>
            </w:pPr>
            <w:r>
              <w:rPr>
                <w:rFonts w:cs="Times New Roman"/>
                <w:szCs w:val="21"/>
              </w:rPr>
              <w:t>钴</w:t>
            </w:r>
          </w:p>
        </w:tc>
        <w:tc>
          <w:tcPr>
            <w:tcW w:w="1337" w:type="dxa"/>
            <w:noWrap/>
            <w:vAlign w:val="center"/>
          </w:tcPr>
          <w:p w14:paraId="3192F453">
            <w:pPr>
              <w:pStyle w:val="78"/>
              <w:rPr>
                <w:rFonts w:cs="Times New Roman"/>
                <w:szCs w:val="21"/>
              </w:rPr>
            </w:pPr>
            <w:r>
              <w:rPr>
                <w:rFonts w:cs="Times New Roman"/>
                <w:szCs w:val="21"/>
              </w:rPr>
              <w:t>0.0143</w:t>
            </w:r>
          </w:p>
        </w:tc>
        <w:tc>
          <w:tcPr>
            <w:tcW w:w="1337" w:type="dxa"/>
            <w:noWrap/>
            <w:vAlign w:val="center"/>
          </w:tcPr>
          <w:p w14:paraId="6DB3E79F">
            <w:pPr>
              <w:pStyle w:val="78"/>
              <w:rPr>
                <w:rFonts w:cs="Times New Roman"/>
                <w:szCs w:val="21"/>
              </w:rPr>
            </w:pPr>
            <w:r>
              <w:rPr>
                <w:rFonts w:cs="Times New Roman"/>
                <w:szCs w:val="21"/>
              </w:rPr>
              <w:t>0.0143</w:t>
            </w:r>
          </w:p>
        </w:tc>
        <w:tc>
          <w:tcPr>
            <w:tcW w:w="1337" w:type="dxa"/>
            <w:noWrap/>
            <w:vAlign w:val="center"/>
          </w:tcPr>
          <w:p w14:paraId="29C9A5F1">
            <w:pPr>
              <w:pStyle w:val="78"/>
              <w:rPr>
                <w:rFonts w:cs="Times New Roman"/>
                <w:szCs w:val="21"/>
              </w:rPr>
            </w:pPr>
            <w:r>
              <w:rPr>
                <w:rFonts w:cs="Times New Roman"/>
                <w:szCs w:val="21"/>
              </w:rPr>
              <w:t>0.0143</w:t>
            </w:r>
          </w:p>
        </w:tc>
        <w:tc>
          <w:tcPr>
            <w:tcW w:w="1337" w:type="dxa"/>
            <w:noWrap/>
            <w:vAlign w:val="center"/>
          </w:tcPr>
          <w:p w14:paraId="37EFC6AC">
            <w:pPr>
              <w:pStyle w:val="78"/>
              <w:rPr>
                <w:rFonts w:cs="Times New Roman"/>
                <w:szCs w:val="21"/>
              </w:rPr>
            </w:pPr>
            <w:r>
              <w:rPr>
                <w:rFonts w:cs="Times New Roman"/>
                <w:szCs w:val="21"/>
              </w:rPr>
              <w:t xml:space="preserve">0.0143 </w:t>
            </w:r>
          </w:p>
        </w:tc>
        <w:tc>
          <w:tcPr>
            <w:tcW w:w="1430" w:type="dxa"/>
            <w:noWrap/>
            <w:vAlign w:val="center"/>
          </w:tcPr>
          <w:p w14:paraId="04A59033">
            <w:pPr>
              <w:pStyle w:val="78"/>
              <w:rPr>
                <w:rFonts w:cs="Times New Roman"/>
                <w:szCs w:val="21"/>
              </w:rPr>
            </w:pPr>
            <w:r>
              <w:rPr>
                <w:rFonts w:cs="Times New Roman"/>
                <w:szCs w:val="21"/>
              </w:rPr>
              <w:t xml:space="preserve">0.0143 </w:t>
            </w:r>
          </w:p>
        </w:tc>
        <w:tc>
          <w:tcPr>
            <w:tcW w:w="1337" w:type="dxa"/>
            <w:noWrap/>
            <w:vAlign w:val="center"/>
          </w:tcPr>
          <w:p w14:paraId="5E99B497">
            <w:pPr>
              <w:pStyle w:val="78"/>
              <w:rPr>
                <w:rFonts w:cs="Times New Roman"/>
                <w:szCs w:val="21"/>
              </w:rPr>
            </w:pPr>
            <w:r>
              <w:rPr>
                <w:rFonts w:cs="Times New Roman"/>
                <w:szCs w:val="21"/>
              </w:rPr>
              <w:t xml:space="preserve">0.0143 </w:t>
            </w:r>
          </w:p>
        </w:tc>
        <w:tc>
          <w:tcPr>
            <w:tcW w:w="1337" w:type="dxa"/>
            <w:noWrap/>
            <w:vAlign w:val="center"/>
          </w:tcPr>
          <w:p w14:paraId="49B1EA4F">
            <w:pPr>
              <w:pStyle w:val="78"/>
              <w:rPr>
                <w:rFonts w:cs="Times New Roman"/>
                <w:szCs w:val="21"/>
              </w:rPr>
            </w:pPr>
            <w:r>
              <w:rPr>
                <w:rFonts w:cs="Times New Roman"/>
                <w:szCs w:val="21"/>
              </w:rPr>
              <w:t xml:space="preserve">0.0143 </w:t>
            </w:r>
          </w:p>
        </w:tc>
        <w:tc>
          <w:tcPr>
            <w:tcW w:w="1337" w:type="dxa"/>
            <w:noWrap/>
            <w:vAlign w:val="center"/>
          </w:tcPr>
          <w:p w14:paraId="4976B04A">
            <w:pPr>
              <w:pStyle w:val="78"/>
              <w:rPr>
                <w:rFonts w:cs="Times New Roman"/>
                <w:szCs w:val="21"/>
              </w:rPr>
            </w:pPr>
            <w:r>
              <w:rPr>
                <w:rFonts w:cs="Times New Roman"/>
                <w:szCs w:val="21"/>
              </w:rPr>
              <w:t xml:space="preserve">0.0143 </w:t>
            </w:r>
          </w:p>
        </w:tc>
        <w:tc>
          <w:tcPr>
            <w:tcW w:w="1593" w:type="dxa"/>
            <w:noWrap/>
            <w:vAlign w:val="center"/>
          </w:tcPr>
          <w:p w14:paraId="6955EDAF">
            <w:pPr>
              <w:pStyle w:val="78"/>
              <w:rPr>
                <w:rFonts w:cs="Times New Roman"/>
                <w:szCs w:val="21"/>
              </w:rPr>
            </w:pPr>
            <w:r>
              <w:rPr>
                <w:rFonts w:cs="Times New Roman"/>
                <w:szCs w:val="21"/>
              </w:rPr>
              <w:t xml:space="preserve">0.0143 </w:t>
            </w:r>
          </w:p>
        </w:tc>
        <w:tc>
          <w:tcPr>
            <w:tcW w:w="1486" w:type="dxa"/>
            <w:noWrap/>
            <w:vAlign w:val="center"/>
          </w:tcPr>
          <w:p w14:paraId="208C3482">
            <w:pPr>
              <w:pStyle w:val="78"/>
              <w:rPr>
                <w:rFonts w:cs="Times New Roman"/>
                <w:szCs w:val="21"/>
              </w:rPr>
            </w:pPr>
            <w:r>
              <w:rPr>
                <w:rFonts w:cs="Times New Roman"/>
                <w:szCs w:val="21"/>
              </w:rPr>
              <w:t xml:space="preserve">0.0143 </w:t>
            </w:r>
          </w:p>
        </w:tc>
        <w:tc>
          <w:tcPr>
            <w:tcW w:w="1048" w:type="dxa"/>
            <w:noWrap/>
            <w:vAlign w:val="center"/>
          </w:tcPr>
          <w:p w14:paraId="3DC72237">
            <w:pPr>
              <w:pStyle w:val="78"/>
              <w:rPr>
                <w:rFonts w:cs="Times New Roman"/>
                <w:szCs w:val="21"/>
              </w:rPr>
            </w:pPr>
            <w:r>
              <w:rPr>
                <w:rFonts w:cs="Times New Roman"/>
                <w:szCs w:val="21"/>
              </w:rPr>
              <w:t>/</w:t>
            </w:r>
          </w:p>
        </w:tc>
        <w:tc>
          <w:tcPr>
            <w:tcW w:w="1499" w:type="dxa"/>
            <w:noWrap/>
            <w:vAlign w:val="center"/>
          </w:tcPr>
          <w:p w14:paraId="1B785A4B">
            <w:pPr>
              <w:pStyle w:val="78"/>
              <w:rPr>
                <w:rFonts w:cs="Times New Roman"/>
                <w:szCs w:val="21"/>
              </w:rPr>
            </w:pPr>
            <w:r>
              <w:rPr>
                <w:rFonts w:cs="Times New Roman"/>
                <w:szCs w:val="21"/>
              </w:rPr>
              <w:t xml:space="preserve">0.0429 </w:t>
            </w:r>
          </w:p>
        </w:tc>
        <w:tc>
          <w:tcPr>
            <w:tcW w:w="1332" w:type="dxa"/>
            <w:noWrap/>
            <w:vAlign w:val="center"/>
          </w:tcPr>
          <w:p w14:paraId="732CBF91">
            <w:pPr>
              <w:pStyle w:val="78"/>
              <w:rPr>
                <w:rFonts w:cs="Times New Roman"/>
                <w:szCs w:val="21"/>
              </w:rPr>
            </w:pPr>
            <w:r>
              <w:rPr>
                <w:rFonts w:cs="Times New Roman"/>
                <w:szCs w:val="21"/>
              </w:rPr>
              <w:t xml:space="preserve">0.0143 </w:t>
            </w:r>
          </w:p>
        </w:tc>
        <w:tc>
          <w:tcPr>
            <w:tcW w:w="1260" w:type="dxa"/>
            <w:noWrap/>
            <w:vAlign w:val="center"/>
          </w:tcPr>
          <w:p w14:paraId="16BE1317">
            <w:pPr>
              <w:pStyle w:val="78"/>
              <w:rPr>
                <w:rFonts w:cs="Times New Roman"/>
                <w:szCs w:val="21"/>
              </w:rPr>
            </w:pPr>
            <w:r>
              <w:rPr>
                <w:rFonts w:cs="Times New Roman"/>
                <w:szCs w:val="21"/>
              </w:rPr>
              <w:t xml:space="preserve">0.0143 </w:t>
            </w:r>
          </w:p>
        </w:tc>
      </w:tr>
      <w:tr w14:paraId="4561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356F6F26">
            <w:pPr>
              <w:pStyle w:val="78"/>
              <w:rPr>
                <w:rFonts w:cs="Times New Roman"/>
                <w:szCs w:val="21"/>
              </w:rPr>
            </w:pPr>
            <w:r>
              <w:rPr>
                <w:rFonts w:cs="Times New Roman"/>
                <w:szCs w:val="21"/>
              </w:rPr>
              <w:t>苯乙烯</w:t>
            </w:r>
          </w:p>
        </w:tc>
        <w:tc>
          <w:tcPr>
            <w:tcW w:w="1337" w:type="dxa"/>
            <w:noWrap/>
            <w:vAlign w:val="center"/>
          </w:tcPr>
          <w:p w14:paraId="0F07E5B1">
            <w:pPr>
              <w:pStyle w:val="78"/>
              <w:rPr>
                <w:rFonts w:cs="Times New Roman"/>
                <w:szCs w:val="21"/>
              </w:rPr>
            </w:pPr>
            <w:r>
              <w:rPr>
                <w:rFonts w:cs="Times New Roman"/>
                <w:szCs w:val="21"/>
              </w:rPr>
              <w:t>0.0000004</w:t>
            </w:r>
          </w:p>
        </w:tc>
        <w:tc>
          <w:tcPr>
            <w:tcW w:w="1337" w:type="dxa"/>
            <w:noWrap/>
            <w:vAlign w:val="center"/>
          </w:tcPr>
          <w:p w14:paraId="3D036575">
            <w:pPr>
              <w:pStyle w:val="78"/>
              <w:rPr>
                <w:rFonts w:cs="Times New Roman"/>
                <w:szCs w:val="21"/>
              </w:rPr>
            </w:pPr>
            <w:r>
              <w:rPr>
                <w:rFonts w:cs="Times New Roman"/>
                <w:szCs w:val="21"/>
              </w:rPr>
              <w:t>0.0000004</w:t>
            </w:r>
          </w:p>
        </w:tc>
        <w:tc>
          <w:tcPr>
            <w:tcW w:w="1337" w:type="dxa"/>
            <w:noWrap/>
            <w:vAlign w:val="center"/>
          </w:tcPr>
          <w:p w14:paraId="46580F26">
            <w:pPr>
              <w:pStyle w:val="78"/>
              <w:rPr>
                <w:rFonts w:cs="Times New Roman"/>
                <w:szCs w:val="21"/>
              </w:rPr>
            </w:pPr>
            <w:r>
              <w:rPr>
                <w:rFonts w:cs="Times New Roman"/>
                <w:szCs w:val="21"/>
              </w:rPr>
              <w:t>0.0000004</w:t>
            </w:r>
          </w:p>
        </w:tc>
        <w:tc>
          <w:tcPr>
            <w:tcW w:w="1337" w:type="dxa"/>
            <w:noWrap/>
            <w:vAlign w:val="center"/>
          </w:tcPr>
          <w:p w14:paraId="3B49EFE2">
            <w:pPr>
              <w:pStyle w:val="78"/>
              <w:rPr>
                <w:rFonts w:cs="Times New Roman"/>
                <w:szCs w:val="21"/>
              </w:rPr>
            </w:pPr>
            <w:r>
              <w:rPr>
                <w:rFonts w:cs="Times New Roman"/>
                <w:szCs w:val="21"/>
              </w:rPr>
              <w:t>0.0000004</w:t>
            </w:r>
          </w:p>
        </w:tc>
        <w:tc>
          <w:tcPr>
            <w:tcW w:w="1430" w:type="dxa"/>
            <w:noWrap/>
            <w:vAlign w:val="center"/>
          </w:tcPr>
          <w:p w14:paraId="1E848B18">
            <w:pPr>
              <w:pStyle w:val="78"/>
              <w:rPr>
                <w:rFonts w:cs="Times New Roman"/>
                <w:szCs w:val="21"/>
              </w:rPr>
            </w:pPr>
            <w:r>
              <w:rPr>
                <w:rFonts w:cs="Times New Roman"/>
                <w:szCs w:val="21"/>
              </w:rPr>
              <w:t>0.0000004</w:t>
            </w:r>
          </w:p>
        </w:tc>
        <w:tc>
          <w:tcPr>
            <w:tcW w:w="1337" w:type="dxa"/>
            <w:noWrap/>
            <w:vAlign w:val="center"/>
          </w:tcPr>
          <w:p w14:paraId="5DD8D0F6">
            <w:pPr>
              <w:pStyle w:val="78"/>
              <w:rPr>
                <w:rFonts w:cs="Times New Roman"/>
                <w:szCs w:val="21"/>
              </w:rPr>
            </w:pPr>
            <w:r>
              <w:rPr>
                <w:rFonts w:cs="Times New Roman"/>
                <w:szCs w:val="21"/>
              </w:rPr>
              <w:t>0.0000004</w:t>
            </w:r>
          </w:p>
        </w:tc>
        <w:tc>
          <w:tcPr>
            <w:tcW w:w="1337" w:type="dxa"/>
            <w:noWrap/>
            <w:vAlign w:val="center"/>
          </w:tcPr>
          <w:p w14:paraId="61D564E0">
            <w:pPr>
              <w:pStyle w:val="78"/>
              <w:rPr>
                <w:rFonts w:cs="Times New Roman"/>
                <w:szCs w:val="21"/>
              </w:rPr>
            </w:pPr>
            <w:r>
              <w:rPr>
                <w:rFonts w:cs="Times New Roman"/>
                <w:szCs w:val="21"/>
              </w:rPr>
              <w:t>0.0000004</w:t>
            </w:r>
          </w:p>
        </w:tc>
        <w:tc>
          <w:tcPr>
            <w:tcW w:w="1337" w:type="dxa"/>
            <w:noWrap/>
            <w:vAlign w:val="center"/>
          </w:tcPr>
          <w:p w14:paraId="528BDAB6">
            <w:pPr>
              <w:pStyle w:val="78"/>
              <w:rPr>
                <w:rFonts w:cs="Times New Roman"/>
                <w:szCs w:val="21"/>
              </w:rPr>
            </w:pPr>
            <w:r>
              <w:rPr>
                <w:rFonts w:cs="Times New Roman"/>
                <w:szCs w:val="21"/>
              </w:rPr>
              <w:t>0.0000004</w:t>
            </w:r>
          </w:p>
        </w:tc>
        <w:tc>
          <w:tcPr>
            <w:tcW w:w="1593" w:type="dxa"/>
            <w:noWrap/>
            <w:vAlign w:val="center"/>
          </w:tcPr>
          <w:p w14:paraId="5A526330">
            <w:pPr>
              <w:pStyle w:val="78"/>
              <w:rPr>
                <w:rFonts w:cs="Times New Roman"/>
                <w:szCs w:val="21"/>
              </w:rPr>
            </w:pPr>
            <w:r>
              <w:rPr>
                <w:rFonts w:cs="Times New Roman"/>
                <w:szCs w:val="21"/>
              </w:rPr>
              <w:t>0.0000004</w:t>
            </w:r>
          </w:p>
        </w:tc>
        <w:tc>
          <w:tcPr>
            <w:tcW w:w="1486" w:type="dxa"/>
            <w:noWrap/>
            <w:vAlign w:val="center"/>
          </w:tcPr>
          <w:p w14:paraId="25B417EF">
            <w:pPr>
              <w:pStyle w:val="78"/>
              <w:rPr>
                <w:rFonts w:cs="Times New Roman"/>
                <w:szCs w:val="21"/>
              </w:rPr>
            </w:pPr>
            <w:r>
              <w:rPr>
                <w:rFonts w:cs="Times New Roman"/>
                <w:szCs w:val="21"/>
              </w:rPr>
              <w:t>0.0000004</w:t>
            </w:r>
          </w:p>
        </w:tc>
        <w:tc>
          <w:tcPr>
            <w:tcW w:w="1048" w:type="dxa"/>
            <w:noWrap/>
            <w:vAlign w:val="center"/>
          </w:tcPr>
          <w:p w14:paraId="0906EA18">
            <w:pPr>
              <w:pStyle w:val="78"/>
              <w:rPr>
                <w:rFonts w:cs="Times New Roman"/>
                <w:szCs w:val="21"/>
              </w:rPr>
            </w:pPr>
            <w:r>
              <w:rPr>
                <w:rFonts w:cs="Times New Roman"/>
                <w:szCs w:val="21"/>
              </w:rPr>
              <w:t>/</w:t>
            </w:r>
          </w:p>
        </w:tc>
        <w:tc>
          <w:tcPr>
            <w:tcW w:w="1499" w:type="dxa"/>
            <w:noWrap/>
            <w:vAlign w:val="center"/>
          </w:tcPr>
          <w:p w14:paraId="694F4C05">
            <w:pPr>
              <w:pStyle w:val="78"/>
              <w:ind w:left="-444" w:leftChars="-185" w:firstLine="516" w:firstLineChars="246"/>
              <w:rPr>
                <w:rFonts w:cs="Times New Roman"/>
                <w:szCs w:val="21"/>
              </w:rPr>
            </w:pPr>
            <w:r>
              <w:rPr>
                <w:rFonts w:cs="Times New Roman"/>
                <w:szCs w:val="21"/>
              </w:rPr>
              <w:t>0.0000004</w:t>
            </w:r>
          </w:p>
        </w:tc>
        <w:tc>
          <w:tcPr>
            <w:tcW w:w="1332" w:type="dxa"/>
            <w:noWrap/>
            <w:vAlign w:val="center"/>
          </w:tcPr>
          <w:p w14:paraId="22244997">
            <w:pPr>
              <w:pStyle w:val="78"/>
              <w:ind w:left="-444" w:leftChars="-185" w:firstLine="516" w:firstLineChars="246"/>
              <w:rPr>
                <w:rFonts w:cs="Times New Roman"/>
                <w:szCs w:val="21"/>
              </w:rPr>
            </w:pPr>
            <w:r>
              <w:rPr>
                <w:rFonts w:cs="Times New Roman"/>
                <w:szCs w:val="21"/>
              </w:rPr>
              <w:t>0.0000004</w:t>
            </w:r>
          </w:p>
        </w:tc>
        <w:tc>
          <w:tcPr>
            <w:tcW w:w="1260" w:type="dxa"/>
            <w:noWrap/>
            <w:vAlign w:val="center"/>
          </w:tcPr>
          <w:p w14:paraId="6527DD4D">
            <w:pPr>
              <w:pStyle w:val="78"/>
              <w:ind w:left="-444" w:leftChars="-185" w:firstLine="516" w:firstLineChars="246"/>
              <w:rPr>
                <w:rFonts w:cs="Times New Roman"/>
                <w:szCs w:val="21"/>
              </w:rPr>
            </w:pPr>
            <w:r>
              <w:rPr>
                <w:rFonts w:cs="Times New Roman"/>
                <w:szCs w:val="21"/>
              </w:rPr>
              <w:t>0.0000004</w:t>
            </w:r>
          </w:p>
        </w:tc>
      </w:tr>
      <w:tr w14:paraId="41B5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5190DDD1">
            <w:pPr>
              <w:pStyle w:val="78"/>
              <w:rPr>
                <w:rFonts w:cs="Times New Roman"/>
                <w:szCs w:val="21"/>
              </w:rPr>
            </w:pPr>
            <w:r>
              <w:rPr>
                <w:rFonts w:cs="Times New Roman"/>
                <w:szCs w:val="21"/>
              </w:rPr>
              <w:t>甲苯</w:t>
            </w:r>
          </w:p>
        </w:tc>
        <w:tc>
          <w:tcPr>
            <w:tcW w:w="1337" w:type="dxa"/>
            <w:noWrap/>
            <w:vAlign w:val="center"/>
          </w:tcPr>
          <w:p w14:paraId="3D9A7D02">
            <w:pPr>
              <w:pStyle w:val="78"/>
              <w:rPr>
                <w:rFonts w:cs="Times New Roman"/>
                <w:szCs w:val="21"/>
              </w:rPr>
            </w:pPr>
            <w:r>
              <w:rPr>
                <w:rFonts w:cs="Times New Roman"/>
                <w:szCs w:val="21"/>
              </w:rPr>
              <w:t>0.000001</w:t>
            </w:r>
          </w:p>
        </w:tc>
        <w:tc>
          <w:tcPr>
            <w:tcW w:w="1337" w:type="dxa"/>
            <w:noWrap/>
            <w:vAlign w:val="center"/>
          </w:tcPr>
          <w:p w14:paraId="6ABA86A6">
            <w:pPr>
              <w:pStyle w:val="78"/>
              <w:rPr>
                <w:rFonts w:cs="Times New Roman"/>
                <w:szCs w:val="21"/>
              </w:rPr>
            </w:pPr>
            <w:r>
              <w:rPr>
                <w:rFonts w:cs="Times New Roman"/>
                <w:szCs w:val="21"/>
              </w:rPr>
              <w:t>0.000001</w:t>
            </w:r>
          </w:p>
        </w:tc>
        <w:tc>
          <w:tcPr>
            <w:tcW w:w="1337" w:type="dxa"/>
            <w:noWrap/>
            <w:vAlign w:val="center"/>
          </w:tcPr>
          <w:p w14:paraId="10CC6EBE">
            <w:pPr>
              <w:pStyle w:val="78"/>
              <w:rPr>
                <w:rFonts w:cs="Times New Roman"/>
                <w:szCs w:val="21"/>
              </w:rPr>
            </w:pPr>
            <w:r>
              <w:rPr>
                <w:rFonts w:cs="Times New Roman"/>
                <w:szCs w:val="21"/>
              </w:rPr>
              <w:t>0.000001</w:t>
            </w:r>
          </w:p>
        </w:tc>
        <w:tc>
          <w:tcPr>
            <w:tcW w:w="1337" w:type="dxa"/>
            <w:noWrap/>
            <w:vAlign w:val="center"/>
          </w:tcPr>
          <w:p w14:paraId="0DC119BC">
            <w:pPr>
              <w:pStyle w:val="78"/>
              <w:rPr>
                <w:rFonts w:cs="Times New Roman"/>
                <w:szCs w:val="21"/>
              </w:rPr>
            </w:pPr>
            <w:r>
              <w:rPr>
                <w:rFonts w:cs="Times New Roman"/>
                <w:szCs w:val="21"/>
              </w:rPr>
              <w:t>0.000001</w:t>
            </w:r>
          </w:p>
        </w:tc>
        <w:tc>
          <w:tcPr>
            <w:tcW w:w="1430" w:type="dxa"/>
            <w:noWrap/>
            <w:vAlign w:val="center"/>
          </w:tcPr>
          <w:p w14:paraId="4405094E">
            <w:pPr>
              <w:pStyle w:val="78"/>
              <w:rPr>
                <w:rFonts w:cs="Times New Roman"/>
                <w:szCs w:val="21"/>
              </w:rPr>
            </w:pPr>
            <w:r>
              <w:rPr>
                <w:rFonts w:cs="Times New Roman"/>
                <w:szCs w:val="21"/>
              </w:rPr>
              <w:t>0.000001</w:t>
            </w:r>
          </w:p>
        </w:tc>
        <w:tc>
          <w:tcPr>
            <w:tcW w:w="1337" w:type="dxa"/>
            <w:noWrap/>
            <w:vAlign w:val="center"/>
          </w:tcPr>
          <w:p w14:paraId="1042BE2B">
            <w:pPr>
              <w:pStyle w:val="78"/>
              <w:rPr>
                <w:rFonts w:cs="Times New Roman"/>
                <w:szCs w:val="21"/>
              </w:rPr>
            </w:pPr>
            <w:r>
              <w:rPr>
                <w:rFonts w:cs="Times New Roman"/>
                <w:szCs w:val="21"/>
              </w:rPr>
              <w:t>0.000001</w:t>
            </w:r>
          </w:p>
        </w:tc>
        <w:tc>
          <w:tcPr>
            <w:tcW w:w="1337" w:type="dxa"/>
            <w:noWrap/>
            <w:vAlign w:val="center"/>
          </w:tcPr>
          <w:p w14:paraId="6B864060">
            <w:pPr>
              <w:pStyle w:val="78"/>
              <w:rPr>
                <w:rFonts w:cs="Times New Roman"/>
                <w:szCs w:val="21"/>
              </w:rPr>
            </w:pPr>
            <w:r>
              <w:rPr>
                <w:rFonts w:cs="Times New Roman"/>
                <w:szCs w:val="21"/>
              </w:rPr>
              <w:t>0.000001</w:t>
            </w:r>
          </w:p>
        </w:tc>
        <w:tc>
          <w:tcPr>
            <w:tcW w:w="1337" w:type="dxa"/>
            <w:noWrap/>
            <w:vAlign w:val="center"/>
          </w:tcPr>
          <w:p w14:paraId="18608B07">
            <w:pPr>
              <w:pStyle w:val="78"/>
              <w:rPr>
                <w:rFonts w:cs="Times New Roman"/>
                <w:szCs w:val="21"/>
              </w:rPr>
            </w:pPr>
            <w:r>
              <w:rPr>
                <w:rFonts w:cs="Times New Roman"/>
                <w:szCs w:val="21"/>
              </w:rPr>
              <w:t>0.000001</w:t>
            </w:r>
          </w:p>
        </w:tc>
        <w:tc>
          <w:tcPr>
            <w:tcW w:w="1593" w:type="dxa"/>
            <w:noWrap/>
            <w:vAlign w:val="center"/>
          </w:tcPr>
          <w:p w14:paraId="4AC2519A">
            <w:pPr>
              <w:pStyle w:val="78"/>
              <w:rPr>
                <w:rFonts w:cs="Times New Roman"/>
                <w:szCs w:val="21"/>
              </w:rPr>
            </w:pPr>
            <w:r>
              <w:rPr>
                <w:rFonts w:cs="Times New Roman"/>
                <w:szCs w:val="21"/>
              </w:rPr>
              <w:t>0.000001</w:t>
            </w:r>
          </w:p>
        </w:tc>
        <w:tc>
          <w:tcPr>
            <w:tcW w:w="1486" w:type="dxa"/>
            <w:noWrap/>
            <w:vAlign w:val="center"/>
          </w:tcPr>
          <w:p w14:paraId="1BC1546B">
            <w:pPr>
              <w:pStyle w:val="78"/>
              <w:rPr>
                <w:rFonts w:cs="Times New Roman"/>
                <w:szCs w:val="21"/>
              </w:rPr>
            </w:pPr>
            <w:r>
              <w:rPr>
                <w:rFonts w:cs="Times New Roman"/>
                <w:szCs w:val="21"/>
              </w:rPr>
              <w:t>0.000001</w:t>
            </w:r>
          </w:p>
        </w:tc>
        <w:tc>
          <w:tcPr>
            <w:tcW w:w="1048" w:type="dxa"/>
            <w:noWrap/>
            <w:vAlign w:val="center"/>
          </w:tcPr>
          <w:p w14:paraId="62D04DAF">
            <w:pPr>
              <w:pStyle w:val="78"/>
              <w:rPr>
                <w:rFonts w:cs="Times New Roman"/>
                <w:szCs w:val="21"/>
              </w:rPr>
            </w:pPr>
            <w:r>
              <w:rPr>
                <w:rFonts w:cs="Times New Roman"/>
                <w:szCs w:val="21"/>
              </w:rPr>
              <w:t>/</w:t>
            </w:r>
          </w:p>
        </w:tc>
        <w:tc>
          <w:tcPr>
            <w:tcW w:w="1499" w:type="dxa"/>
            <w:noWrap/>
            <w:vAlign w:val="center"/>
          </w:tcPr>
          <w:p w14:paraId="6C4110FB">
            <w:pPr>
              <w:pStyle w:val="78"/>
              <w:ind w:left="-444" w:leftChars="-185" w:firstLine="516" w:firstLineChars="246"/>
              <w:rPr>
                <w:rFonts w:cs="Times New Roman"/>
                <w:szCs w:val="21"/>
              </w:rPr>
            </w:pPr>
            <w:r>
              <w:rPr>
                <w:rFonts w:cs="Times New Roman"/>
                <w:szCs w:val="21"/>
              </w:rPr>
              <w:t>0.000001</w:t>
            </w:r>
          </w:p>
        </w:tc>
        <w:tc>
          <w:tcPr>
            <w:tcW w:w="1332" w:type="dxa"/>
            <w:noWrap/>
            <w:vAlign w:val="center"/>
          </w:tcPr>
          <w:p w14:paraId="1735684B">
            <w:pPr>
              <w:pStyle w:val="78"/>
              <w:ind w:left="-444" w:leftChars="-185" w:firstLine="516" w:firstLineChars="246"/>
              <w:rPr>
                <w:rFonts w:cs="Times New Roman"/>
                <w:szCs w:val="21"/>
              </w:rPr>
            </w:pPr>
            <w:r>
              <w:rPr>
                <w:rFonts w:cs="Times New Roman"/>
                <w:szCs w:val="21"/>
              </w:rPr>
              <w:t>0.000001</w:t>
            </w:r>
          </w:p>
        </w:tc>
        <w:tc>
          <w:tcPr>
            <w:tcW w:w="1260" w:type="dxa"/>
            <w:noWrap/>
            <w:vAlign w:val="center"/>
          </w:tcPr>
          <w:p w14:paraId="76EEC981">
            <w:pPr>
              <w:pStyle w:val="78"/>
              <w:ind w:left="-444" w:leftChars="-185" w:firstLine="516" w:firstLineChars="246"/>
              <w:rPr>
                <w:rFonts w:cs="Times New Roman"/>
                <w:szCs w:val="21"/>
              </w:rPr>
            </w:pPr>
            <w:r>
              <w:rPr>
                <w:rFonts w:cs="Times New Roman"/>
                <w:szCs w:val="21"/>
              </w:rPr>
              <w:t>0.000001</w:t>
            </w:r>
          </w:p>
        </w:tc>
      </w:tr>
      <w:tr w14:paraId="4E00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6" w:type="dxa"/>
            <w:vAlign w:val="center"/>
          </w:tcPr>
          <w:p w14:paraId="6247D2C9">
            <w:pPr>
              <w:pStyle w:val="78"/>
              <w:rPr>
                <w:rFonts w:cs="Times New Roman"/>
                <w:szCs w:val="21"/>
              </w:rPr>
            </w:pPr>
            <w:r>
              <w:rPr>
                <w:rFonts w:cs="Times New Roman"/>
                <w:szCs w:val="21"/>
              </w:rPr>
              <w:t>间、对-二甲苯</w:t>
            </w:r>
          </w:p>
        </w:tc>
        <w:tc>
          <w:tcPr>
            <w:tcW w:w="1337" w:type="dxa"/>
            <w:noWrap/>
            <w:vAlign w:val="center"/>
          </w:tcPr>
          <w:p w14:paraId="786E4C5F">
            <w:pPr>
              <w:pStyle w:val="78"/>
              <w:rPr>
                <w:rFonts w:cs="Times New Roman"/>
                <w:szCs w:val="21"/>
              </w:rPr>
            </w:pPr>
            <w:r>
              <w:rPr>
                <w:rFonts w:cs="Times New Roman"/>
                <w:szCs w:val="21"/>
              </w:rPr>
              <w:t>0.000001</w:t>
            </w:r>
          </w:p>
        </w:tc>
        <w:tc>
          <w:tcPr>
            <w:tcW w:w="1337" w:type="dxa"/>
            <w:noWrap/>
            <w:vAlign w:val="center"/>
          </w:tcPr>
          <w:p w14:paraId="3A74D32C">
            <w:pPr>
              <w:pStyle w:val="78"/>
              <w:rPr>
                <w:rFonts w:cs="Times New Roman"/>
                <w:szCs w:val="21"/>
              </w:rPr>
            </w:pPr>
            <w:r>
              <w:rPr>
                <w:rFonts w:cs="Times New Roman"/>
                <w:szCs w:val="21"/>
              </w:rPr>
              <w:t>0.000001</w:t>
            </w:r>
          </w:p>
        </w:tc>
        <w:tc>
          <w:tcPr>
            <w:tcW w:w="1337" w:type="dxa"/>
            <w:noWrap/>
            <w:vAlign w:val="center"/>
          </w:tcPr>
          <w:p w14:paraId="2ED5FFCC">
            <w:pPr>
              <w:pStyle w:val="78"/>
              <w:rPr>
                <w:rFonts w:cs="Times New Roman"/>
                <w:szCs w:val="21"/>
              </w:rPr>
            </w:pPr>
            <w:r>
              <w:rPr>
                <w:rFonts w:cs="Times New Roman"/>
                <w:szCs w:val="21"/>
              </w:rPr>
              <w:t>0.000001</w:t>
            </w:r>
          </w:p>
        </w:tc>
        <w:tc>
          <w:tcPr>
            <w:tcW w:w="1337" w:type="dxa"/>
            <w:noWrap/>
            <w:vAlign w:val="center"/>
          </w:tcPr>
          <w:p w14:paraId="62C31384">
            <w:pPr>
              <w:pStyle w:val="78"/>
              <w:rPr>
                <w:rFonts w:cs="Times New Roman"/>
                <w:szCs w:val="21"/>
              </w:rPr>
            </w:pPr>
            <w:r>
              <w:rPr>
                <w:rFonts w:cs="Times New Roman"/>
                <w:szCs w:val="21"/>
              </w:rPr>
              <w:t>0.000001</w:t>
            </w:r>
          </w:p>
        </w:tc>
        <w:tc>
          <w:tcPr>
            <w:tcW w:w="1430" w:type="dxa"/>
            <w:noWrap/>
            <w:vAlign w:val="center"/>
          </w:tcPr>
          <w:p w14:paraId="70D0AA0F">
            <w:pPr>
              <w:pStyle w:val="78"/>
              <w:rPr>
                <w:rFonts w:cs="Times New Roman"/>
                <w:szCs w:val="21"/>
              </w:rPr>
            </w:pPr>
            <w:r>
              <w:rPr>
                <w:rFonts w:cs="Times New Roman"/>
                <w:szCs w:val="21"/>
              </w:rPr>
              <w:t>0.000001</w:t>
            </w:r>
          </w:p>
        </w:tc>
        <w:tc>
          <w:tcPr>
            <w:tcW w:w="1337" w:type="dxa"/>
            <w:noWrap/>
            <w:vAlign w:val="center"/>
          </w:tcPr>
          <w:p w14:paraId="1018EC00">
            <w:pPr>
              <w:pStyle w:val="78"/>
              <w:rPr>
                <w:rFonts w:cs="Times New Roman"/>
                <w:szCs w:val="21"/>
              </w:rPr>
            </w:pPr>
            <w:r>
              <w:rPr>
                <w:rFonts w:cs="Times New Roman"/>
                <w:szCs w:val="21"/>
              </w:rPr>
              <w:t>0.000001</w:t>
            </w:r>
          </w:p>
        </w:tc>
        <w:tc>
          <w:tcPr>
            <w:tcW w:w="1337" w:type="dxa"/>
            <w:noWrap/>
            <w:vAlign w:val="center"/>
          </w:tcPr>
          <w:p w14:paraId="27227ADE">
            <w:pPr>
              <w:pStyle w:val="78"/>
              <w:rPr>
                <w:rFonts w:cs="Times New Roman"/>
                <w:szCs w:val="21"/>
              </w:rPr>
            </w:pPr>
            <w:r>
              <w:rPr>
                <w:rFonts w:cs="Times New Roman"/>
                <w:szCs w:val="21"/>
              </w:rPr>
              <w:t>0.000001</w:t>
            </w:r>
          </w:p>
        </w:tc>
        <w:tc>
          <w:tcPr>
            <w:tcW w:w="1337" w:type="dxa"/>
            <w:noWrap/>
            <w:vAlign w:val="center"/>
          </w:tcPr>
          <w:p w14:paraId="70D05955">
            <w:pPr>
              <w:pStyle w:val="78"/>
              <w:rPr>
                <w:rFonts w:cs="Times New Roman"/>
                <w:szCs w:val="21"/>
              </w:rPr>
            </w:pPr>
            <w:r>
              <w:rPr>
                <w:rFonts w:cs="Times New Roman"/>
                <w:szCs w:val="21"/>
              </w:rPr>
              <w:t>0.000001</w:t>
            </w:r>
          </w:p>
        </w:tc>
        <w:tc>
          <w:tcPr>
            <w:tcW w:w="1593" w:type="dxa"/>
            <w:noWrap/>
            <w:vAlign w:val="center"/>
          </w:tcPr>
          <w:p w14:paraId="0400050C">
            <w:pPr>
              <w:pStyle w:val="78"/>
              <w:rPr>
                <w:rFonts w:cs="Times New Roman"/>
                <w:szCs w:val="21"/>
              </w:rPr>
            </w:pPr>
            <w:r>
              <w:rPr>
                <w:rFonts w:cs="Times New Roman"/>
                <w:szCs w:val="21"/>
              </w:rPr>
              <w:t>0.000001</w:t>
            </w:r>
          </w:p>
        </w:tc>
        <w:tc>
          <w:tcPr>
            <w:tcW w:w="1486" w:type="dxa"/>
            <w:noWrap/>
            <w:vAlign w:val="center"/>
          </w:tcPr>
          <w:p w14:paraId="0FCE57E2">
            <w:pPr>
              <w:pStyle w:val="78"/>
              <w:rPr>
                <w:rFonts w:cs="Times New Roman"/>
                <w:szCs w:val="21"/>
              </w:rPr>
            </w:pPr>
            <w:r>
              <w:rPr>
                <w:rFonts w:cs="Times New Roman"/>
                <w:szCs w:val="21"/>
              </w:rPr>
              <w:t>0.000001</w:t>
            </w:r>
          </w:p>
        </w:tc>
        <w:tc>
          <w:tcPr>
            <w:tcW w:w="1048" w:type="dxa"/>
            <w:noWrap/>
            <w:vAlign w:val="center"/>
          </w:tcPr>
          <w:p w14:paraId="7A0E2741">
            <w:pPr>
              <w:pStyle w:val="78"/>
              <w:rPr>
                <w:rFonts w:cs="Times New Roman"/>
                <w:szCs w:val="21"/>
              </w:rPr>
            </w:pPr>
            <w:r>
              <w:rPr>
                <w:rFonts w:cs="Times New Roman"/>
                <w:szCs w:val="21"/>
              </w:rPr>
              <w:t>/</w:t>
            </w:r>
          </w:p>
        </w:tc>
        <w:tc>
          <w:tcPr>
            <w:tcW w:w="1499" w:type="dxa"/>
            <w:noWrap/>
            <w:vAlign w:val="center"/>
          </w:tcPr>
          <w:p w14:paraId="0C04E4A0">
            <w:pPr>
              <w:pStyle w:val="78"/>
              <w:ind w:left="-444" w:leftChars="-185" w:firstLine="516" w:firstLineChars="246"/>
              <w:rPr>
                <w:rFonts w:cs="Times New Roman"/>
                <w:szCs w:val="21"/>
              </w:rPr>
            </w:pPr>
            <w:r>
              <w:rPr>
                <w:rFonts w:cs="Times New Roman"/>
                <w:szCs w:val="21"/>
              </w:rPr>
              <w:t>0.000001</w:t>
            </w:r>
          </w:p>
        </w:tc>
        <w:tc>
          <w:tcPr>
            <w:tcW w:w="1332" w:type="dxa"/>
            <w:noWrap/>
            <w:vAlign w:val="center"/>
          </w:tcPr>
          <w:p w14:paraId="32C372EA">
            <w:pPr>
              <w:pStyle w:val="78"/>
              <w:ind w:left="-444" w:leftChars="-185" w:firstLine="516" w:firstLineChars="246"/>
              <w:rPr>
                <w:rFonts w:cs="Times New Roman"/>
                <w:szCs w:val="21"/>
              </w:rPr>
            </w:pPr>
            <w:r>
              <w:rPr>
                <w:rFonts w:cs="Times New Roman"/>
                <w:szCs w:val="21"/>
              </w:rPr>
              <w:t>0.000001</w:t>
            </w:r>
          </w:p>
        </w:tc>
        <w:tc>
          <w:tcPr>
            <w:tcW w:w="1260" w:type="dxa"/>
            <w:noWrap/>
            <w:vAlign w:val="center"/>
          </w:tcPr>
          <w:p w14:paraId="0F1C5BF8">
            <w:pPr>
              <w:pStyle w:val="78"/>
              <w:ind w:left="-444" w:leftChars="-185" w:firstLine="516" w:firstLineChars="246"/>
              <w:rPr>
                <w:rFonts w:cs="Times New Roman"/>
                <w:szCs w:val="21"/>
              </w:rPr>
            </w:pPr>
            <w:r>
              <w:rPr>
                <w:rFonts w:cs="Times New Roman"/>
                <w:szCs w:val="21"/>
              </w:rPr>
              <w:t>0.000001</w:t>
            </w:r>
          </w:p>
        </w:tc>
      </w:tr>
      <w:tr w14:paraId="6189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826" w:type="dxa"/>
            <w:vAlign w:val="center"/>
          </w:tcPr>
          <w:p w14:paraId="14BFABDE">
            <w:pPr>
              <w:pStyle w:val="78"/>
              <w:rPr>
                <w:rFonts w:cs="Times New Roman"/>
                <w:szCs w:val="21"/>
              </w:rPr>
            </w:pPr>
            <w:r>
              <w:rPr>
                <w:rFonts w:cs="Times New Roman"/>
                <w:szCs w:val="21"/>
              </w:rPr>
              <w:t>邻-二甲苯</w:t>
            </w:r>
          </w:p>
        </w:tc>
        <w:tc>
          <w:tcPr>
            <w:tcW w:w="1337" w:type="dxa"/>
            <w:noWrap/>
            <w:vAlign w:val="center"/>
          </w:tcPr>
          <w:p w14:paraId="18312F1B">
            <w:pPr>
              <w:pStyle w:val="78"/>
              <w:rPr>
                <w:rFonts w:cs="Times New Roman"/>
                <w:szCs w:val="21"/>
              </w:rPr>
            </w:pPr>
            <w:r>
              <w:rPr>
                <w:rFonts w:cs="Times New Roman"/>
                <w:szCs w:val="21"/>
              </w:rPr>
              <w:t>0.000001</w:t>
            </w:r>
          </w:p>
        </w:tc>
        <w:tc>
          <w:tcPr>
            <w:tcW w:w="1337" w:type="dxa"/>
            <w:noWrap/>
            <w:vAlign w:val="center"/>
          </w:tcPr>
          <w:p w14:paraId="31E8CEEA">
            <w:pPr>
              <w:pStyle w:val="78"/>
              <w:rPr>
                <w:rFonts w:cs="Times New Roman"/>
                <w:szCs w:val="21"/>
              </w:rPr>
            </w:pPr>
            <w:r>
              <w:rPr>
                <w:rFonts w:cs="Times New Roman"/>
                <w:szCs w:val="21"/>
              </w:rPr>
              <w:t>0.000001</w:t>
            </w:r>
          </w:p>
        </w:tc>
        <w:tc>
          <w:tcPr>
            <w:tcW w:w="1337" w:type="dxa"/>
            <w:noWrap/>
            <w:vAlign w:val="center"/>
          </w:tcPr>
          <w:p w14:paraId="4B56B203">
            <w:pPr>
              <w:pStyle w:val="78"/>
              <w:rPr>
                <w:rFonts w:cs="Times New Roman"/>
                <w:szCs w:val="21"/>
              </w:rPr>
            </w:pPr>
            <w:r>
              <w:rPr>
                <w:rFonts w:cs="Times New Roman"/>
                <w:szCs w:val="21"/>
              </w:rPr>
              <w:t>0.000001</w:t>
            </w:r>
          </w:p>
        </w:tc>
        <w:tc>
          <w:tcPr>
            <w:tcW w:w="1337" w:type="dxa"/>
            <w:noWrap/>
            <w:vAlign w:val="center"/>
          </w:tcPr>
          <w:p w14:paraId="57F7F01C">
            <w:pPr>
              <w:pStyle w:val="78"/>
              <w:rPr>
                <w:rFonts w:cs="Times New Roman"/>
                <w:szCs w:val="21"/>
              </w:rPr>
            </w:pPr>
            <w:r>
              <w:rPr>
                <w:rFonts w:cs="Times New Roman"/>
                <w:szCs w:val="21"/>
              </w:rPr>
              <w:t>0.000001</w:t>
            </w:r>
          </w:p>
        </w:tc>
        <w:tc>
          <w:tcPr>
            <w:tcW w:w="1430" w:type="dxa"/>
            <w:noWrap/>
            <w:vAlign w:val="center"/>
          </w:tcPr>
          <w:p w14:paraId="5DC345E6">
            <w:pPr>
              <w:pStyle w:val="78"/>
              <w:rPr>
                <w:rFonts w:cs="Times New Roman"/>
                <w:szCs w:val="21"/>
              </w:rPr>
            </w:pPr>
            <w:r>
              <w:rPr>
                <w:rFonts w:cs="Times New Roman"/>
                <w:szCs w:val="21"/>
              </w:rPr>
              <w:t>0.000001</w:t>
            </w:r>
          </w:p>
        </w:tc>
        <w:tc>
          <w:tcPr>
            <w:tcW w:w="1337" w:type="dxa"/>
            <w:noWrap/>
            <w:vAlign w:val="center"/>
          </w:tcPr>
          <w:p w14:paraId="275D7FB1">
            <w:pPr>
              <w:pStyle w:val="78"/>
              <w:rPr>
                <w:rFonts w:cs="Times New Roman"/>
                <w:szCs w:val="21"/>
              </w:rPr>
            </w:pPr>
            <w:r>
              <w:rPr>
                <w:rFonts w:cs="Times New Roman"/>
                <w:szCs w:val="21"/>
              </w:rPr>
              <w:t>0.000001</w:t>
            </w:r>
          </w:p>
        </w:tc>
        <w:tc>
          <w:tcPr>
            <w:tcW w:w="1337" w:type="dxa"/>
            <w:noWrap/>
            <w:vAlign w:val="center"/>
          </w:tcPr>
          <w:p w14:paraId="48F87BCC">
            <w:pPr>
              <w:pStyle w:val="78"/>
              <w:rPr>
                <w:rFonts w:cs="Times New Roman"/>
                <w:szCs w:val="21"/>
              </w:rPr>
            </w:pPr>
            <w:r>
              <w:rPr>
                <w:rFonts w:cs="Times New Roman"/>
                <w:szCs w:val="21"/>
              </w:rPr>
              <w:t>0.000001</w:t>
            </w:r>
          </w:p>
        </w:tc>
        <w:tc>
          <w:tcPr>
            <w:tcW w:w="1337" w:type="dxa"/>
            <w:noWrap/>
            <w:vAlign w:val="center"/>
          </w:tcPr>
          <w:p w14:paraId="7FB21A6C">
            <w:pPr>
              <w:pStyle w:val="78"/>
              <w:rPr>
                <w:rFonts w:cs="Times New Roman"/>
                <w:szCs w:val="21"/>
              </w:rPr>
            </w:pPr>
            <w:r>
              <w:rPr>
                <w:rFonts w:cs="Times New Roman"/>
                <w:szCs w:val="21"/>
              </w:rPr>
              <w:t>0.000001</w:t>
            </w:r>
          </w:p>
        </w:tc>
        <w:tc>
          <w:tcPr>
            <w:tcW w:w="1593" w:type="dxa"/>
            <w:noWrap/>
            <w:vAlign w:val="center"/>
          </w:tcPr>
          <w:p w14:paraId="6EAC8EDA">
            <w:pPr>
              <w:pStyle w:val="78"/>
              <w:rPr>
                <w:rFonts w:cs="Times New Roman"/>
                <w:szCs w:val="21"/>
              </w:rPr>
            </w:pPr>
            <w:r>
              <w:rPr>
                <w:rFonts w:cs="Times New Roman"/>
                <w:szCs w:val="21"/>
              </w:rPr>
              <w:t>0.000001</w:t>
            </w:r>
          </w:p>
        </w:tc>
        <w:tc>
          <w:tcPr>
            <w:tcW w:w="1486" w:type="dxa"/>
            <w:noWrap/>
            <w:vAlign w:val="center"/>
          </w:tcPr>
          <w:p w14:paraId="6CF13781">
            <w:pPr>
              <w:pStyle w:val="78"/>
              <w:rPr>
                <w:rFonts w:cs="Times New Roman"/>
                <w:szCs w:val="21"/>
              </w:rPr>
            </w:pPr>
            <w:r>
              <w:rPr>
                <w:rFonts w:cs="Times New Roman"/>
                <w:szCs w:val="21"/>
              </w:rPr>
              <w:t>0.000001</w:t>
            </w:r>
          </w:p>
        </w:tc>
        <w:tc>
          <w:tcPr>
            <w:tcW w:w="1048" w:type="dxa"/>
            <w:noWrap/>
            <w:vAlign w:val="center"/>
          </w:tcPr>
          <w:p w14:paraId="7CEB48DE">
            <w:pPr>
              <w:pStyle w:val="78"/>
              <w:rPr>
                <w:rFonts w:cs="Times New Roman"/>
                <w:szCs w:val="21"/>
              </w:rPr>
            </w:pPr>
            <w:r>
              <w:rPr>
                <w:rFonts w:cs="Times New Roman"/>
                <w:szCs w:val="21"/>
              </w:rPr>
              <w:t>/</w:t>
            </w:r>
          </w:p>
        </w:tc>
        <w:tc>
          <w:tcPr>
            <w:tcW w:w="1499" w:type="dxa"/>
            <w:noWrap/>
            <w:vAlign w:val="center"/>
          </w:tcPr>
          <w:p w14:paraId="69577A56">
            <w:pPr>
              <w:pStyle w:val="78"/>
              <w:ind w:left="-444" w:leftChars="-185" w:firstLine="516" w:firstLineChars="246"/>
              <w:rPr>
                <w:rFonts w:cs="Times New Roman"/>
                <w:szCs w:val="21"/>
              </w:rPr>
            </w:pPr>
            <w:r>
              <w:rPr>
                <w:rFonts w:cs="Times New Roman"/>
                <w:szCs w:val="21"/>
              </w:rPr>
              <w:t>0.000001</w:t>
            </w:r>
          </w:p>
        </w:tc>
        <w:tc>
          <w:tcPr>
            <w:tcW w:w="1332" w:type="dxa"/>
            <w:noWrap/>
            <w:vAlign w:val="center"/>
          </w:tcPr>
          <w:p w14:paraId="5BFD21A9">
            <w:pPr>
              <w:pStyle w:val="78"/>
              <w:ind w:left="-444" w:leftChars="-185" w:firstLine="516" w:firstLineChars="246"/>
              <w:rPr>
                <w:rFonts w:cs="Times New Roman"/>
                <w:szCs w:val="21"/>
              </w:rPr>
            </w:pPr>
            <w:r>
              <w:rPr>
                <w:rFonts w:cs="Times New Roman"/>
                <w:szCs w:val="21"/>
              </w:rPr>
              <w:t>0.000001</w:t>
            </w:r>
          </w:p>
        </w:tc>
        <w:tc>
          <w:tcPr>
            <w:tcW w:w="1260" w:type="dxa"/>
            <w:noWrap/>
            <w:vAlign w:val="center"/>
          </w:tcPr>
          <w:p w14:paraId="19014A3B">
            <w:pPr>
              <w:pStyle w:val="78"/>
              <w:ind w:left="-444" w:leftChars="-185" w:firstLine="516" w:firstLineChars="246"/>
              <w:rPr>
                <w:rFonts w:cs="Times New Roman"/>
                <w:szCs w:val="21"/>
              </w:rPr>
            </w:pPr>
            <w:r>
              <w:rPr>
                <w:rFonts w:cs="Times New Roman"/>
                <w:szCs w:val="21"/>
              </w:rPr>
              <w:t>0.000001</w:t>
            </w:r>
          </w:p>
        </w:tc>
      </w:tr>
      <w:tr w14:paraId="4C16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826" w:type="dxa"/>
            <w:vAlign w:val="center"/>
          </w:tcPr>
          <w:p w14:paraId="7223A14B">
            <w:pPr>
              <w:pStyle w:val="78"/>
              <w:rPr>
                <w:rFonts w:cs="Times New Roman"/>
                <w:szCs w:val="21"/>
              </w:rPr>
            </w:pPr>
            <w:r>
              <w:rPr>
                <w:rFonts w:cs="Times New Roman"/>
                <w:szCs w:val="21"/>
              </w:rPr>
              <w:t>石油烃（C</w:t>
            </w:r>
            <w:r>
              <w:rPr>
                <w:rFonts w:cs="Times New Roman"/>
                <w:szCs w:val="21"/>
                <w:vertAlign w:val="subscript"/>
              </w:rPr>
              <w:t>10</w:t>
            </w:r>
            <w:r>
              <w:rPr>
                <w:rFonts w:cs="Times New Roman"/>
                <w:szCs w:val="21"/>
              </w:rPr>
              <w:t>-C</w:t>
            </w:r>
            <w:r>
              <w:rPr>
                <w:rFonts w:cs="Times New Roman"/>
                <w:szCs w:val="21"/>
                <w:vertAlign w:val="subscript"/>
              </w:rPr>
              <w:t>40</w:t>
            </w:r>
            <w:r>
              <w:rPr>
                <w:rFonts w:cs="Times New Roman"/>
                <w:szCs w:val="21"/>
              </w:rPr>
              <w:t>）</w:t>
            </w:r>
          </w:p>
        </w:tc>
        <w:tc>
          <w:tcPr>
            <w:tcW w:w="1337" w:type="dxa"/>
            <w:noWrap/>
            <w:vAlign w:val="center"/>
          </w:tcPr>
          <w:p w14:paraId="5BEFB55A">
            <w:pPr>
              <w:pStyle w:val="78"/>
              <w:rPr>
                <w:rFonts w:cs="Times New Roman"/>
                <w:szCs w:val="21"/>
              </w:rPr>
            </w:pPr>
            <w:r>
              <w:rPr>
                <w:rFonts w:cs="Times New Roman"/>
                <w:szCs w:val="21"/>
              </w:rPr>
              <w:t xml:space="preserve">0.0033 </w:t>
            </w:r>
          </w:p>
        </w:tc>
        <w:tc>
          <w:tcPr>
            <w:tcW w:w="1337" w:type="dxa"/>
            <w:noWrap/>
            <w:vAlign w:val="center"/>
          </w:tcPr>
          <w:p w14:paraId="160D2852">
            <w:pPr>
              <w:pStyle w:val="78"/>
              <w:rPr>
                <w:rFonts w:cs="Times New Roman"/>
                <w:szCs w:val="21"/>
              </w:rPr>
            </w:pPr>
            <w:r>
              <w:rPr>
                <w:rFonts w:cs="Times New Roman"/>
                <w:szCs w:val="21"/>
              </w:rPr>
              <w:t xml:space="preserve">0.0027 </w:t>
            </w:r>
          </w:p>
        </w:tc>
        <w:tc>
          <w:tcPr>
            <w:tcW w:w="1337" w:type="dxa"/>
            <w:noWrap/>
            <w:vAlign w:val="center"/>
          </w:tcPr>
          <w:p w14:paraId="11D0977A">
            <w:pPr>
              <w:pStyle w:val="78"/>
              <w:rPr>
                <w:rFonts w:cs="Times New Roman"/>
                <w:szCs w:val="21"/>
              </w:rPr>
            </w:pPr>
            <w:r>
              <w:rPr>
                <w:rFonts w:cs="Times New Roman"/>
                <w:szCs w:val="21"/>
              </w:rPr>
              <w:t xml:space="preserve">0.0013 </w:t>
            </w:r>
          </w:p>
        </w:tc>
        <w:tc>
          <w:tcPr>
            <w:tcW w:w="1337" w:type="dxa"/>
            <w:noWrap/>
            <w:vAlign w:val="center"/>
          </w:tcPr>
          <w:p w14:paraId="0A4FD3F4">
            <w:pPr>
              <w:pStyle w:val="78"/>
              <w:rPr>
                <w:rFonts w:cs="Times New Roman"/>
                <w:szCs w:val="21"/>
              </w:rPr>
            </w:pPr>
            <w:r>
              <w:rPr>
                <w:rFonts w:cs="Times New Roman"/>
                <w:szCs w:val="21"/>
              </w:rPr>
              <w:t xml:space="preserve">0.0018 </w:t>
            </w:r>
          </w:p>
        </w:tc>
        <w:tc>
          <w:tcPr>
            <w:tcW w:w="1430" w:type="dxa"/>
            <w:noWrap/>
            <w:vAlign w:val="center"/>
          </w:tcPr>
          <w:p w14:paraId="3382E6B2">
            <w:pPr>
              <w:pStyle w:val="78"/>
              <w:rPr>
                <w:rFonts w:cs="Times New Roman"/>
                <w:szCs w:val="21"/>
              </w:rPr>
            </w:pPr>
            <w:r>
              <w:rPr>
                <w:rFonts w:cs="Times New Roman"/>
                <w:szCs w:val="21"/>
              </w:rPr>
              <w:t xml:space="preserve">0.0020 </w:t>
            </w:r>
          </w:p>
        </w:tc>
        <w:tc>
          <w:tcPr>
            <w:tcW w:w="1337" w:type="dxa"/>
            <w:noWrap/>
            <w:vAlign w:val="center"/>
          </w:tcPr>
          <w:p w14:paraId="3FD91733">
            <w:pPr>
              <w:pStyle w:val="78"/>
              <w:rPr>
                <w:rFonts w:cs="Times New Roman"/>
                <w:szCs w:val="21"/>
              </w:rPr>
            </w:pPr>
            <w:r>
              <w:rPr>
                <w:rFonts w:cs="Times New Roman"/>
                <w:szCs w:val="21"/>
              </w:rPr>
              <w:t xml:space="preserve">0.0031 </w:t>
            </w:r>
          </w:p>
        </w:tc>
        <w:tc>
          <w:tcPr>
            <w:tcW w:w="1337" w:type="dxa"/>
            <w:noWrap/>
            <w:vAlign w:val="center"/>
          </w:tcPr>
          <w:p w14:paraId="065BE5E2">
            <w:pPr>
              <w:pStyle w:val="78"/>
              <w:rPr>
                <w:rFonts w:cs="Times New Roman"/>
                <w:szCs w:val="21"/>
              </w:rPr>
            </w:pPr>
            <w:r>
              <w:rPr>
                <w:rFonts w:cs="Times New Roman"/>
                <w:szCs w:val="21"/>
              </w:rPr>
              <w:t xml:space="preserve">0.3684 </w:t>
            </w:r>
          </w:p>
        </w:tc>
        <w:tc>
          <w:tcPr>
            <w:tcW w:w="1337" w:type="dxa"/>
            <w:noWrap/>
            <w:vAlign w:val="center"/>
          </w:tcPr>
          <w:p w14:paraId="0E8EC73A">
            <w:pPr>
              <w:pStyle w:val="78"/>
              <w:rPr>
                <w:rFonts w:cs="Times New Roman"/>
                <w:szCs w:val="21"/>
              </w:rPr>
            </w:pPr>
            <w:r>
              <w:rPr>
                <w:rFonts w:cs="Times New Roman"/>
                <w:szCs w:val="21"/>
              </w:rPr>
              <w:t xml:space="preserve">0.0018 </w:t>
            </w:r>
          </w:p>
        </w:tc>
        <w:tc>
          <w:tcPr>
            <w:tcW w:w="1593" w:type="dxa"/>
            <w:noWrap/>
            <w:vAlign w:val="center"/>
          </w:tcPr>
          <w:p w14:paraId="167DB16C">
            <w:pPr>
              <w:pStyle w:val="78"/>
              <w:rPr>
                <w:rFonts w:cs="Times New Roman"/>
                <w:szCs w:val="21"/>
              </w:rPr>
            </w:pPr>
            <w:r>
              <w:rPr>
                <w:rFonts w:cs="Times New Roman"/>
                <w:szCs w:val="21"/>
              </w:rPr>
              <w:t xml:space="preserve">0.0022 </w:t>
            </w:r>
          </w:p>
        </w:tc>
        <w:tc>
          <w:tcPr>
            <w:tcW w:w="1486" w:type="dxa"/>
            <w:noWrap/>
            <w:vAlign w:val="center"/>
          </w:tcPr>
          <w:p w14:paraId="6F0C3C4C">
            <w:pPr>
              <w:pStyle w:val="78"/>
              <w:rPr>
                <w:rFonts w:cs="Times New Roman"/>
                <w:szCs w:val="21"/>
              </w:rPr>
            </w:pPr>
            <w:r>
              <w:rPr>
                <w:rFonts w:cs="Times New Roman"/>
                <w:szCs w:val="21"/>
              </w:rPr>
              <w:t xml:space="preserve">0.0016 </w:t>
            </w:r>
          </w:p>
        </w:tc>
        <w:tc>
          <w:tcPr>
            <w:tcW w:w="1048" w:type="dxa"/>
            <w:noWrap/>
            <w:vAlign w:val="center"/>
          </w:tcPr>
          <w:p w14:paraId="43721510">
            <w:pPr>
              <w:pStyle w:val="78"/>
              <w:rPr>
                <w:rFonts w:cs="Times New Roman"/>
                <w:szCs w:val="21"/>
              </w:rPr>
            </w:pPr>
            <w:r>
              <w:rPr>
                <w:rFonts w:cs="Times New Roman"/>
                <w:szCs w:val="21"/>
              </w:rPr>
              <w:t>/</w:t>
            </w:r>
          </w:p>
        </w:tc>
        <w:tc>
          <w:tcPr>
            <w:tcW w:w="1499" w:type="dxa"/>
            <w:noWrap/>
            <w:vAlign w:val="center"/>
          </w:tcPr>
          <w:p w14:paraId="0A9EDE8F">
            <w:pPr>
              <w:pStyle w:val="78"/>
              <w:rPr>
                <w:rFonts w:cs="Times New Roman"/>
                <w:szCs w:val="21"/>
              </w:rPr>
            </w:pPr>
            <w:r>
              <w:rPr>
                <w:rFonts w:cs="Times New Roman"/>
                <w:szCs w:val="21"/>
              </w:rPr>
              <w:t xml:space="preserve">0.0024 </w:t>
            </w:r>
          </w:p>
        </w:tc>
        <w:tc>
          <w:tcPr>
            <w:tcW w:w="1332" w:type="dxa"/>
            <w:noWrap/>
            <w:vAlign w:val="center"/>
          </w:tcPr>
          <w:p w14:paraId="0BCCBBF7">
            <w:pPr>
              <w:pStyle w:val="78"/>
              <w:rPr>
                <w:rFonts w:cs="Times New Roman"/>
                <w:szCs w:val="21"/>
              </w:rPr>
            </w:pPr>
            <w:r>
              <w:rPr>
                <w:rFonts w:cs="Times New Roman"/>
                <w:szCs w:val="21"/>
              </w:rPr>
              <w:t xml:space="preserve">0.0033 </w:t>
            </w:r>
          </w:p>
        </w:tc>
        <w:tc>
          <w:tcPr>
            <w:tcW w:w="1260" w:type="dxa"/>
            <w:noWrap/>
            <w:vAlign w:val="center"/>
          </w:tcPr>
          <w:p w14:paraId="4853A60E">
            <w:pPr>
              <w:pStyle w:val="78"/>
              <w:rPr>
                <w:rFonts w:cs="Times New Roman"/>
                <w:szCs w:val="21"/>
              </w:rPr>
            </w:pPr>
            <w:r>
              <w:rPr>
                <w:rFonts w:cs="Times New Roman"/>
                <w:szCs w:val="21"/>
              </w:rPr>
              <w:t xml:space="preserve">0.0031 </w:t>
            </w:r>
          </w:p>
        </w:tc>
      </w:tr>
      <w:tr w14:paraId="65C5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6" w:type="dxa"/>
            <w:vAlign w:val="center"/>
          </w:tcPr>
          <w:p w14:paraId="0F3559B6">
            <w:pPr>
              <w:pStyle w:val="78"/>
              <w:rPr>
                <w:rFonts w:cs="Times New Roman"/>
                <w:szCs w:val="21"/>
              </w:rPr>
            </w:pPr>
            <w:r>
              <w:rPr>
                <w:rFonts w:cs="Times New Roman"/>
                <w:szCs w:val="21"/>
              </w:rPr>
              <w:t>二噁英（ng-TEQ/kg）</w:t>
            </w:r>
          </w:p>
        </w:tc>
        <w:tc>
          <w:tcPr>
            <w:tcW w:w="1337" w:type="dxa"/>
            <w:noWrap/>
            <w:vAlign w:val="center"/>
          </w:tcPr>
          <w:p w14:paraId="0CBF423C">
            <w:pPr>
              <w:pStyle w:val="78"/>
              <w:rPr>
                <w:rFonts w:cs="Times New Roman"/>
                <w:szCs w:val="21"/>
              </w:rPr>
            </w:pPr>
            <w:r>
              <w:rPr>
                <w:rFonts w:cs="Times New Roman"/>
                <w:szCs w:val="21"/>
              </w:rPr>
              <w:t xml:space="preserve">0.0015 </w:t>
            </w:r>
          </w:p>
        </w:tc>
        <w:tc>
          <w:tcPr>
            <w:tcW w:w="1337" w:type="dxa"/>
            <w:noWrap/>
            <w:vAlign w:val="center"/>
          </w:tcPr>
          <w:p w14:paraId="205CA43B">
            <w:pPr>
              <w:pStyle w:val="78"/>
              <w:rPr>
                <w:rFonts w:cs="Times New Roman"/>
                <w:szCs w:val="21"/>
              </w:rPr>
            </w:pPr>
            <w:r>
              <w:rPr>
                <w:rFonts w:cs="Times New Roman"/>
                <w:szCs w:val="21"/>
              </w:rPr>
              <w:t xml:space="preserve">0.0038 </w:t>
            </w:r>
          </w:p>
        </w:tc>
        <w:tc>
          <w:tcPr>
            <w:tcW w:w="1337" w:type="dxa"/>
            <w:noWrap/>
            <w:vAlign w:val="center"/>
          </w:tcPr>
          <w:p w14:paraId="1D153A43">
            <w:pPr>
              <w:pStyle w:val="78"/>
              <w:rPr>
                <w:rFonts w:cs="Times New Roman"/>
                <w:szCs w:val="21"/>
              </w:rPr>
            </w:pPr>
            <w:r>
              <w:rPr>
                <w:rFonts w:cs="Times New Roman"/>
                <w:szCs w:val="21"/>
              </w:rPr>
              <w:t xml:space="preserve">0.0017 </w:t>
            </w:r>
          </w:p>
        </w:tc>
        <w:tc>
          <w:tcPr>
            <w:tcW w:w="1337" w:type="dxa"/>
            <w:noWrap/>
            <w:vAlign w:val="center"/>
          </w:tcPr>
          <w:p w14:paraId="5268D31D">
            <w:pPr>
              <w:pStyle w:val="78"/>
              <w:rPr>
                <w:rFonts w:cs="Times New Roman"/>
                <w:szCs w:val="21"/>
              </w:rPr>
            </w:pPr>
            <w:r>
              <w:rPr>
                <w:rFonts w:cs="Times New Roman"/>
                <w:szCs w:val="21"/>
              </w:rPr>
              <w:t xml:space="preserve">0.0017 </w:t>
            </w:r>
          </w:p>
        </w:tc>
        <w:tc>
          <w:tcPr>
            <w:tcW w:w="1430" w:type="dxa"/>
            <w:noWrap/>
            <w:vAlign w:val="center"/>
          </w:tcPr>
          <w:p w14:paraId="1A77D0E9">
            <w:pPr>
              <w:pStyle w:val="78"/>
              <w:rPr>
                <w:rFonts w:cs="Times New Roman"/>
                <w:szCs w:val="21"/>
              </w:rPr>
            </w:pPr>
            <w:r>
              <w:rPr>
                <w:rFonts w:cs="Times New Roman"/>
                <w:szCs w:val="21"/>
              </w:rPr>
              <w:t xml:space="preserve">0.0043 </w:t>
            </w:r>
          </w:p>
        </w:tc>
        <w:tc>
          <w:tcPr>
            <w:tcW w:w="1337" w:type="dxa"/>
            <w:noWrap/>
            <w:vAlign w:val="center"/>
          </w:tcPr>
          <w:p w14:paraId="0196382A">
            <w:pPr>
              <w:pStyle w:val="78"/>
              <w:rPr>
                <w:rFonts w:cs="Times New Roman"/>
                <w:szCs w:val="21"/>
              </w:rPr>
            </w:pPr>
            <w:r>
              <w:rPr>
                <w:rFonts w:cs="Times New Roman"/>
                <w:szCs w:val="21"/>
              </w:rPr>
              <w:t xml:space="preserve">0.0021 </w:t>
            </w:r>
          </w:p>
        </w:tc>
        <w:tc>
          <w:tcPr>
            <w:tcW w:w="1337" w:type="dxa"/>
            <w:noWrap/>
            <w:vAlign w:val="center"/>
          </w:tcPr>
          <w:p w14:paraId="7AF55B9A">
            <w:pPr>
              <w:pStyle w:val="78"/>
              <w:rPr>
                <w:rFonts w:cs="Times New Roman"/>
                <w:szCs w:val="21"/>
              </w:rPr>
            </w:pPr>
            <w:r>
              <w:rPr>
                <w:rFonts w:cs="Times New Roman"/>
                <w:szCs w:val="21"/>
              </w:rPr>
              <w:t xml:space="preserve">0.0032 </w:t>
            </w:r>
          </w:p>
        </w:tc>
        <w:tc>
          <w:tcPr>
            <w:tcW w:w="1337" w:type="dxa"/>
            <w:noWrap/>
            <w:vAlign w:val="center"/>
          </w:tcPr>
          <w:p w14:paraId="31C81391">
            <w:pPr>
              <w:pStyle w:val="78"/>
              <w:rPr>
                <w:rFonts w:cs="Times New Roman"/>
                <w:szCs w:val="21"/>
              </w:rPr>
            </w:pPr>
            <w:r>
              <w:rPr>
                <w:rFonts w:cs="Times New Roman"/>
                <w:szCs w:val="21"/>
              </w:rPr>
              <w:t xml:space="preserve">0.0016 </w:t>
            </w:r>
          </w:p>
        </w:tc>
        <w:tc>
          <w:tcPr>
            <w:tcW w:w="1593" w:type="dxa"/>
            <w:noWrap/>
            <w:vAlign w:val="center"/>
          </w:tcPr>
          <w:p w14:paraId="63A360FD">
            <w:pPr>
              <w:pStyle w:val="78"/>
              <w:rPr>
                <w:rFonts w:cs="Times New Roman"/>
                <w:szCs w:val="21"/>
              </w:rPr>
            </w:pPr>
            <w:r>
              <w:rPr>
                <w:rFonts w:cs="Times New Roman"/>
                <w:szCs w:val="21"/>
              </w:rPr>
              <w:t xml:space="preserve">0.0022 </w:t>
            </w:r>
          </w:p>
        </w:tc>
        <w:tc>
          <w:tcPr>
            <w:tcW w:w="1486" w:type="dxa"/>
            <w:noWrap/>
            <w:vAlign w:val="center"/>
          </w:tcPr>
          <w:p w14:paraId="0DCCB669">
            <w:pPr>
              <w:pStyle w:val="78"/>
              <w:rPr>
                <w:rFonts w:cs="Times New Roman"/>
                <w:szCs w:val="21"/>
              </w:rPr>
            </w:pPr>
            <w:r>
              <w:rPr>
                <w:rFonts w:cs="Times New Roman"/>
                <w:szCs w:val="21"/>
              </w:rPr>
              <w:t xml:space="preserve">0.0022 </w:t>
            </w:r>
          </w:p>
        </w:tc>
        <w:tc>
          <w:tcPr>
            <w:tcW w:w="1048" w:type="dxa"/>
            <w:noWrap/>
            <w:vAlign w:val="center"/>
          </w:tcPr>
          <w:p w14:paraId="017E8E39">
            <w:pPr>
              <w:pStyle w:val="78"/>
              <w:rPr>
                <w:rFonts w:cs="Times New Roman"/>
                <w:szCs w:val="21"/>
              </w:rPr>
            </w:pPr>
            <w:r>
              <w:rPr>
                <w:rFonts w:cs="Times New Roman"/>
                <w:szCs w:val="21"/>
              </w:rPr>
              <w:t>/</w:t>
            </w:r>
          </w:p>
        </w:tc>
        <w:tc>
          <w:tcPr>
            <w:tcW w:w="1499" w:type="dxa"/>
            <w:noWrap/>
            <w:vAlign w:val="center"/>
          </w:tcPr>
          <w:p w14:paraId="6F22DD65">
            <w:pPr>
              <w:pStyle w:val="78"/>
              <w:rPr>
                <w:rFonts w:cs="Times New Roman"/>
                <w:szCs w:val="21"/>
              </w:rPr>
            </w:pPr>
            <w:r>
              <w:rPr>
                <w:rFonts w:cs="Times New Roman"/>
                <w:szCs w:val="21"/>
              </w:rPr>
              <w:t xml:space="preserve">0.0017 </w:t>
            </w:r>
          </w:p>
        </w:tc>
        <w:tc>
          <w:tcPr>
            <w:tcW w:w="1332" w:type="dxa"/>
            <w:noWrap/>
            <w:vAlign w:val="center"/>
          </w:tcPr>
          <w:p w14:paraId="279470D8">
            <w:pPr>
              <w:pStyle w:val="78"/>
              <w:rPr>
                <w:rFonts w:cs="Times New Roman"/>
                <w:szCs w:val="21"/>
              </w:rPr>
            </w:pPr>
            <w:r>
              <w:rPr>
                <w:rFonts w:cs="Times New Roman"/>
                <w:szCs w:val="21"/>
              </w:rPr>
              <w:t xml:space="preserve">0.0016 </w:t>
            </w:r>
          </w:p>
        </w:tc>
        <w:tc>
          <w:tcPr>
            <w:tcW w:w="1260" w:type="dxa"/>
            <w:noWrap/>
            <w:vAlign w:val="center"/>
          </w:tcPr>
          <w:p w14:paraId="04B9C4F2">
            <w:pPr>
              <w:pStyle w:val="78"/>
              <w:rPr>
                <w:rFonts w:cs="Times New Roman"/>
                <w:szCs w:val="21"/>
              </w:rPr>
            </w:pPr>
            <w:r>
              <w:rPr>
                <w:rFonts w:cs="Times New Roman"/>
                <w:szCs w:val="21"/>
              </w:rPr>
              <w:t xml:space="preserve">0.0020 </w:t>
            </w:r>
          </w:p>
        </w:tc>
      </w:tr>
    </w:tbl>
    <w:p w14:paraId="586C0982">
      <w:pPr>
        <w:rPr>
          <w:rFonts w:ascii="Times New Roman" w:hAnsi="Times New Roman" w:cs="Times New Roman"/>
          <w:sz w:val="21"/>
          <w:szCs w:val="21"/>
        </w:rPr>
      </w:pPr>
      <w:r>
        <w:rPr>
          <w:rFonts w:ascii="Times New Roman" w:hAnsi="Times New Roman" w:cs="Times New Roman"/>
          <w:sz w:val="21"/>
          <w:szCs w:val="21"/>
        </w:rPr>
        <w:t>注：未检出按检出限一半计；“/”表示不进行评价；“—”表示无监测数据</w:t>
      </w:r>
    </w:p>
    <w:p w14:paraId="43B59D70">
      <w:pPr>
        <w:rPr>
          <w:rFonts w:ascii="Times New Roman" w:hAnsi="Times New Roman" w:cs="Times New Roman"/>
        </w:rPr>
      </w:pPr>
    </w:p>
    <w:p w14:paraId="2965AA08">
      <w:pPr>
        <w:rPr>
          <w:rFonts w:ascii="Times New Roman" w:hAnsi="Times New Roman" w:cs="Times New Roman"/>
        </w:rPr>
      </w:pPr>
    </w:p>
    <w:p w14:paraId="3C38AE4D">
      <w:pPr>
        <w:rPr>
          <w:rFonts w:ascii="Times New Roman" w:hAnsi="Times New Roman" w:cs="Times New Roman"/>
        </w:rPr>
        <w:sectPr>
          <w:pgSz w:w="23811" w:h="16838" w:orient="landscape"/>
          <w:pgMar w:top="1701" w:right="1418" w:bottom="1701" w:left="1418" w:header="851" w:footer="992" w:gutter="0"/>
          <w:cols w:space="425" w:num="1"/>
          <w:docGrid w:linePitch="326" w:charSpace="0"/>
        </w:sectPr>
      </w:pPr>
    </w:p>
    <w:p w14:paraId="09AEB974">
      <w:pPr>
        <w:pStyle w:val="2"/>
      </w:pPr>
      <w:bookmarkStart w:id="61" w:name="_Toc210915271"/>
      <w:bookmarkStart w:id="62" w:name="_Toc200527732"/>
      <w:r>
        <w:t>排查方法</w:t>
      </w:r>
      <w:bookmarkEnd w:id="61"/>
      <w:bookmarkEnd w:id="62"/>
    </w:p>
    <w:p w14:paraId="5CDAAE0B">
      <w:pPr>
        <w:pStyle w:val="4"/>
      </w:pPr>
      <w:bookmarkStart w:id="63" w:name="_Toc200527733"/>
      <w:bookmarkStart w:id="64" w:name="_Toc210915272"/>
      <w:r>
        <w:t>资料收集</w:t>
      </w:r>
      <w:bookmarkEnd w:id="63"/>
      <w:bookmarkEnd w:id="64"/>
    </w:p>
    <w:p w14:paraId="2ADCA2CA">
      <w:pPr>
        <w:pStyle w:val="3"/>
        <w:ind w:firstLine="480"/>
      </w:pPr>
      <w:r>
        <w:t>通过部门、车间人员整理，目前我司的相关资料如下</w:t>
      </w:r>
      <w:r>
        <w:rPr>
          <w:rFonts w:hint="eastAsia"/>
        </w:rPr>
        <w:t>表</w:t>
      </w:r>
      <w:r>
        <w:t>所示：</w:t>
      </w:r>
    </w:p>
    <w:p w14:paraId="3602A529">
      <w:pPr>
        <w:pStyle w:val="14"/>
        <w:rPr>
          <w:color w:val="auto"/>
        </w:rPr>
      </w:pPr>
      <w:bookmarkStart w:id="65" w:name="_Ref195629011"/>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65"/>
      <w:r>
        <w:rPr>
          <w:color w:val="auto"/>
        </w:rPr>
        <w:t xml:space="preserve">  资料收集情况一览表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969"/>
        <w:gridCol w:w="2977"/>
      </w:tblGrid>
      <w:tr w14:paraId="5C99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401FC83C">
            <w:pPr>
              <w:pStyle w:val="78"/>
              <w:rPr>
                <w:b/>
              </w:rPr>
            </w:pPr>
            <w:r>
              <w:rPr>
                <w:b/>
              </w:rPr>
              <w:t>信息</w:t>
            </w:r>
          </w:p>
        </w:tc>
        <w:tc>
          <w:tcPr>
            <w:tcW w:w="3969" w:type="dxa"/>
            <w:vAlign w:val="center"/>
          </w:tcPr>
          <w:p w14:paraId="1E516C02">
            <w:pPr>
              <w:pStyle w:val="78"/>
              <w:rPr>
                <w:b/>
              </w:rPr>
            </w:pPr>
            <w:r>
              <w:rPr>
                <w:b/>
              </w:rPr>
              <w:t>信息项目</w:t>
            </w:r>
          </w:p>
        </w:tc>
        <w:tc>
          <w:tcPr>
            <w:tcW w:w="2977" w:type="dxa"/>
            <w:vAlign w:val="center"/>
          </w:tcPr>
          <w:p w14:paraId="34A943C5">
            <w:pPr>
              <w:pStyle w:val="78"/>
              <w:rPr>
                <w:b/>
              </w:rPr>
            </w:pPr>
            <w:r>
              <w:rPr>
                <w:b/>
              </w:rPr>
              <w:t>收集情况说明</w:t>
            </w:r>
          </w:p>
        </w:tc>
      </w:tr>
      <w:tr w14:paraId="15EF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10BAFCAA">
            <w:pPr>
              <w:pStyle w:val="78"/>
            </w:pPr>
            <w:r>
              <w:t>基本信息</w:t>
            </w:r>
          </w:p>
        </w:tc>
        <w:tc>
          <w:tcPr>
            <w:tcW w:w="3969" w:type="dxa"/>
            <w:vAlign w:val="center"/>
          </w:tcPr>
          <w:p w14:paraId="707BAD18">
            <w:pPr>
              <w:pStyle w:val="78"/>
            </w:pPr>
            <w:r>
              <w:t>企业总平面布置图及面积</w:t>
            </w:r>
          </w:p>
        </w:tc>
        <w:tc>
          <w:tcPr>
            <w:tcW w:w="2977" w:type="dxa"/>
            <w:vAlign w:val="center"/>
          </w:tcPr>
          <w:p w14:paraId="53AC596B">
            <w:pPr>
              <w:pStyle w:val="78"/>
            </w:pPr>
            <w:r>
              <w:t>已收集，详细见</w:t>
            </w:r>
            <w:r>
              <w:rPr>
                <w:rFonts w:hint="eastAsia"/>
              </w:rPr>
              <w:t>1</w:t>
            </w:r>
            <w:r>
              <w:t>.3章节</w:t>
            </w:r>
          </w:p>
        </w:tc>
      </w:tr>
      <w:tr w14:paraId="5773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1777F8ED">
            <w:pPr>
              <w:pStyle w:val="78"/>
            </w:pPr>
          </w:p>
        </w:tc>
        <w:tc>
          <w:tcPr>
            <w:tcW w:w="3969" w:type="dxa"/>
            <w:vAlign w:val="center"/>
          </w:tcPr>
          <w:p w14:paraId="709562E7">
            <w:pPr>
              <w:pStyle w:val="78"/>
            </w:pPr>
            <w:r>
              <w:t>重点设施设备分布图</w:t>
            </w:r>
          </w:p>
        </w:tc>
        <w:tc>
          <w:tcPr>
            <w:tcW w:w="2977" w:type="dxa"/>
            <w:vAlign w:val="center"/>
          </w:tcPr>
          <w:p w14:paraId="2E002AB6">
            <w:pPr>
              <w:pStyle w:val="78"/>
            </w:pPr>
            <w:r>
              <w:t>已收集，详细见</w:t>
            </w:r>
            <w:r>
              <w:rPr>
                <w:rFonts w:hint="eastAsia"/>
              </w:rPr>
              <w:t>1</w:t>
            </w:r>
            <w:r>
              <w:t>.3章节</w:t>
            </w:r>
          </w:p>
        </w:tc>
      </w:tr>
      <w:tr w14:paraId="015A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7C5475C8">
            <w:pPr>
              <w:pStyle w:val="78"/>
            </w:pPr>
          </w:p>
        </w:tc>
        <w:tc>
          <w:tcPr>
            <w:tcW w:w="3969" w:type="dxa"/>
            <w:vAlign w:val="center"/>
          </w:tcPr>
          <w:p w14:paraId="4F3777E9">
            <w:pPr>
              <w:pStyle w:val="78"/>
            </w:pPr>
            <w:r>
              <w:t>雨污管线分布图</w:t>
            </w:r>
          </w:p>
        </w:tc>
        <w:tc>
          <w:tcPr>
            <w:tcW w:w="2977" w:type="dxa"/>
            <w:vAlign w:val="center"/>
          </w:tcPr>
          <w:p w14:paraId="1E000209">
            <w:pPr>
              <w:pStyle w:val="78"/>
            </w:pPr>
            <w:r>
              <w:t>已收集，详细见</w:t>
            </w:r>
            <w:r>
              <w:rPr>
                <w:rFonts w:hint="eastAsia"/>
              </w:rPr>
              <w:t>1</w:t>
            </w:r>
            <w:r>
              <w:t>.3章节</w:t>
            </w:r>
          </w:p>
        </w:tc>
      </w:tr>
      <w:tr w14:paraId="6490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1250C185">
            <w:pPr>
              <w:pStyle w:val="78"/>
            </w:pPr>
            <w:r>
              <w:t>生产信息</w:t>
            </w:r>
          </w:p>
        </w:tc>
        <w:tc>
          <w:tcPr>
            <w:tcW w:w="3969" w:type="dxa"/>
            <w:vAlign w:val="center"/>
          </w:tcPr>
          <w:p w14:paraId="3F1CBFEB">
            <w:pPr>
              <w:pStyle w:val="78"/>
            </w:pPr>
            <w:r>
              <w:t>企业生产工艺流程图</w:t>
            </w:r>
          </w:p>
        </w:tc>
        <w:tc>
          <w:tcPr>
            <w:tcW w:w="2977" w:type="dxa"/>
            <w:vAlign w:val="center"/>
          </w:tcPr>
          <w:p w14:paraId="4CFB6CFB">
            <w:pPr>
              <w:pStyle w:val="78"/>
            </w:pPr>
            <w:r>
              <w:t>已收集，详细见2.4章节</w:t>
            </w:r>
          </w:p>
        </w:tc>
      </w:tr>
      <w:tr w14:paraId="36F6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1CCF2EC3">
            <w:pPr>
              <w:pStyle w:val="78"/>
            </w:pPr>
          </w:p>
        </w:tc>
        <w:tc>
          <w:tcPr>
            <w:tcW w:w="3969" w:type="dxa"/>
            <w:vAlign w:val="center"/>
          </w:tcPr>
          <w:p w14:paraId="5341AA08">
            <w:pPr>
              <w:pStyle w:val="78"/>
            </w:pPr>
            <w:r>
              <w:t>化学品信息，特别是有毒有害物质生产、使用、转运、储存等情况</w:t>
            </w:r>
          </w:p>
        </w:tc>
        <w:tc>
          <w:tcPr>
            <w:tcW w:w="2977" w:type="dxa"/>
            <w:vAlign w:val="center"/>
          </w:tcPr>
          <w:p w14:paraId="1924E1C8">
            <w:pPr>
              <w:pStyle w:val="78"/>
            </w:pPr>
            <w:r>
              <w:t>已收集，详细见2.5章节</w:t>
            </w:r>
          </w:p>
        </w:tc>
      </w:tr>
      <w:tr w14:paraId="068C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5BBF412">
            <w:pPr>
              <w:pStyle w:val="78"/>
            </w:pPr>
          </w:p>
        </w:tc>
        <w:tc>
          <w:tcPr>
            <w:tcW w:w="3969" w:type="dxa"/>
            <w:vAlign w:val="center"/>
          </w:tcPr>
          <w:p w14:paraId="368F10D6">
            <w:pPr>
              <w:pStyle w:val="78"/>
            </w:pPr>
            <w:r>
              <w:t>涉及化学品的相关生产设施设备防渗漏、流失、扬散设计和建设信息</w:t>
            </w:r>
          </w:p>
        </w:tc>
        <w:tc>
          <w:tcPr>
            <w:tcW w:w="2977" w:type="dxa"/>
            <w:vAlign w:val="center"/>
          </w:tcPr>
          <w:p w14:paraId="2985A15C">
            <w:pPr>
              <w:pStyle w:val="78"/>
            </w:pPr>
            <w:r>
              <w:t>已收集，详细见第4章节</w:t>
            </w:r>
          </w:p>
        </w:tc>
      </w:tr>
      <w:tr w14:paraId="5C62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44381021">
            <w:pPr>
              <w:pStyle w:val="78"/>
            </w:pPr>
          </w:p>
        </w:tc>
        <w:tc>
          <w:tcPr>
            <w:tcW w:w="3969" w:type="dxa"/>
            <w:vAlign w:val="center"/>
          </w:tcPr>
          <w:p w14:paraId="35CFA68B">
            <w:pPr>
              <w:pStyle w:val="78"/>
            </w:pPr>
            <w:r>
              <w:t>相关管理制度和台账</w:t>
            </w:r>
          </w:p>
        </w:tc>
        <w:tc>
          <w:tcPr>
            <w:tcW w:w="2977" w:type="dxa"/>
            <w:vAlign w:val="center"/>
          </w:tcPr>
          <w:p w14:paraId="7A34F331">
            <w:pPr>
              <w:pStyle w:val="78"/>
            </w:pPr>
            <w:r>
              <w:rPr>
                <w:rFonts w:hint="eastAsia"/>
              </w:rPr>
              <w:t>尚未正式生产，暂无此项</w:t>
            </w:r>
          </w:p>
        </w:tc>
      </w:tr>
      <w:tr w14:paraId="4740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70588A17">
            <w:pPr>
              <w:pStyle w:val="78"/>
            </w:pPr>
            <w:r>
              <w:t>环境管理信息</w:t>
            </w:r>
          </w:p>
        </w:tc>
        <w:tc>
          <w:tcPr>
            <w:tcW w:w="3969" w:type="dxa"/>
            <w:vAlign w:val="center"/>
          </w:tcPr>
          <w:p w14:paraId="0FB684AD">
            <w:pPr>
              <w:pStyle w:val="78"/>
            </w:pPr>
            <w:r>
              <w:t>建设项目环境影响报告书（表）</w:t>
            </w:r>
          </w:p>
        </w:tc>
        <w:tc>
          <w:tcPr>
            <w:tcW w:w="2977" w:type="dxa"/>
            <w:vAlign w:val="center"/>
          </w:tcPr>
          <w:p w14:paraId="680C9F1C">
            <w:pPr>
              <w:pStyle w:val="78"/>
            </w:pPr>
            <w:r>
              <w:rPr>
                <w:rFonts w:hint="eastAsia"/>
              </w:rPr>
              <w:t>已经收集</w:t>
            </w:r>
          </w:p>
        </w:tc>
      </w:tr>
      <w:tr w14:paraId="7781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7EA42147">
            <w:pPr>
              <w:pStyle w:val="78"/>
            </w:pPr>
          </w:p>
        </w:tc>
        <w:tc>
          <w:tcPr>
            <w:tcW w:w="3969" w:type="dxa"/>
            <w:vAlign w:val="center"/>
          </w:tcPr>
          <w:p w14:paraId="799D8E69">
            <w:pPr>
              <w:pStyle w:val="78"/>
            </w:pPr>
            <w:r>
              <w:t>竣工环保验收报告</w:t>
            </w:r>
          </w:p>
        </w:tc>
        <w:tc>
          <w:tcPr>
            <w:tcW w:w="2977" w:type="dxa"/>
            <w:vAlign w:val="center"/>
          </w:tcPr>
          <w:p w14:paraId="2C6D4875">
            <w:pPr>
              <w:pStyle w:val="78"/>
            </w:pPr>
            <w:r>
              <w:rPr>
                <w:rFonts w:hint="eastAsia"/>
              </w:rPr>
              <w:t>无此项</w:t>
            </w:r>
          </w:p>
        </w:tc>
      </w:tr>
      <w:tr w14:paraId="7926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3D5BCFDE">
            <w:pPr>
              <w:pStyle w:val="78"/>
            </w:pPr>
          </w:p>
        </w:tc>
        <w:tc>
          <w:tcPr>
            <w:tcW w:w="3969" w:type="dxa"/>
            <w:vAlign w:val="center"/>
          </w:tcPr>
          <w:p w14:paraId="064254B7">
            <w:pPr>
              <w:pStyle w:val="78"/>
            </w:pPr>
            <w:r>
              <w:t>环境影响后评价报告</w:t>
            </w:r>
          </w:p>
        </w:tc>
        <w:tc>
          <w:tcPr>
            <w:tcW w:w="2977" w:type="dxa"/>
            <w:vAlign w:val="center"/>
          </w:tcPr>
          <w:p w14:paraId="39B89486">
            <w:pPr>
              <w:pStyle w:val="78"/>
            </w:pPr>
            <w:r>
              <w:rPr>
                <w:rFonts w:hint="eastAsia"/>
              </w:rPr>
              <w:t>无此项</w:t>
            </w:r>
          </w:p>
        </w:tc>
      </w:tr>
      <w:tr w14:paraId="0BD9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7D825B33">
            <w:pPr>
              <w:pStyle w:val="78"/>
            </w:pPr>
          </w:p>
        </w:tc>
        <w:tc>
          <w:tcPr>
            <w:tcW w:w="3969" w:type="dxa"/>
            <w:vAlign w:val="center"/>
          </w:tcPr>
          <w:p w14:paraId="0CF1A293">
            <w:pPr>
              <w:pStyle w:val="78"/>
            </w:pPr>
            <w:r>
              <w:t>清洁生产报告</w:t>
            </w:r>
          </w:p>
        </w:tc>
        <w:tc>
          <w:tcPr>
            <w:tcW w:w="2977" w:type="dxa"/>
            <w:vAlign w:val="center"/>
          </w:tcPr>
          <w:p w14:paraId="2CF69C5F">
            <w:pPr>
              <w:pStyle w:val="78"/>
            </w:pPr>
            <w:r>
              <w:rPr>
                <w:rFonts w:hint="eastAsia"/>
              </w:rPr>
              <w:t>无此项</w:t>
            </w:r>
          </w:p>
        </w:tc>
      </w:tr>
      <w:tr w14:paraId="30DA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4222287D">
            <w:pPr>
              <w:pStyle w:val="78"/>
            </w:pPr>
          </w:p>
        </w:tc>
        <w:tc>
          <w:tcPr>
            <w:tcW w:w="3969" w:type="dxa"/>
            <w:vAlign w:val="center"/>
          </w:tcPr>
          <w:p w14:paraId="337817A1">
            <w:pPr>
              <w:pStyle w:val="78"/>
            </w:pPr>
            <w:r>
              <w:t>排污许可证</w:t>
            </w:r>
          </w:p>
        </w:tc>
        <w:tc>
          <w:tcPr>
            <w:tcW w:w="2977" w:type="dxa"/>
            <w:vAlign w:val="center"/>
          </w:tcPr>
          <w:p w14:paraId="212F5BA0">
            <w:pPr>
              <w:pStyle w:val="78"/>
            </w:pPr>
            <w:r>
              <w:rPr>
                <w:rFonts w:hint="eastAsia"/>
              </w:rPr>
              <w:t>已经收集</w:t>
            </w:r>
          </w:p>
        </w:tc>
      </w:tr>
      <w:tr w14:paraId="0B45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50EAA83">
            <w:pPr>
              <w:pStyle w:val="78"/>
            </w:pPr>
          </w:p>
        </w:tc>
        <w:tc>
          <w:tcPr>
            <w:tcW w:w="3969" w:type="dxa"/>
            <w:vAlign w:val="center"/>
          </w:tcPr>
          <w:p w14:paraId="3EB034E3">
            <w:pPr>
              <w:pStyle w:val="78"/>
            </w:pPr>
            <w:r>
              <w:t>环境审计报告</w:t>
            </w:r>
          </w:p>
        </w:tc>
        <w:tc>
          <w:tcPr>
            <w:tcW w:w="2977" w:type="dxa"/>
            <w:vAlign w:val="center"/>
          </w:tcPr>
          <w:p w14:paraId="08E9C561">
            <w:pPr>
              <w:pStyle w:val="78"/>
            </w:pPr>
            <w:r>
              <w:rPr>
                <w:rFonts w:hint="eastAsia"/>
              </w:rPr>
              <w:t>无此项</w:t>
            </w:r>
          </w:p>
        </w:tc>
      </w:tr>
      <w:tr w14:paraId="4D34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144318A3">
            <w:pPr>
              <w:pStyle w:val="78"/>
            </w:pPr>
          </w:p>
        </w:tc>
        <w:tc>
          <w:tcPr>
            <w:tcW w:w="3969" w:type="dxa"/>
            <w:vAlign w:val="center"/>
          </w:tcPr>
          <w:p w14:paraId="6D14D1DF">
            <w:pPr>
              <w:pStyle w:val="78"/>
            </w:pPr>
            <w:r>
              <w:t>突发环境事件风险评估报告、应急预案</w:t>
            </w:r>
          </w:p>
        </w:tc>
        <w:tc>
          <w:tcPr>
            <w:tcW w:w="2977" w:type="dxa"/>
            <w:vAlign w:val="center"/>
          </w:tcPr>
          <w:p w14:paraId="52C43BBE">
            <w:pPr>
              <w:pStyle w:val="78"/>
            </w:pPr>
            <w:r>
              <w:rPr>
                <w:rFonts w:hint="eastAsia"/>
              </w:rPr>
              <w:t>已经收集</w:t>
            </w:r>
          </w:p>
        </w:tc>
      </w:tr>
      <w:tr w14:paraId="5530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31A2A13">
            <w:pPr>
              <w:pStyle w:val="78"/>
            </w:pPr>
          </w:p>
        </w:tc>
        <w:tc>
          <w:tcPr>
            <w:tcW w:w="3969" w:type="dxa"/>
            <w:vAlign w:val="center"/>
          </w:tcPr>
          <w:p w14:paraId="3DCCE5C2">
            <w:pPr>
              <w:pStyle w:val="78"/>
            </w:pPr>
            <w:r>
              <w:t>废气、废水收集、处理及排放，固体废物产生、贮存、利用和处理处置等情况，包括相关处理、贮存设施设备防渗漏、流失、扬散设计和建设信息，相关管理制度和台账</w:t>
            </w:r>
          </w:p>
        </w:tc>
        <w:tc>
          <w:tcPr>
            <w:tcW w:w="2977" w:type="dxa"/>
            <w:vAlign w:val="center"/>
          </w:tcPr>
          <w:p w14:paraId="7897088F">
            <w:pPr>
              <w:pStyle w:val="78"/>
            </w:pPr>
            <w:r>
              <w:t>已经通过实际现场调查及相关资料，了解了废气、废水收集、处理及排放，固体废物产生、贮存、利用和处理处置等情况，包括相关处理、贮存设施设备防渗漏、流失、扬散设计和建设信息，相关管理制度</w:t>
            </w:r>
            <w:r>
              <w:rPr>
                <w:rFonts w:hint="eastAsia"/>
              </w:rPr>
              <w:t>，由于尚未正式生产，暂无台账</w:t>
            </w:r>
          </w:p>
        </w:tc>
      </w:tr>
      <w:tr w14:paraId="4B74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031992A7">
            <w:pPr>
              <w:pStyle w:val="78"/>
            </w:pPr>
          </w:p>
        </w:tc>
        <w:tc>
          <w:tcPr>
            <w:tcW w:w="3969" w:type="dxa"/>
            <w:vAlign w:val="center"/>
          </w:tcPr>
          <w:p w14:paraId="071BD156">
            <w:pPr>
              <w:pStyle w:val="78"/>
            </w:pPr>
            <w:r>
              <w:t>土壤和地下水环境调查监测数据、历史污染记录</w:t>
            </w:r>
          </w:p>
        </w:tc>
        <w:tc>
          <w:tcPr>
            <w:tcW w:w="2977" w:type="dxa"/>
            <w:vAlign w:val="center"/>
          </w:tcPr>
          <w:p w14:paraId="513A7A5A">
            <w:pPr>
              <w:pStyle w:val="78"/>
            </w:pPr>
            <w:r>
              <w:rPr>
                <w:rFonts w:hint="eastAsia"/>
              </w:rPr>
              <w:t>已经收集，详见2</w:t>
            </w:r>
            <w:r>
              <w:t>.7</w:t>
            </w:r>
            <w:r>
              <w:rPr>
                <w:rFonts w:hint="eastAsia"/>
              </w:rPr>
              <w:t>章节</w:t>
            </w:r>
          </w:p>
        </w:tc>
      </w:tr>
      <w:tr w14:paraId="1824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7A75F55D">
            <w:pPr>
              <w:pStyle w:val="78"/>
            </w:pPr>
          </w:p>
        </w:tc>
        <w:tc>
          <w:tcPr>
            <w:tcW w:w="3969" w:type="dxa"/>
            <w:vAlign w:val="center"/>
          </w:tcPr>
          <w:p w14:paraId="1A52F27D">
            <w:pPr>
              <w:pStyle w:val="78"/>
            </w:pPr>
            <w:r>
              <w:t>已有的隐患排查及整改台账</w:t>
            </w:r>
          </w:p>
        </w:tc>
        <w:tc>
          <w:tcPr>
            <w:tcW w:w="2977" w:type="dxa"/>
            <w:vAlign w:val="center"/>
          </w:tcPr>
          <w:p w14:paraId="7B2D6911">
            <w:pPr>
              <w:pStyle w:val="78"/>
            </w:pPr>
            <w:r>
              <w:rPr>
                <w:rFonts w:hint="eastAsia"/>
              </w:rPr>
              <w:t>无此项</w:t>
            </w:r>
          </w:p>
        </w:tc>
      </w:tr>
      <w:tr w14:paraId="6754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6FDA4841">
            <w:pPr>
              <w:pStyle w:val="78"/>
            </w:pPr>
            <w:r>
              <w:t>重点场所、设施设备管理情况</w:t>
            </w:r>
          </w:p>
        </w:tc>
        <w:tc>
          <w:tcPr>
            <w:tcW w:w="3969" w:type="dxa"/>
            <w:vAlign w:val="center"/>
          </w:tcPr>
          <w:p w14:paraId="2412E478">
            <w:pPr>
              <w:pStyle w:val="78"/>
            </w:pPr>
            <w:r>
              <w:t>重点设施、设备的定期维护情况</w:t>
            </w:r>
          </w:p>
        </w:tc>
        <w:tc>
          <w:tcPr>
            <w:tcW w:w="2977" w:type="dxa"/>
            <w:vAlign w:val="center"/>
          </w:tcPr>
          <w:p w14:paraId="03D39701">
            <w:pPr>
              <w:pStyle w:val="78"/>
            </w:pPr>
            <w:r>
              <w:t>已收集，详细见第4章节</w:t>
            </w:r>
          </w:p>
        </w:tc>
      </w:tr>
      <w:tr w14:paraId="72BA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B0B250F">
            <w:pPr>
              <w:pStyle w:val="78"/>
            </w:pPr>
          </w:p>
        </w:tc>
        <w:tc>
          <w:tcPr>
            <w:tcW w:w="3969" w:type="dxa"/>
            <w:vAlign w:val="center"/>
          </w:tcPr>
          <w:p w14:paraId="659976F4">
            <w:pPr>
              <w:pStyle w:val="78"/>
            </w:pPr>
            <w:r>
              <w:t>重点设施、设备操作手册以及人员培训情况</w:t>
            </w:r>
          </w:p>
        </w:tc>
        <w:tc>
          <w:tcPr>
            <w:tcW w:w="2977" w:type="dxa"/>
            <w:vAlign w:val="center"/>
          </w:tcPr>
          <w:p w14:paraId="4B756BEC">
            <w:pPr>
              <w:pStyle w:val="78"/>
            </w:pPr>
            <w:r>
              <w:t>已收集，详细见第4章节</w:t>
            </w:r>
          </w:p>
        </w:tc>
      </w:tr>
      <w:tr w14:paraId="751E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ED0A7E1">
            <w:pPr>
              <w:pStyle w:val="78"/>
            </w:pPr>
          </w:p>
        </w:tc>
        <w:tc>
          <w:tcPr>
            <w:tcW w:w="3969" w:type="dxa"/>
            <w:vAlign w:val="center"/>
          </w:tcPr>
          <w:p w14:paraId="15C52581">
            <w:pPr>
              <w:pStyle w:val="78"/>
            </w:pPr>
            <w:r>
              <w:t>重点场所的警示牌、操作规程的设定情况</w:t>
            </w:r>
          </w:p>
        </w:tc>
        <w:tc>
          <w:tcPr>
            <w:tcW w:w="2977" w:type="dxa"/>
            <w:vAlign w:val="center"/>
          </w:tcPr>
          <w:p w14:paraId="473C7345">
            <w:pPr>
              <w:pStyle w:val="78"/>
            </w:pPr>
            <w:r>
              <w:t>已收集，详细见</w:t>
            </w:r>
            <w:r>
              <w:rPr>
                <w:rFonts w:hint="eastAsia"/>
              </w:rPr>
              <w:t>附图2</w:t>
            </w:r>
          </w:p>
        </w:tc>
      </w:tr>
    </w:tbl>
    <w:p w14:paraId="1DEAD80A">
      <w:pPr>
        <w:pStyle w:val="4"/>
      </w:pPr>
      <w:bookmarkStart w:id="66" w:name="_Toc200527734"/>
      <w:bookmarkStart w:id="67" w:name="_Toc210915273"/>
      <w:r>
        <w:t>人员访谈</w:t>
      </w:r>
      <w:bookmarkEnd w:id="66"/>
      <w:bookmarkEnd w:id="67"/>
    </w:p>
    <w:p w14:paraId="04273867">
      <w:pPr>
        <w:pStyle w:val="3"/>
        <w:ind w:firstLine="480"/>
      </w:pPr>
      <w:r>
        <w:t>为更加详实的了解公司的实际生产及管理情况，通过与各生产车间主要负责人员、环保管理人员以及主要工程技术人员进行访谈，补充了解了企业生产、环境管理等相关信息，包括设施设备运行管理情况，固体废物管理、化学品泄漏、环境应急物资储备等情况。</w:t>
      </w:r>
      <w:r>
        <w:rPr>
          <w:rFonts w:hint="eastAsia"/>
        </w:rPr>
        <w:t>根据人员访谈记录结果，东粤化学现有管道、堆场等均为企业新建设施，尚未通过环保竣工验收，未正式投入运营，场地内无任何历史管道、堆场等工业设施。</w:t>
      </w:r>
    </w:p>
    <w:p w14:paraId="6A6A6FAB">
      <w:pPr>
        <w:pStyle w:val="5"/>
        <w:rPr>
          <w:color w:val="auto"/>
        </w:rPr>
      </w:pPr>
      <w:r>
        <w:rPr>
          <w:color w:val="auto"/>
        </w:rPr>
        <w:t>安全生产及环境管理机构设置</w:t>
      </w:r>
    </w:p>
    <w:p w14:paraId="0E00E154">
      <w:pPr>
        <w:pStyle w:val="3"/>
        <w:ind w:firstLine="480"/>
      </w:pPr>
      <w:r>
        <w:t>公司设置有安环部，具体人员名</w:t>
      </w:r>
      <w:r>
        <w:rPr>
          <w:rFonts w:hint="eastAsia"/>
        </w:rPr>
        <w:t>单</w:t>
      </w:r>
      <w:r>
        <w:t>如下表，负责公司的日常安全与环保管理工作，制定环保管理制度及环保考核制度等。为了规范企业内部环保工作，使环保工作能够顺利稳定，公司结合自身实际情况制定了一系列环保管理规章制度，并编制形成环境保护制度，其中包括教育培训制度、岗位操作规程、消防安全管理制度、安全巡查制度、危险废物管理制度、污水处理、废气治理设施岗位职责等。各项制度明确了企业环保机构与职责，落实了各项环保设施的运行管理职责和要求。</w:t>
      </w:r>
    </w:p>
    <w:p w14:paraId="63059E32">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安环部人员表职责情况</w:t>
      </w:r>
    </w:p>
    <w:tbl>
      <w:tblPr>
        <w:tblStyle w:val="42"/>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7"/>
        <w:gridCol w:w="6560"/>
      </w:tblGrid>
      <w:tr w14:paraId="20AF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77" w:type="dxa"/>
          </w:tcPr>
          <w:p w14:paraId="29EC6B59">
            <w:pPr>
              <w:pStyle w:val="78"/>
              <w:rPr>
                <w:b/>
              </w:rPr>
            </w:pPr>
            <w:r>
              <w:rPr>
                <w:b/>
              </w:rPr>
              <w:t>姓名</w:t>
            </w:r>
          </w:p>
        </w:tc>
        <w:tc>
          <w:tcPr>
            <w:tcW w:w="6560" w:type="dxa"/>
          </w:tcPr>
          <w:p w14:paraId="6DDF0AD3">
            <w:pPr>
              <w:pStyle w:val="78"/>
              <w:rPr>
                <w:b/>
              </w:rPr>
            </w:pPr>
            <w:r>
              <w:rPr>
                <w:b/>
              </w:rPr>
              <w:t>职责</w:t>
            </w:r>
          </w:p>
        </w:tc>
      </w:tr>
      <w:tr w14:paraId="78C3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77" w:type="dxa"/>
          </w:tcPr>
          <w:p w14:paraId="115CBBB4">
            <w:pPr>
              <w:pStyle w:val="78"/>
            </w:pPr>
            <w:r>
              <w:rPr>
                <w:rFonts w:hint="eastAsia"/>
              </w:rPr>
              <w:t>何泳梅</w:t>
            </w:r>
          </w:p>
        </w:tc>
        <w:tc>
          <w:tcPr>
            <w:tcW w:w="6560" w:type="dxa"/>
          </w:tcPr>
          <w:p w14:paraId="2D999A5F">
            <w:pPr>
              <w:pStyle w:val="78"/>
            </w:pPr>
            <w:r>
              <w:rPr>
                <w:rFonts w:hint="eastAsia"/>
              </w:rPr>
              <w:t>负责审核、提报公司安全专业计划，确保安全计划准确等</w:t>
            </w:r>
          </w:p>
        </w:tc>
      </w:tr>
      <w:tr w14:paraId="7835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977" w:type="dxa"/>
          </w:tcPr>
          <w:p w14:paraId="59F672F4">
            <w:pPr>
              <w:pStyle w:val="78"/>
            </w:pPr>
            <w:r>
              <w:rPr>
                <w:rFonts w:hint="eastAsia"/>
              </w:rPr>
              <w:t>窦学智</w:t>
            </w:r>
          </w:p>
        </w:tc>
        <w:tc>
          <w:tcPr>
            <w:tcW w:w="6560" w:type="dxa"/>
          </w:tcPr>
          <w:p w14:paraId="5EA4ED6E">
            <w:pPr>
              <w:pStyle w:val="78"/>
            </w:pPr>
            <w:r>
              <w:rPr>
                <w:rFonts w:hint="eastAsia"/>
              </w:rPr>
              <w:t>组织制定本部门相关制度与工作流程，并组织、协调、监督相关制度和流程的落实情况等</w:t>
            </w:r>
          </w:p>
        </w:tc>
      </w:tr>
      <w:tr w14:paraId="382A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77" w:type="dxa"/>
          </w:tcPr>
          <w:p w14:paraId="250ACDAD">
            <w:pPr>
              <w:pStyle w:val="78"/>
            </w:pPr>
            <w:r>
              <w:rPr>
                <w:rFonts w:hint="eastAsia"/>
              </w:rPr>
              <w:t>刘宝福</w:t>
            </w:r>
          </w:p>
        </w:tc>
        <w:tc>
          <w:tcPr>
            <w:tcW w:w="6560" w:type="dxa"/>
          </w:tcPr>
          <w:p w14:paraId="2A8129BC">
            <w:pPr>
              <w:pStyle w:val="78"/>
            </w:pPr>
            <w:r>
              <w:rPr>
                <w:rFonts w:hint="eastAsia"/>
              </w:rPr>
              <w:t>合规性管理、重大危险源管理、消防、应急管理等</w:t>
            </w:r>
          </w:p>
        </w:tc>
      </w:tr>
      <w:tr w14:paraId="3291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77" w:type="dxa"/>
          </w:tcPr>
          <w:p w14:paraId="39D7D2C5">
            <w:pPr>
              <w:pStyle w:val="78"/>
            </w:pPr>
            <w:r>
              <w:rPr>
                <w:rFonts w:hint="eastAsia"/>
              </w:rPr>
              <w:t>王金虎</w:t>
            </w:r>
          </w:p>
        </w:tc>
        <w:tc>
          <w:tcPr>
            <w:tcW w:w="6560" w:type="dxa"/>
          </w:tcPr>
          <w:p w14:paraId="27BDAC8E">
            <w:pPr>
              <w:pStyle w:val="78"/>
            </w:pPr>
            <w:r>
              <w:rPr>
                <w:rFonts w:hint="eastAsia"/>
              </w:rPr>
              <w:t>负责制定各项安全规章制度，为制度化管理提供保障和依据等</w:t>
            </w:r>
          </w:p>
        </w:tc>
      </w:tr>
      <w:tr w14:paraId="0740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77" w:type="dxa"/>
          </w:tcPr>
          <w:p w14:paraId="2A33682D">
            <w:pPr>
              <w:pStyle w:val="78"/>
            </w:pPr>
            <w:r>
              <w:rPr>
                <w:rFonts w:hint="eastAsia"/>
              </w:rPr>
              <w:t>孙艺伟</w:t>
            </w:r>
          </w:p>
        </w:tc>
        <w:tc>
          <w:tcPr>
            <w:tcW w:w="6560" w:type="dxa"/>
          </w:tcPr>
          <w:p w14:paraId="11305BD8">
            <w:pPr>
              <w:pStyle w:val="78"/>
            </w:pPr>
            <w:r>
              <w:rPr>
                <w:rFonts w:hint="eastAsia"/>
              </w:rPr>
              <w:t>负责及时识别、获取各级政府下发的安全文件，公司变更综合管理等</w:t>
            </w:r>
          </w:p>
        </w:tc>
      </w:tr>
      <w:tr w14:paraId="7935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977" w:type="dxa"/>
          </w:tcPr>
          <w:p w14:paraId="632B64A1">
            <w:pPr>
              <w:pStyle w:val="78"/>
            </w:pPr>
            <w:r>
              <w:rPr>
                <w:rFonts w:hint="eastAsia"/>
              </w:rPr>
              <w:t>黄楚鹏</w:t>
            </w:r>
          </w:p>
        </w:tc>
        <w:tc>
          <w:tcPr>
            <w:tcW w:w="6560" w:type="dxa"/>
          </w:tcPr>
          <w:p w14:paraId="12C0602A">
            <w:pPr>
              <w:pStyle w:val="78"/>
            </w:pPr>
            <w:r>
              <w:rPr>
                <w:rFonts w:hint="eastAsia"/>
              </w:rPr>
              <w:t>负责组织政府下发文件要求的各类工作，根据各级政府下发的文件，结合公司实际情况，组织相关工作</w:t>
            </w:r>
          </w:p>
        </w:tc>
      </w:tr>
      <w:tr w14:paraId="614D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77" w:type="dxa"/>
          </w:tcPr>
          <w:p w14:paraId="2860077A">
            <w:pPr>
              <w:pStyle w:val="78"/>
            </w:pPr>
            <w:r>
              <w:rPr>
                <w:rFonts w:hint="eastAsia"/>
              </w:rPr>
              <w:t>林少锋</w:t>
            </w:r>
          </w:p>
        </w:tc>
        <w:tc>
          <w:tcPr>
            <w:tcW w:w="6560" w:type="dxa"/>
          </w:tcPr>
          <w:p w14:paraId="070B8DD8">
            <w:pPr>
              <w:pStyle w:val="78"/>
            </w:pPr>
            <w:r>
              <w:rPr>
                <w:rFonts w:hint="eastAsia"/>
              </w:rPr>
              <w:t>负责制定各项环保规章制度，环境污染防治管理等</w:t>
            </w:r>
          </w:p>
        </w:tc>
      </w:tr>
    </w:tbl>
    <w:p w14:paraId="14CB0A97">
      <w:pPr>
        <w:rPr>
          <w:rFonts w:hint="eastAsia"/>
        </w:rPr>
      </w:pPr>
    </w:p>
    <w:p w14:paraId="33928473">
      <w:pPr>
        <w:pStyle w:val="5"/>
        <w:rPr>
          <w:color w:val="auto"/>
        </w:rPr>
      </w:pPr>
      <w:r>
        <w:rPr>
          <w:color w:val="auto"/>
        </w:rPr>
        <w:t>环境管理制度及安全生产制度</w:t>
      </w:r>
    </w:p>
    <w:p w14:paraId="4FD5AA74">
      <w:pPr>
        <w:pStyle w:val="3"/>
        <w:ind w:firstLine="480"/>
      </w:pPr>
      <w:r>
        <w:rPr>
          <w:rFonts w:hint="eastAsia"/>
        </w:rPr>
        <w:t>公司为确保生产安全，制定了一系列环境管理制度及安全生产制度，包括一般作业管理规定、生产安全事故应急管理规定、生产安全事故事件管理规定、安全设施管理规定等，详细制度文件清单见附图3。</w:t>
      </w:r>
    </w:p>
    <w:p w14:paraId="5C74B7A8">
      <w:pPr>
        <w:pStyle w:val="4"/>
      </w:pPr>
      <w:bookmarkStart w:id="68" w:name="_Toc200527735"/>
      <w:bookmarkStart w:id="69" w:name="_Toc210915274"/>
      <w:r>
        <w:t>重点设施设备</w:t>
      </w:r>
      <w:bookmarkEnd w:id="68"/>
      <w:bookmarkEnd w:id="69"/>
    </w:p>
    <w:p w14:paraId="07FF1C58">
      <w:pPr>
        <w:pStyle w:val="3"/>
        <w:ind w:firstLine="480"/>
      </w:pPr>
      <w:r>
        <w:t>参考《土壤污染隐患排查技术指南（试行）》（2021年第1号）表2，可识别涉及有毒有害的场所或重点设施设备，编制土壤污染隐患重点场所、重点设施设备清单，若邻近的多个重点设施设备防渗漏、流失、扬散的要求相同，可合并为一个重点场所。</w:t>
      </w:r>
    </w:p>
    <w:p w14:paraId="527505D7">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有潜在土壤污染隐患的重点场所一览表</w:t>
      </w:r>
    </w:p>
    <w:tbl>
      <w:tblPr>
        <w:tblStyle w:val="42"/>
        <w:tblW w:w="8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43"/>
        <w:gridCol w:w="5954"/>
      </w:tblGrid>
      <w:tr w14:paraId="2A6C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AC17084">
            <w:pPr>
              <w:pStyle w:val="78"/>
            </w:pPr>
            <w:r>
              <w:t>序号</w:t>
            </w:r>
          </w:p>
        </w:tc>
        <w:tc>
          <w:tcPr>
            <w:tcW w:w="1843" w:type="dxa"/>
            <w:vAlign w:val="center"/>
          </w:tcPr>
          <w:p w14:paraId="6A066559">
            <w:pPr>
              <w:pStyle w:val="78"/>
            </w:pPr>
            <w:r>
              <w:t>涉及工业活动</w:t>
            </w:r>
          </w:p>
        </w:tc>
        <w:tc>
          <w:tcPr>
            <w:tcW w:w="5954" w:type="dxa"/>
            <w:vAlign w:val="center"/>
          </w:tcPr>
          <w:p w14:paraId="126AE8AB">
            <w:pPr>
              <w:pStyle w:val="78"/>
            </w:pPr>
            <w:r>
              <w:t>重点场所或者重点设施设备</w:t>
            </w:r>
          </w:p>
        </w:tc>
      </w:tr>
      <w:tr w14:paraId="6784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352317D">
            <w:pPr>
              <w:pStyle w:val="78"/>
            </w:pPr>
            <w:r>
              <w:t>1</w:t>
            </w:r>
          </w:p>
        </w:tc>
        <w:tc>
          <w:tcPr>
            <w:tcW w:w="1843" w:type="dxa"/>
            <w:vAlign w:val="center"/>
          </w:tcPr>
          <w:p w14:paraId="234155BD">
            <w:pPr>
              <w:pStyle w:val="78"/>
            </w:pPr>
            <w:r>
              <w:t>液体储存</w:t>
            </w:r>
          </w:p>
        </w:tc>
        <w:tc>
          <w:tcPr>
            <w:tcW w:w="5954" w:type="dxa"/>
            <w:vAlign w:val="center"/>
          </w:tcPr>
          <w:p w14:paraId="1C82F886">
            <w:pPr>
              <w:pStyle w:val="78"/>
            </w:pPr>
            <w:r>
              <w:rPr>
                <w:rFonts w:hint="eastAsia"/>
              </w:rPr>
              <w:t>球罐组、初期雨水收集池、化学品仓库、危废库、除盐水站加药间</w:t>
            </w:r>
          </w:p>
        </w:tc>
      </w:tr>
      <w:tr w14:paraId="7DC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F2DD4FC">
            <w:pPr>
              <w:pStyle w:val="78"/>
            </w:pPr>
            <w:r>
              <w:rPr>
                <w:rFonts w:hint="eastAsia"/>
              </w:rPr>
              <w:t>2</w:t>
            </w:r>
          </w:p>
        </w:tc>
        <w:tc>
          <w:tcPr>
            <w:tcW w:w="1843" w:type="dxa"/>
            <w:vAlign w:val="center"/>
          </w:tcPr>
          <w:p w14:paraId="4C50C653">
            <w:pPr>
              <w:pStyle w:val="78"/>
            </w:pPr>
            <w:r>
              <w:t>散装液体转运与厂区储存</w:t>
            </w:r>
          </w:p>
        </w:tc>
        <w:tc>
          <w:tcPr>
            <w:tcW w:w="5954" w:type="dxa"/>
            <w:vAlign w:val="center"/>
          </w:tcPr>
          <w:p w14:paraId="51D544E1">
            <w:pPr>
              <w:pStyle w:val="78"/>
            </w:pPr>
            <w:r>
              <w:rPr>
                <w:rFonts w:hint="eastAsia"/>
              </w:rPr>
              <w:t>物料管廊、球罐组泵区、装卸车设施、产品运送至球罐区过程</w:t>
            </w:r>
          </w:p>
        </w:tc>
      </w:tr>
      <w:tr w14:paraId="547E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4652E7F">
            <w:pPr>
              <w:pStyle w:val="78"/>
            </w:pPr>
            <w:r>
              <w:rPr>
                <w:rFonts w:hint="eastAsia"/>
              </w:rPr>
              <w:t>3</w:t>
            </w:r>
          </w:p>
        </w:tc>
        <w:tc>
          <w:tcPr>
            <w:tcW w:w="1843" w:type="dxa"/>
            <w:vAlign w:val="center"/>
          </w:tcPr>
          <w:p w14:paraId="48B5A683">
            <w:pPr>
              <w:pStyle w:val="78"/>
            </w:pPr>
            <w:r>
              <w:t>货物的储存和转运</w:t>
            </w:r>
          </w:p>
        </w:tc>
        <w:tc>
          <w:tcPr>
            <w:tcW w:w="5954" w:type="dxa"/>
            <w:vAlign w:val="center"/>
          </w:tcPr>
          <w:p w14:paraId="7BC1CA66">
            <w:pPr>
              <w:pStyle w:val="78"/>
            </w:pPr>
            <w:r>
              <w:t>化学品原料运输到生产</w:t>
            </w:r>
            <w:r>
              <w:rPr>
                <w:rFonts w:hint="eastAsia"/>
              </w:rPr>
              <w:t>区域</w:t>
            </w:r>
            <w:r>
              <w:t>过程</w:t>
            </w:r>
            <w:r>
              <w:rPr>
                <w:rFonts w:hint="eastAsia"/>
              </w:rPr>
              <w:t>、危险废物转运至危废库过程</w:t>
            </w:r>
          </w:p>
        </w:tc>
      </w:tr>
      <w:tr w14:paraId="46F1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B574AE6">
            <w:pPr>
              <w:pStyle w:val="78"/>
            </w:pPr>
            <w:r>
              <w:rPr>
                <w:rFonts w:hint="eastAsia"/>
              </w:rPr>
              <w:t>4</w:t>
            </w:r>
          </w:p>
        </w:tc>
        <w:tc>
          <w:tcPr>
            <w:tcW w:w="1843" w:type="dxa"/>
            <w:vAlign w:val="center"/>
          </w:tcPr>
          <w:p w14:paraId="7EE10D40">
            <w:pPr>
              <w:pStyle w:val="78"/>
            </w:pPr>
            <w:r>
              <w:t>生产区</w:t>
            </w:r>
          </w:p>
        </w:tc>
        <w:tc>
          <w:tcPr>
            <w:tcW w:w="5954" w:type="dxa"/>
            <w:vAlign w:val="center"/>
          </w:tcPr>
          <w:p w14:paraId="1AC65D31">
            <w:pPr>
              <w:pStyle w:val="78"/>
            </w:pPr>
            <w:r>
              <w:rPr>
                <w:rFonts w:hint="eastAsia"/>
              </w:rPr>
              <w:t>原料化单元、裂解单元</w:t>
            </w:r>
          </w:p>
        </w:tc>
      </w:tr>
      <w:tr w14:paraId="076A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A408D3C">
            <w:pPr>
              <w:pStyle w:val="78"/>
            </w:pPr>
            <w:r>
              <w:rPr>
                <w:rFonts w:hint="eastAsia"/>
              </w:rPr>
              <w:t>5</w:t>
            </w:r>
          </w:p>
        </w:tc>
        <w:tc>
          <w:tcPr>
            <w:tcW w:w="1843" w:type="dxa"/>
            <w:vAlign w:val="center"/>
          </w:tcPr>
          <w:p w14:paraId="29771A3A">
            <w:pPr>
              <w:pStyle w:val="78"/>
            </w:pPr>
            <w:r>
              <w:t>其他活动</w:t>
            </w:r>
          </w:p>
        </w:tc>
        <w:tc>
          <w:tcPr>
            <w:tcW w:w="5954" w:type="dxa"/>
            <w:vAlign w:val="center"/>
          </w:tcPr>
          <w:p w14:paraId="5935FE55">
            <w:pPr>
              <w:pStyle w:val="78"/>
            </w:pPr>
            <w:r>
              <w:t>废水排水系统、应急收集系统（</w:t>
            </w:r>
            <w:r>
              <w:rPr>
                <w:rFonts w:hint="eastAsia"/>
              </w:rPr>
              <w:t>事故水池、</w:t>
            </w:r>
            <w:r>
              <w:t>事故管网系统）、分析</w:t>
            </w:r>
            <w:r>
              <w:rPr>
                <w:rFonts w:hint="eastAsia"/>
              </w:rPr>
              <w:t>化验</w:t>
            </w:r>
            <w:r>
              <w:t>室</w:t>
            </w:r>
            <w:r>
              <w:rPr>
                <w:rFonts w:hint="eastAsia"/>
              </w:rPr>
              <w:t>、一般工业固体废物库、危废库</w:t>
            </w:r>
          </w:p>
        </w:tc>
      </w:tr>
    </w:tbl>
    <w:p w14:paraId="05C9A372">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 xml:space="preserve">  重点设施设备一览表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640"/>
        <w:gridCol w:w="3710"/>
        <w:gridCol w:w="1444"/>
      </w:tblGrid>
      <w:tr w14:paraId="5626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1FBE3A0">
            <w:pPr>
              <w:pStyle w:val="78"/>
            </w:pPr>
            <w:r>
              <w:rPr>
                <w:rFonts w:hint="eastAsia"/>
              </w:rPr>
              <w:t>序号</w:t>
            </w:r>
          </w:p>
        </w:tc>
        <w:tc>
          <w:tcPr>
            <w:tcW w:w="1549" w:type="pct"/>
            <w:vAlign w:val="center"/>
          </w:tcPr>
          <w:p w14:paraId="77584FC2">
            <w:pPr>
              <w:pStyle w:val="78"/>
            </w:pPr>
            <w:r>
              <w:rPr>
                <w:rFonts w:hint="eastAsia"/>
              </w:rPr>
              <w:t>设备名称</w:t>
            </w:r>
          </w:p>
        </w:tc>
        <w:tc>
          <w:tcPr>
            <w:tcW w:w="2177" w:type="pct"/>
            <w:vAlign w:val="center"/>
          </w:tcPr>
          <w:p w14:paraId="11F8AF21">
            <w:pPr>
              <w:pStyle w:val="78"/>
            </w:pPr>
            <w:r>
              <w:rPr>
                <w:rFonts w:hint="eastAsia"/>
              </w:rPr>
              <w:t>规格</w:t>
            </w:r>
          </w:p>
        </w:tc>
        <w:tc>
          <w:tcPr>
            <w:tcW w:w="847" w:type="pct"/>
            <w:vAlign w:val="center"/>
          </w:tcPr>
          <w:p w14:paraId="0C633CF7">
            <w:pPr>
              <w:pStyle w:val="78"/>
            </w:pPr>
            <w:r>
              <w:rPr>
                <w:rFonts w:hint="eastAsia"/>
              </w:rPr>
              <w:t>设备数量（条/台）</w:t>
            </w:r>
          </w:p>
        </w:tc>
      </w:tr>
      <w:tr w14:paraId="291F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CB58EC0">
            <w:pPr>
              <w:pStyle w:val="78"/>
            </w:pPr>
            <w:r>
              <w:rPr>
                <w:rFonts w:hint="eastAsia"/>
              </w:rPr>
              <w:t>一</w:t>
            </w:r>
          </w:p>
        </w:tc>
        <w:tc>
          <w:tcPr>
            <w:tcW w:w="4573" w:type="pct"/>
            <w:gridSpan w:val="3"/>
            <w:vAlign w:val="center"/>
          </w:tcPr>
          <w:p w14:paraId="7C321A16">
            <w:pPr>
              <w:pStyle w:val="78"/>
            </w:pPr>
            <w:r>
              <w:rPr>
                <w:rFonts w:hint="eastAsia"/>
              </w:rPr>
              <w:t>原料化单元</w:t>
            </w:r>
          </w:p>
        </w:tc>
      </w:tr>
      <w:tr w14:paraId="5799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2884DA2">
            <w:pPr>
              <w:pStyle w:val="78"/>
              <w:rPr>
                <w:rFonts w:eastAsia="黑体" w:cs="Times New Roman"/>
              </w:rPr>
            </w:pPr>
            <w:r>
              <w:rPr>
                <w:rFonts w:eastAsia="黑体" w:cs="Times New Roman"/>
              </w:rPr>
              <w:t>1</w:t>
            </w:r>
          </w:p>
        </w:tc>
        <w:tc>
          <w:tcPr>
            <w:tcW w:w="1549" w:type="pct"/>
            <w:vAlign w:val="center"/>
          </w:tcPr>
          <w:p w14:paraId="02172502">
            <w:pPr>
              <w:pStyle w:val="78"/>
            </w:pPr>
            <w:r>
              <w:rPr>
                <w:rFonts w:hint="eastAsia"/>
              </w:rPr>
              <w:t>生活塑料拆包机</w:t>
            </w:r>
          </w:p>
        </w:tc>
        <w:tc>
          <w:tcPr>
            <w:tcW w:w="2177" w:type="pct"/>
            <w:vAlign w:val="center"/>
          </w:tcPr>
          <w:p w14:paraId="4CF37972">
            <w:pPr>
              <w:pStyle w:val="78"/>
            </w:pPr>
            <w:r>
              <w:rPr>
                <w:rFonts w:hint="eastAsia"/>
              </w:rPr>
              <w:t>含拆包机、上料皮带、去绳机构、抽绳机构、打散机构</w:t>
            </w:r>
          </w:p>
        </w:tc>
        <w:tc>
          <w:tcPr>
            <w:tcW w:w="847" w:type="pct"/>
            <w:vAlign w:val="center"/>
          </w:tcPr>
          <w:p w14:paraId="3386DB57">
            <w:pPr>
              <w:pStyle w:val="78"/>
              <w:rPr>
                <w:rFonts w:eastAsia="黑体" w:cs="Times New Roman"/>
              </w:rPr>
            </w:pPr>
            <w:r>
              <w:rPr>
                <w:rFonts w:eastAsia="黑体" w:cs="Times New Roman"/>
              </w:rPr>
              <w:t>6</w:t>
            </w:r>
          </w:p>
        </w:tc>
      </w:tr>
      <w:tr w14:paraId="4B36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3780038">
            <w:pPr>
              <w:pStyle w:val="78"/>
              <w:rPr>
                <w:rFonts w:eastAsia="黑体" w:cs="Times New Roman"/>
              </w:rPr>
            </w:pPr>
            <w:r>
              <w:rPr>
                <w:rFonts w:eastAsia="黑体" w:cs="Times New Roman"/>
              </w:rPr>
              <w:t>2</w:t>
            </w:r>
          </w:p>
        </w:tc>
        <w:tc>
          <w:tcPr>
            <w:tcW w:w="1549" w:type="pct"/>
            <w:vAlign w:val="center"/>
          </w:tcPr>
          <w:p w14:paraId="1DAD2D2D">
            <w:pPr>
              <w:pStyle w:val="78"/>
            </w:pPr>
            <w:r>
              <w:rPr>
                <w:rFonts w:hint="eastAsia"/>
              </w:rPr>
              <w:t>生活塑料撕碎机进料输送机</w:t>
            </w:r>
          </w:p>
        </w:tc>
        <w:tc>
          <w:tcPr>
            <w:tcW w:w="2177" w:type="pct"/>
            <w:vAlign w:val="center"/>
          </w:tcPr>
          <w:p w14:paraId="17AAE01B">
            <w:pPr>
              <w:pStyle w:val="78"/>
            </w:pPr>
            <w:r>
              <w:rPr>
                <w:rFonts w:hint="eastAsia"/>
              </w:rPr>
              <w:t>含皮带机、磁选机、拨料辊</w:t>
            </w:r>
          </w:p>
        </w:tc>
        <w:tc>
          <w:tcPr>
            <w:tcW w:w="847" w:type="pct"/>
            <w:vAlign w:val="center"/>
          </w:tcPr>
          <w:p w14:paraId="11642D99">
            <w:pPr>
              <w:pStyle w:val="78"/>
              <w:rPr>
                <w:rFonts w:eastAsia="黑体" w:cs="Times New Roman"/>
              </w:rPr>
            </w:pPr>
            <w:r>
              <w:rPr>
                <w:rFonts w:eastAsia="黑体" w:cs="Times New Roman"/>
              </w:rPr>
              <w:t>6</w:t>
            </w:r>
          </w:p>
        </w:tc>
      </w:tr>
      <w:tr w14:paraId="67B4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38A034E">
            <w:pPr>
              <w:pStyle w:val="78"/>
              <w:rPr>
                <w:rFonts w:eastAsia="黑体" w:cs="Times New Roman"/>
              </w:rPr>
            </w:pPr>
            <w:r>
              <w:rPr>
                <w:rFonts w:eastAsia="黑体" w:cs="Times New Roman"/>
              </w:rPr>
              <w:t>3</w:t>
            </w:r>
          </w:p>
        </w:tc>
        <w:tc>
          <w:tcPr>
            <w:tcW w:w="1549" w:type="pct"/>
            <w:vAlign w:val="center"/>
          </w:tcPr>
          <w:p w14:paraId="10ADB6C2">
            <w:pPr>
              <w:pStyle w:val="78"/>
            </w:pPr>
            <w:r>
              <w:rPr>
                <w:rFonts w:hint="eastAsia"/>
              </w:rPr>
              <w:t>生活塑料撕碎机</w:t>
            </w:r>
          </w:p>
        </w:tc>
        <w:tc>
          <w:tcPr>
            <w:tcW w:w="2177" w:type="pct"/>
            <w:vAlign w:val="center"/>
          </w:tcPr>
          <w:p w14:paraId="7348E7D9">
            <w:pPr>
              <w:pStyle w:val="78"/>
            </w:pPr>
            <w:r>
              <w:rPr>
                <w:rFonts w:hint="eastAsia"/>
              </w:rPr>
              <w:t>含主机、液压站、出料皮带</w:t>
            </w:r>
          </w:p>
        </w:tc>
        <w:tc>
          <w:tcPr>
            <w:tcW w:w="847" w:type="pct"/>
            <w:vAlign w:val="center"/>
          </w:tcPr>
          <w:p w14:paraId="4EF35296">
            <w:pPr>
              <w:pStyle w:val="78"/>
              <w:rPr>
                <w:rFonts w:eastAsia="黑体" w:cs="Times New Roman"/>
              </w:rPr>
            </w:pPr>
            <w:r>
              <w:rPr>
                <w:rFonts w:eastAsia="黑体" w:cs="Times New Roman"/>
              </w:rPr>
              <w:t>6</w:t>
            </w:r>
          </w:p>
        </w:tc>
      </w:tr>
      <w:tr w14:paraId="2B3E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65259A8">
            <w:pPr>
              <w:pStyle w:val="78"/>
              <w:rPr>
                <w:rFonts w:eastAsia="黑体" w:cs="Times New Roman"/>
              </w:rPr>
            </w:pPr>
            <w:r>
              <w:rPr>
                <w:rFonts w:eastAsia="黑体" w:cs="Times New Roman"/>
              </w:rPr>
              <w:t>4</w:t>
            </w:r>
          </w:p>
        </w:tc>
        <w:tc>
          <w:tcPr>
            <w:tcW w:w="1549" w:type="pct"/>
            <w:vAlign w:val="center"/>
          </w:tcPr>
          <w:p w14:paraId="204627DF">
            <w:pPr>
              <w:pStyle w:val="78"/>
            </w:pPr>
            <w:r>
              <w:rPr>
                <w:rFonts w:hint="eastAsia"/>
              </w:rPr>
              <w:t>生活塑料破碎机</w:t>
            </w:r>
          </w:p>
        </w:tc>
        <w:tc>
          <w:tcPr>
            <w:tcW w:w="2177" w:type="pct"/>
            <w:vAlign w:val="center"/>
          </w:tcPr>
          <w:p w14:paraId="3E746570">
            <w:pPr>
              <w:pStyle w:val="78"/>
            </w:pPr>
            <w:r>
              <w:rPr>
                <w:rFonts w:hint="eastAsia"/>
              </w:rPr>
              <w:t>含破碎机、出料皮带、磁选机、拨料器</w:t>
            </w:r>
          </w:p>
        </w:tc>
        <w:tc>
          <w:tcPr>
            <w:tcW w:w="847" w:type="pct"/>
            <w:vAlign w:val="center"/>
          </w:tcPr>
          <w:p w14:paraId="126441D9">
            <w:pPr>
              <w:pStyle w:val="78"/>
              <w:rPr>
                <w:rFonts w:eastAsia="黑体" w:cs="Times New Roman"/>
              </w:rPr>
            </w:pPr>
            <w:r>
              <w:rPr>
                <w:rFonts w:eastAsia="黑体" w:cs="Times New Roman"/>
              </w:rPr>
              <w:t>6</w:t>
            </w:r>
          </w:p>
        </w:tc>
      </w:tr>
      <w:tr w14:paraId="7D7E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4142EAD">
            <w:pPr>
              <w:pStyle w:val="78"/>
              <w:rPr>
                <w:rFonts w:eastAsia="黑体" w:cs="Times New Roman"/>
              </w:rPr>
            </w:pPr>
            <w:r>
              <w:rPr>
                <w:rFonts w:eastAsia="黑体" w:cs="Times New Roman"/>
              </w:rPr>
              <w:t>5</w:t>
            </w:r>
          </w:p>
        </w:tc>
        <w:tc>
          <w:tcPr>
            <w:tcW w:w="1549" w:type="pct"/>
            <w:vAlign w:val="center"/>
          </w:tcPr>
          <w:p w14:paraId="354F6563">
            <w:pPr>
              <w:pStyle w:val="78"/>
            </w:pPr>
            <w:r>
              <w:rPr>
                <w:rFonts w:hint="eastAsia"/>
              </w:rPr>
              <w:t>热风干燥塔</w:t>
            </w:r>
          </w:p>
        </w:tc>
        <w:tc>
          <w:tcPr>
            <w:tcW w:w="2177" w:type="pct"/>
            <w:vAlign w:val="center"/>
          </w:tcPr>
          <w:p w14:paraId="41F145D4">
            <w:pPr>
              <w:pStyle w:val="78"/>
              <w:rPr>
                <w:rFonts w:eastAsia="黑体" w:cs="Times New Roman"/>
              </w:rPr>
            </w:pPr>
            <w:r>
              <w:rPr>
                <w:rFonts w:eastAsia="黑体" w:cs="Times New Roman"/>
              </w:rPr>
              <w:t>ø 1900×16000</w:t>
            </w:r>
          </w:p>
        </w:tc>
        <w:tc>
          <w:tcPr>
            <w:tcW w:w="847" w:type="pct"/>
            <w:vAlign w:val="center"/>
          </w:tcPr>
          <w:p w14:paraId="6010BF10">
            <w:pPr>
              <w:pStyle w:val="78"/>
              <w:rPr>
                <w:rFonts w:eastAsia="黑体" w:cs="Times New Roman"/>
              </w:rPr>
            </w:pPr>
            <w:r>
              <w:rPr>
                <w:rFonts w:eastAsia="黑体" w:cs="Times New Roman"/>
              </w:rPr>
              <w:t>6</w:t>
            </w:r>
          </w:p>
        </w:tc>
      </w:tr>
      <w:tr w14:paraId="1A03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1FE46A2">
            <w:pPr>
              <w:pStyle w:val="78"/>
              <w:rPr>
                <w:rFonts w:eastAsia="黑体" w:cs="Times New Roman"/>
              </w:rPr>
            </w:pPr>
            <w:r>
              <w:rPr>
                <w:rFonts w:eastAsia="黑体" w:cs="Times New Roman"/>
              </w:rPr>
              <w:t>6</w:t>
            </w:r>
          </w:p>
        </w:tc>
        <w:tc>
          <w:tcPr>
            <w:tcW w:w="1549" w:type="pct"/>
            <w:vAlign w:val="center"/>
          </w:tcPr>
          <w:p w14:paraId="12E85C0B">
            <w:pPr>
              <w:pStyle w:val="78"/>
            </w:pPr>
            <w:r>
              <w:rPr>
                <w:rFonts w:hint="eastAsia"/>
              </w:rPr>
              <w:t>旋分下料转阀</w:t>
            </w:r>
          </w:p>
        </w:tc>
        <w:tc>
          <w:tcPr>
            <w:tcW w:w="2177" w:type="pct"/>
            <w:vAlign w:val="center"/>
          </w:tcPr>
          <w:p w14:paraId="771FC565">
            <w:pPr>
              <w:pStyle w:val="78"/>
            </w:pPr>
            <w:r>
              <w:rPr>
                <w:rFonts w:hint="eastAsia"/>
              </w:rPr>
              <w:t>含主机、轴吹系统</w:t>
            </w:r>
          </w:p>
        </w:tc>
        <w:tc>
          <w:tcPr>
            <w:tcW w:w="847" w:type="pct"/>
            <w:vAlign w:val="center"/>
          </w:tcPr>
          <w:p w14:paraId="18E4BBC4">
            <w:pPr>
              <w:pStyle w:val="78"/>
              <w:rPr>
                <w:rFonts w:eastAsia="黑体" w:cs="Times New Roman"/>
              </w:rPr>
            </w:pPr>
            <w:r>
              <w:rPr>
                <w:rFonts w:eastAsia="黑体" w:cs="Times New Roman"/>
              </w:rPr>
              <w:t>12</w:t>
            </w:r>
          </w:p>
        </w:tc>
      </w:tr>
      <w:tr w14:paraId="59CE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5F24B32">
            <w:pPr>
              <w:pStyle w:val="78"/>
              <w:rPr>
                <w:rFonts w:eastAsia="黑体" w:cs="Times New Roman"/>
              </w:rPr>
            </w:pPr>
            <w:r>
              <w:rPr>
                <w:rFonts w:eastAsia="黑体" w:cs="Times New Roman"/>
              </w:rPr>
              <w:t>7</w:t>
            </w:r>
          </w:p>
        </w:tc>
        <w:tc>
          <w:tcPr>
            <w:tcW w:w="1549" w:type="pct"/>
            <w:vAlign w:val="center"/>
          </w:tcPr>
          <w:p w14:paraId="5B3B8C5D">
            <w:pPr>
              <w:pStyle w:val="78"/>
            </w:pPr>
            <w:r>
              <w:rPr>
                <w:rFonts w:hint="eastAsia"/>
              </w:rPr>
              <w:t>缓存料斗出料螺旋</w:t>
            </w:r>
          </w:p>
        </w:tc>
        <w:tc>
          <w:tcPr>
            <w:tcW w:w="2177" w:type="pct"/>
            <w:vAlign w:val="center"/>
          </w:tcPr>
          <w:p w14:paraId="1684A567">
            <w:pPr>
              <w:pStyle w:val="78"/>
            </w:pPr>
            <w:r>
              <w:rPr>
                <w:rFonts w:hint="eastAsia"/>
              </w:rPr>
              <w:t>轴承</w:t>
            </w:r>
            <w:r>
              <w:rPr>
                <w:rFonts w:cs="Times New Roman"/>
              </w:rPr>
              <w:t>UCFU220+</w:t>
            </w:r>
            <w:r>
              <w:rPr>
                <w:rFonts w:hint="eastAsia"/>
              </w:rPr>
              <w:t>链轮双</w:t>
            </w:r>
            <w:r>
              <w:rPr>
                <w:rFonts w:cs="Times New Roman"/>
              </w:rPr>
              <w:t>20A 18</w:t>
            </w:r>
            <w:r>
              <w:rPr>
                <w:rFonts w:hint="eastAsia"/>
              </w:rPr>
              <w:t>齿</w:t>
            </w:r>
          </w:p>
        </w:tc>
        <w:tc>
          <w:tcPr>
            <w:tcW w:w="847" w:type="pct"/>
            <w:vAlign w:val="center"/>
          </w:tcPr>
          <w:p w14:paraId="79CA1D2E">
            <w:pPr>
              <w:pStyle w:val="78"/>
              <w:rPr>
                <w:rFonts w:eastAsia="黑体" w:cs="Times New Roman"/>
              </w:rPr>
            </w:pPr>
            <w:r>
              <w:rPr>
                <w:rFonts w:eastAsia="黑体" w:cs="Times New Roman"/>
              </w:rPr>
              <w:t>12</w:t>
            </w:r>
          </w:p>
        </w:tc>
      </w:tr>
      <w:tr w14:paraId="3E00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1248744">
            <w:pPr>
              <w:pStyle w:val="78"/>
              <w:rPr>
                <w:rFonts w:eastAsia="黑体" w:cs="Times New Roman"/>
              </w:rPr>
            </w:pPr>
            <w:r>
              <w:rPr>
                <w:rFonts w:eastAsia="黑体" w:cs="Times New Roman"/>
              </w:rPr>
              <w:t>8</w:t>
            </w:r>
          </w:p>
        </w:tc>
        <w:tc>
          <w:tcPr>
            <w:tcW w:w="1549" w:type="pct"/>
            <w:vAlign w:val="center"/>
          </w:tcPr>
          <w:p w14:paraId="51661FF5">
            <w:pPr>
              <w:pStyle w:val="78"/>
            </w:pPr>
            <w:r>
              <w:rPr>
                <w:rFonts w:hint="eastAsia"/>
              </w:rPr>
              <w:t>环模颗粒机进料螺旋</w:t>
            </w:r>
          </w:p>
        </w:tc>
        <w:tc>
          <w:tcPr>
            <w:tcW w:w="2177" w:type="pct"/>
            <w:vAlign w:val="center"/>
          </w:tcPr>
          <w:p w14:paraId="55E4D531">
            <w:pPr>
              <w:pStyle w:val="78"/>
            </w:pPr>
            <w:r>
              <w:rPr>
                <w:rFonts w:hint="eastAsia"/>
              </w:rPr>
              <w:t>轴承</w:t>
            </w:r>
            <w:r>
              <w:rPr>
                <w:rFonts w:cs="Times New Roman"/>
              </w:rPr>
              <w:t>UCFU220+</w:t>
            </w:r>
            <w:r>
              <w:rPr>
                <w:rFonts w:hint="eastAsia"/>
              </w:rPr>
              <w:t>链轮双</w:t>
            </w:r>
            <w:r>
              <w:rPr>
                <w:rFonts w:cs="Times New Roman"/>
              </w:rPr>
              <w:t>20A 18</w:t>
            </w:r>
            <w:r>
              <w:rPr>
                <w:rFonts w:hint="eastAsia"/>
              </w:rPr>
              <w:t>齿</w:t>
            </w:r>
          </w:p>
        </w:tc>
        <w:tc>
          <w:tcPr>
            <w:tcW w:w="847" w:type="pct"/>
            <w:vAlign w:val="center"/>
          </w:tcPr>
          <w:p w14:paraId="46D394D0">
            <w:pPr>
              <w:pStyle w:val="78"/>
              <w:rPr>
                <w:rFonts w:eastAsia="黑体" w:cs="Times New Roman"/>
              </w:rPr>
            </w:pPr>
            <w:r>
              <w:rPr>
                <w:rFonts w:eastAsia="黑体" w:cs="Times New Roman"/>
              </w:rPr>
              <w:t>12</w:t>
            </w:r>
          </w:p>
        </w:tc>
      </w:tr>
      <w:tr w14:paraId="4E2F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F8BC278">
            <w:pPr>
              <w:pStyle w:val="78"/>
              <w:rPr>
                <w:rFonts w:eastAsia="黑体" w:cs="Times New Roman"/>
              </w:rPr>
            </w:pPr>
            <w:r>
              <w:rPr>
                <w:rFonts w:eastAsia="黑体" w:cs="Times New Roman"/>
              </w:rPr>
              <w:t>9</w:t>
            </w:r>
          </w:p>
        </w:tc>
        <w:tc>
          <w:tcPr>
            <w:tcW w:w="1549" w:type="pct"/>
            <w:vAlign w:val="center"/>
          </w:tcPr>
          <w:p w14:paraId="6FB04EAE">
            <w:pPr>
              <w:pStyle w:val="78"/>
            </w:pPr>
            <w:r>
              <w:rPr>
                <w:rFonts w:hint="eastAsia"/>
              </w:rPr>
              <w:t>生活塑料环膜颗粒机</w:t>
            </w:r>
          </w:p>
        </w:tc>
        <w:tc>
          <w:tcPr>
            <w:tcW w:w="2177" w:type="pct"/>
            <w:vAlign w:val="center"/>
          </w:tcPr>
          <w:p w14:paraId="59C7684A">
            <w:pPr>
              <w:pStyle w:val="78"/>
            </w:pPr>
            <w:r>
              <w:rPr>
                <w:rFonts w:hint="eastAsia"/>
              </w:rPr>
              <w:t>含颗粒机、主电机</w:t>
            </w:r>
          </w:p>
        </w:tc>
        <w:tc>
          <w:tcPr>
            <w:tcW w:w="847" w:type="pct"/>
            <w:vAlign w:val="center"/>
          </w:tcPr>
          <w:p w14:paraId="51F8BB1E">
            <w:pPr>
              <w:pStyle w:val="78"/>
              <w:rPr>
                <w:rFonts w:eastAsia="黑体" w:cs="Times New Roman"/>
              </w:rPr>
            </w:pPr>
            <w:r>
              <w:rPr>
                <w:rFonts w:eastAsia="黑体" w:cs="Times New Roman"/>
              </w:rPr>
              <w:t>12</w:t>
            </w:r>
          </w:p>
        </w:tc>
      </w:tr>
      <w:tr w14:paraId="09E8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A5267A2">
            <w:pPr>
              <w:pStyle w:val="78"/>
              <w:rPr>
                <w:rFonts w:eastAsia="黑体" w:cs="Times New Roman"/>
              </w:rPr>
            </w:pPr>
            <w:r>
              <w:rPr>
                <w:rFonts w:eastAsia="黑体" w:cs="Times New Roman"/>
              </w:rPr>
              <w:t>10</w:t>
            </w:r>
          </w:p>
        </w:tc>
        <w:tc>
          <w:tcPr>
            <w:tcW w:w="1549" w:type="pct"/>
            <w:vAlign w:val="center"/>
          </w:tcPr>
          <w:p w14:paraId="165E65B4">
            <w:pPr>
              <w:pStyle w:val="78"/>
            </w:pPr>
            <w:r>
              <w:rPr>
                <w:rFonts w:hint="eastAsia"/>
              </w:rPr>
              <w:t>环模颗粒机出料螺旋</w:t>
            </w:r>
          </w:p>
        </w:tc>
        <w:tc>
          <w:tcPr>
            <w:tcW w:w="2177" w:type="pct"/>
            <w:vAlign w:val="center"/>
          </w:tcPr>
          <w:p w14:paraId="3E70788B">
            <w:pPr>
              <w:pStyle w:val="78"/>
              <w:rPr>
                <w:rFonts w:eastAsia="黑体" w:cs="Times New Roman"/>
              </w:rPr>
            </w:pPr>
            <w:r>
              <w:rPr>
                <w:rFonts w:eastAsia="黑体" w:cs="Times New Roman"/>
              </w:rPr>
              <w:t>LS400-2.61m</w:t>
            </w:r>
          </w:p>
        </w:tc>
        <w:tc>
          <w:tcPr>
            <w:tcW w:w="847" w:type="pct"/>
            <w:vAlign w:val="center"/>
          </w:tcPr>
          <w:p w14:paraId="7BCD3147">
            <w:pPr>
              <w:pStyle w:val="78"/>
              <w:rPr>
                <w:rFonts w:eastAsia="黑体" w:cs="Times New Roman"/>
              </w:rPr>
            </w:pPr>
            <w:r>
              <w:rPr>
                <w:rFonts w:eastAsia="黑体" w:cs="Times New Roman"/>
              </w:rPr>
              <w:t>6</w:t>
            </w:r>
          </w:p>
        </w:tc>
      </w:tr>
      <w:tr w14:paraId="0B8C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3CE0932">
            <w:pPr>
              <w:pStyle w:val="78"/>
              <w:rPr>
                <w:rFonts w:eastAsia="黑体" w:cs="Times New Roman"/>
              </w:rPr>
            </w:pPr>
            <w:r>
              <w:rPr>
                <w:rFonts w:eastAsia="黑体" w:cs="Times New Roman"/>
              </w:rPr>
              <w:t>11</w:t>
            </w:r>
          </w:p>
        </w:tc>
        <w:tc>
          <w:tcPr>
            <w:tcW w:w="1549" w:type="pct"/>
            <w:vAlign w:val="center"/>
          </w:tcPr>
          <w:p w14:paraId="0243A22D">
            <w:pPr>
              <w:pStyle w:val="78"/>
            </w:pPr>
            <w:r>
              <w:rPr>
                <w:rFonts w:hint="eastAsia"/>
              </w:rPr>
              <w:t>环模颗粒机出料斗提</w:t>
            </w:r>
          </w:p>
        </w:tc>
        <w:tc>
          <w:tcPr>
            <w:tcW w:w="2177" w:type="pct"/>
            <w:vAlign w:val="center"/>
          </w:tcPr>
          <w:p w14:paraId="77B1581C">
            <w:pPr>
              <w:pStyle w:val="78"/>
              <w:rPr>
                <w:rFonts w:eastAsia="黑体" w:cs="Times New Roman"/>
              </w:rPr>
            </w:pPr>
            <w:r>
              <w:rPr>
                <w:rFonts w:eastAsia="黑体" w:cs="Times New Roman"/>
              </w:rPr>
              <w:t>TZD250-5.723m</w:t>
            </w:r>
          </w:p>
        </w:tc>
        <w:tc>
          <w:tcPr>
            <w:tcW w:w="847" w:type="pct"/>
            <w:vAlign w:val="center"/>
          </w:tcPr>
          <w:p w14:paraId="698E1A1D">
            <w:pPr>
              <w:pStyle w:val="78"/>
              <w:rPr>
                <w:rFonts w:eastAsia="黑体" w:cs="Times New Roman"/>
              </w:rPr>
            </w:pPr>
            <w:r>
              <w:rPr>
                <w:rFonts w:eastAsia="黑体" w:cs="Times New Roman"/>
              </w:rPr>
              <w:t>6</w:t>
            </w:r>
          </w:p>
        </w:tc>
      </w:tr>
      <w:tr w14:paraId="4774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3224825">
            <w:pPr>
              <w:pStyle w:val="78"/>
              <w:rPr>
                <w:rFonts w:eastAsia="黑体" w:cs="Times New Roman"/>
              </w:rPr>
            </w:pPr>
            <w:r>
              <w:rPr>
                <w:rFonts w:eastAsia="黑体" w:cs="Times New Roman"/>
              </w:rPr>
              <w:t>12</w:t>
            </w:r>
          </w:p>
        </w:tc>
        <w:tc>
          <w:tcPr>
            <w:tcW w:w="1549" w:type="pct"/>
            <w:vAlign w:val="center"/>
          </w:tcPr>
          <w:p w14:paraId="453679CD">
            <w:pPr>
              <w:pStyle w:val="78"/>
            </w:pPr>
            <w:r>
              <w:rPr>
                <w:rFonts w:hint="eastAsia"/>
              </w:rPr>
              <w:t>干燥塔引风机</w:t>
            </w:r>
          </w:p>
        </w:tc>
        <w:tc>
          <w:tcPr>
            <w:tcW w:w="2177" w:type="pct"/>
            <w:vAlign w:val="center"/>
          </w:tcPr>
          <w:p w14:paraId="55EB7674">
            <w:pPr>
              <w:pStyle w:val="78"/>
              <w:rPr>
                <w:rFonts w:eastAsia="黑体" w:cs="Times New Roman"/>
              </w:rPr>
            </w:pPr>
            <w:r>
              <w:rPr>
                <w:rFonts w:eastAsia="黑体" w:cs="Times New Roman"/>
              </w:rPr>
              <w:t>1500kW</w:t>
            </w:r>
          </w:p>
        </w:tc>
        <w:tc>
          <w:tcPr>
            <w:tcW w:w="847" w:type="pct"/>
            <w:vAlign w:val="center"/>
          </w:tcPr>
          <w:p w14:paraId="452C16D5">
            <w:pPr>
              <w:pStyle w:val="78"/>
              <w:rPr>
                <w:rFonts w:eastAsia="黑体" w:cs="Times New Roman"/>
              </w:rPr>
            </w:pPr>
            <w:r>
              <w:rPr>
                <w:rFonts w:eastAsia="黑体" w:cs="Times New Roman"/>
              </w:rPr>
              <w:t>2</w:t>
            </w:r>
          </w:p>
        </w:tc>
      </w:tr>
      <w:tr w14:paraId="143C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65AE28A">
            <w:pPr>
              <w:pStyle w:val="78"/>
              <w:rPr>
                <w:rFonts w:eastAsia="黑体" w:cs="Times New Roman"/>
              </w:rPr>
            </w:pPr>
            <w:r>
              <w:rPr>
                <w:rFonts w:eastAsia="黑体" w:cs="Times New Roman"/>
              </w:rPr>
              <w:t>13</w:t>
            </w:r>
          </w:p>
        </w:tc>
        <w:tc>
          <w:tcPr>
            <w:tcW w:w="1549" w:type="pct"/>
            <w:vAlign w:val="center"/>
          </w:tcPr>
          <w:p w14:paraId="47B1ACFC">
            <w:pPr>
              <w:pStyle w:val="78"/>
            </w:pPr>
            <w:r>
              <w:rPr>
                <w:rFonts w:hint="eastAsia"/>
              </w:rPr>
              <w:t>生活塑料剪切机</w:t>
            </w:r>
          </w:p>
        </w:tc>
        <w:tc>
          <w:tcPr>
            <w:tcW w:w="2177" w:type="pct"/>
            <w:vAlign w:val="center"/>
          </w:tcPr>
          <w:p w14:paraId="06462C1F">
            <w:pPr>
              <w:pStyle w:val="78"/>
            </w:pPr>
            <w:r>
              <w:rPr>
                <w:rFonts w:hint="eastAsia"/>
              </w:rPr>
              <w:t>含剪切机、出料皮带、磁选机、拨料器、吹料风机、吸料风机</w:t>
            </w:r>
          </w:p>
        </w:tc>
        <w:tc>
          <w:tcPr>
            <w:tcW w:w="847" w:type="pct"/>
            <w:vAlign w:val="center"/>
          </w:tcPr>
          <w:p w14:paraId="4D175C4E">
            <w:pPr>
              <w:pStyle w:val="78"/>
              <w:rPr>
                <w:rFonts w:eastAsia="黑体" w:cs="Times New Roman"/>
              </w:rPr>
            </w:pPr>
            <w:r>
              <w:rPr>
                <w:rFonts w:eastAsia="黑体" w:cs="Times New Roman"/>
              </w:rPr>
              <w:t>18</w:t>
            </w:r>
          </w:p>
        </w:tc>
      </w:tr>
      <w:tr w14:paraId="5CC7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280653B">
            <w:pPr>
              <w:pStyle w:val="78"/>
              <w:rPr>
                <w:rFonts w:eastAsia="黑体" w:cs="Times New Roman"/>
              </w:rPr>
            </w:pPr>
            <w:r>
              <w:rPr>
                <w:rFonts w:eastAsia="黑体" w:cs="Times New Roman"/>
              </w:rPr>
              <w:t>14</w:t>
            </w:r>
          </w:p>
        </w:tc>
        <w:tc>
          <w:tcPr>
            <w:tcW w:w="1549" w:type="pct"/>
            <w:vAlign w:val="center"/>
          </w:tcPr>
          <w:p w14:paraId="12B82FC6">
            <w:pPr>
              <w:pStyle w:val="78"/>
            </w:pPr>
            <w:r>
              <w:rPr>
                <w:rFonts w:hint="eastAsia"/>
              </w:rPr>
              <w:t>原料池备用污水提升泵（备用）</w:t>
            </w:r>
          </w:p>
        </w:tc>
        <w:tc>
          <w:tcPr>
            <w:tcW w:w="2177" w:type="pct"/>
            <w:vAlign w:val="center"/>
          </w:tcPr>
          <w:p w14:paraId="3F0D8045">
            <w:pPr>
              <w:pStyle w:val="78"/>
              <w:rPr>
                <w:rFonts w:eastAsia="黑体" w:cs="Times New Roman"/>
              </w:rPr>
            </w:pPr>
            <w:r>
              <w:rPr>
                <w:rFonts w:eastAsia="黑体" w:cs="Times New Roman"/>
              </w:rPr>
              <w:t>/</w:t>
            </w:r>
          </w:p>
        </w:tc>
        <w:tc>
          <w:tcPr>
            <w:tcW w:w="847" w:type="pct"/>
            <w:vAlign w:val="center"/>
          </w:tcPr>
          <w:p w14:paraId="03FEB089">
            <w:pPr>
              <w:pStyle w:val="78"/>
              <w:rPr>
                <w:rFonts w:eastAsia="黑体" w:cs="Times New Roman"/>
              </w:rPr>
            </w:pPr>
            <w:r>
              <w:rPr>
                <w:rFonts w:eastAsia="黑体" w:cs="Times New Roman"/>
              </w:rPr>
              <w:t>2</w:t>
            </w:r>
          </w:p>
        </w:tc>
      </w:tr>
      <w:tr w14:paraId="608F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F20A993">
            <w:pPr>
              <w:pStyle w:val="78"/>
              <w:rPr>
                <w:rFonts w:eastAsia="黑体" w:cs="Times New Roman"/>
              </w:rPr>
            </w:pPr>
            <w:r>
              <w:rPr>
                <w:rFonts w:eastAsia="黑体" w:cs="Times New Roman"/>
              </w:rPr>
              <w:t>15</w:t>
            </w:r>
          </w:p>
        </w:tc>
        <w:tc>
          <w:tcPr>
            <w:tcW w:w="1549" w:type="pct"/>
            <w:vAlign w:val="center"/>
          </w:tcPr>
          <w:p w14:paraId="03165F1F">
            <w:pPr>
              <w:pStyle w:val="78"/>
            </w:pPr>
            <w:r>
              <w:rPr>
                <w:rFonts w:hint="eastAsia"/>
              </w:rPr>
              <w:t>农地膜拆包机</w:t>
            </w:r>
          </w:p>
        </w:tc>
        <w:tc>
          <w:tcPr>
            <w:tcW w:w="2177" w:type="pct"/>
            <w:vAlign w:val="center"/>
          </w:tcPr>
          <w:p w14:paraId="0C4BDF43">
            <w:pPr>
              <w:pStyle w:val="78"/>
            </w:pPr>
            <w:r>
              <w:rPr>
                <w:rFonts w:hint="eastAsia"/>
              </w:rPr>
              <w:t>含拆包机、上料皮带、去绳机构、抽绳机构、打散机构</w:t>
            </w:r>
          </w:p>
        </w:tc>
        <w:tc>
          <w:tcPr>
            <w:tcW w:w="847" w:type="pct"/>
            <w:vAlign w:val="center"/>
          </w:tcPr>
          <w:p w14:paraId="55C0CD41">
            <w:pPr>
              <w:pStyle w:val="78"/>
              <w:rPr>
                <w:rFonts w:eastAsia="黑体" w:cs="Times New Roman"/>
              </w:rPr>
            </w:pPr>
            <w:r>
              <w:rPr>
                <w:rFonts w:eastAsia="黑体" w:cs="Times New Roman"/>
              </w:rPr>
              <w:t>1</w:t>
            </w:r>
          </w:p>
        </w:tc>
      </w:tr>
      <w:tr w14:paraId="25B8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E90041B">
            <w:pPr>
              <w:pStyle w:val="78"/>
              <w:rPr>
                <w:rFonts w:eastAsia="黑体" w:cs="Times New Roman"/>
              </w:rPr>
            </w:pPr>
            <w:r>
              <w:rPr>
                <w:rFonts w:eastAsia="黑体" w:cs="Times New Roman"/>
              </w:rPr>
              <w:t>16</w:t>
            </w:r>
          </w:p>
        </w:tc>
        <w:tc>
          <w:tcPr>
            <w:tcW w:w="1549" w:type="pct"/>
            <w:vAlign w:val="center"/>
          </w:tcPr>
          <w:p w14:paraId="25FA6497">
            <w:pPr>
              <w:pStyle w:val="78"/>
            </w:pPr>
            <w:r>
              <w:rPr>
                <w:rFonts w:hint="eastAsia"/>
              </w:rPr>
              <w:t>农地膜撕碎机进料输送机</w:t>
            </w:r>
          </w:p>
        </w:tc>
        <w:tc>
          <w:tcPr>
            <w:tcW w:w="2177" w:type="pct"/>
            <w:vAlign w:val="center"/>
          </w:tcPr>
          <w:p w14:paraId="11F1B42C">
            <w:pPr>
              <w:pStyle w:val="78"/>
            </w:pPr>
            <w:r>
              <w:rPr>
                <w:rFonts w:hint="eastAsia"/>
              </w:rPr>
              <w:t>含皮带机、磁选机、拨料辊</w:t>
            </w:r>
          </w:p>
        </w:tc>
        <w:tc>
          <w:tcPr>
            <w:tcW w:w="847" w:type="pct"/>
            <w:vAlign w:val="center"/>
          </w:tcPr>
          <w:p w14:paraId="0099C21F">
            <w:pPr>
              <w:pStyle w:val="78"/>
              <w:rPr>
                <w:rFonts w:eastAsia="黑体" w:cs="Times New Roman"/>
              </w:rPr>
            </w:pPr>
            <w:r>
              <w:rPr>
                <w:rFonts w:eastAsia="黑体" w:cs="Times New Roman"/>
              </w:rPr>
              <w:t>1</w:t>
            </w:r>
          </w:p>
        </w:tc>
      </w:tr>
      <w:tr w14:paraId="7247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E906D4D">
            <w:pPr>
              <w:pStyle w:val="78"/>
              <w:rPr>
                <w:rFonts w:eastAsia="黑体" w:cs="Times New Roman"/>
              </w:rPr>
            </w:pPr>
            <w:r>
              <w:rPr>
                <w:rFonts w:eastAsia="黑体" w:cs="Times New Roman"/>
              </w:rPr>
              <w:t>17</w:t>
            </w:r>
          </w:p>
        </w:tc>
        <w:tc>
          <w:tcPr>
            <w:tcW w:w="1549" w:type="pct"/>
            <w:vAlign w:val="center"/>
          </w:tcPr>
          <w:p w14:paraId="45BDE6E5">
            <w:pPr>
              <w:pStyle w:val="78"/>
            </w:pPr>
            <w:r>
              <w:rPr>
                <w:rFonts w:hint="eastAsia"/>
              </w:rPr>
              <w:t>农地膜撕碎机</w:t>
            </w:r>
          </w:p>
        </w:tc>
        <w:tc>
          <w:tcPr>
            <w:tcW w:w="2177" w:type="pct"/>
            <w:vAlign w:val="center"/>
          </w:tcPr>
          <w:p w14:paraId="214FBF1A">
            <w:pPr>
              <w:pStyle w:val="78"/>
            </w:pPr>
            <w:r>
              <w:rPr>
                <w:rFonts w:hint="eastAsia"/>
              </w:rPr>
              <w:t>双轴撕碎机</w:t>
            </w:r>
            <w:r>
              <w:rPr>
                <w:rFonts w:cs="Times New Roman"/>
              </w:rPr>
              <w:t>X1600</w:t>
            </w:r>
          </w:p>
        </w:tc>
        <w:tc>
          <w:tcPr>
            <w:tcW w:w="847" w:type="pct"/>
            <w:vAlign w:val="center"/>
          </w:tcPr>
          <w:p w14:paraId="0B630F1B">
            <w:pPr>
              <w:pStyle w:val="78"/>
              <w:rPr>
                <w:rFonts w:eastAsia="黑体" w:cs="Times New Roman"/>
              </w:rPr>
            </w:pPr>
            <w:r>
              <w:rPr>
                <w:rFonts w:eastAsia="黑体" w:cs="Times New Roman"/>
              </w:rPr>
              <w:t>1</w:t>
            </w:r>
          </w:p>
        </w:tc>
      </w:tr>
      <w:tr w14:paraId="3ED5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207792F">
            <w:pPr>
              <w:pStyle w:val="78"/>
              <w:rPr>
                <w:rFonts w:eastAsia="黑体" w:cs="Times New Roman"/>
              </w:rPr>
            </w:pPr>
            <w:r>
              <w:rPr>
                <w:rFonts w:eastAsia="黑体" w:cs="Times New Roman"/>
              </w:rPr>
              <w:t>18</w:t>
            </w:r>
          </w:p>
        </w:tc>
        <w:tc>
          <w:tcPr>
            <w:tcW w:w="1549" w:type="pct"/>
            <w:vAlign w:val="center"/>
          </w:tcPr>
          <w:p w14:paraId="63C0BB31">
            <w:pPr>
              <w:pStyle w:val="78"/>
            </w:pPr>
            <w:r>
              <w:rPr>
                <w:rFonts w:hint="eastAsia"/>
              </w:rPr>
              <w:t>农地膜风选机</w:t>
            </w:r>
          </w:p>
        </w:tc>
        <w:tc>
          <w:tcPr>
            <w:tcW w:w="2177" w:type="pct"/>
            <w:vAlign w:val="center"/>
          </w:tcPr>
          <w:p w14:paraId="73DA2CB3">
            <w:pPr>
              <w:pStyle w:val="78"/>
              <w:rPr>
                <w:rFonts w:eastAsia="黑体" w:cs="Times New Roman"/>
              </w:rPr>
            </w:pPr>
            <w:r>
              <w:rPr>
                <w:rFonts w:eastAsia="黑体" w:cs="Times New Roman"/>
              </w:rPr>
              <w:t>SDS1400-00</w:t>
            </w:r>
          </w:p>
        </w:tc>
        <w:tc>
          <w:tcPr>
            <w:tcW w:w="847" w:type="pct"/>
            <w:vAlign w:val="center"/>
          </w:tcPr>
          <w:p w14:paraId="13F1D06E">
            <w:pPr>
              <w:pStyle w:val="78"/>
              <w:rPr>
                <w:rFonts w:eastAsia="黑体" w:cs="Times New Roman"/>
              </w:rPr>
            </w:pPr>
            <w:r>
              <w:rPr>
                <w:rFonts w:eastAsia="黑体" w:cs="Times New Roman"/>
              </w:rPr>
              <w:t>1</w:t>
            </w:r>
          </w:p>
        </w:tc>
      </w:tr>
      <w:tr w14:paraId="3E29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D1D4F52">
            <w:pPr>
              <w:pStyle w:val="78"/>
              <w:rPr>
                <w:rFonts w:eastAsia="黑体" w:cs="Times New Roman"/>
              </w:rPr>
            </w:pPr>
            <w:r>
              <w:rPr>
                <w:rFonts w:eastAsia="黑体" w:cs="Times New Roman"/>
              </w:rPr>
              <w:t>19</w:t>
            </w:r>
          </w:p>
        </w:tc>
        <w:tc>
          <w:tcPr>
            <w:tcW w:w="1549" w:type="pct"/>
            <w:vAlign w:val="center"/>
          </w:tcPr>
          <w:p w14:paraId="5878CCE3">
            <w:pPr>
              <w:pStyle w:val="78"/>
            </w:pPr>
            <w:r>
              <w:rPr>
                <w:rFonts w:hint="eastAsia"/>
              </w:rPr>
              <w:t>农地膜团粒机</w:t>
            </w:r>
          </w:p>
        </w:tc>
        <w:tc>
          <w:tcPr>
            <w:tcW w:w="2177" w:type="pct"/>
            <w:vAlign w:val="center"/>
          </w:tcPr>
          <w:p w14:paraId="2D5900F9">
            <w:pPr>
              <w:pStyle w:val="78"/>
            </w:pPr>
            <w:r>
              <w:rPr>
                <w:rFonts w:hint="eastAsia"/>
              </w:rPr>
              <w:t>含团粒机、出料皮带、出料系统</w:t>
            </w:r>
          </w:p>
        </w:tc>
        <w:tc>
          <w:tcPr>
            <w:tcW w:w="847" w:type="pct"/>
            <w:vAlign w:val="center"/>
          </w:tcPr>
          <w:p w14:paraId="4A87287F">
            <w:pPr>
              <w:pStyle w:val="78"/>
              <w:rPr>
                <w:rFonts w:eastAsia="黑体" w:cs="Times New Roman"/>
              </w:rPr>
            </w:pPr>
            <w:r>
              <w:rPr>
                <w:rFonts w:eastAsia="黑体" w:cs="Times New Roman"/>
              </w:rPr>
              <w:t>1</w:t>
            </w:r>
          </w:p>
        </w:tc>
      </w:tr>
      <w:tr w14:paraId="44ED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848F12B">
            <w:pPr>
              <w:pStyle w:val="78"/>
              <w:rPr>
                <w:rFonts w:eastAsia="黑体" w:cs="Times New Roman"/>
              </w:rPr>
            </w:pPr>
            <w:r>
              <w:rPr>
                <w:rFonts w:eastAsia="黑体" w:cs="Times New Roman"/>
              </w:rPr>
              <w:t>20</w:t>
            </w:r>
          </w:p>
        </w:tc>
        <w:tc>
          <w:tcPr>
            <w:tcW w:w="1549" w:type="pct"/>
            <w:vAlign w:val="center"/>
          </w:tcPr>
          <w:p w14:paraId="0158EA39">
            <w:pPr>
              <w:pStyle w:val="78"/>
            </w:pPr>
            <w:r>
              <w:rPr>
                <w:rFonts w:hint="eastAsia"/>
              </w:rPr>
              <w:t>硬质塑料破碎机</w:t>
            </w:r>
          </w:p>
        </w:tc>
        <w:tc>
          <w:tcPr>
            <w:tcW w:w="2177" w:type="pct"/>
            <w:vAlign w:val="center"/>
          </w:tcPr>
          <w:p w14:paraId="4B1E39E3">
            <w:pPr>
              <w:pStyle w:val="78"/>
            </w:pPr>
            <w:r>
              <w:rPr>
                <w:rFonts w:hint="eastAsia"/>
              </w:rPr>
              <w:t>含破碎机、出料皮带、磁选机、拨料器、吹料风机、吸料风机、旋分、除尘器等</w:t>
            </w:r>
          </w:p>
        </w:tc>
        <w:tc>
          <w:tcPr>
            <w:tcW w:w="847" w:type="pct"/>
            <w:vAlign w:val="center"/>
          </w:tcPr>
          <w:p w14:paraId="619FA79C">
            <w:pPr>
              <w:pStyle w:val="78"/>
              <w:rPr>
                <w:rFonts w:eastAsia="黑体" w:cs="Times New Roman"/>
              </w:rPr>
            </w:pPr>
            <w:r>
              <w:rPr>
                <w:rFonts w:eastAsia="黑体" w:cs="Times New Roman"/>
              </w:rPr>
              <w:t>1</w:t>
            </w:r>
          </w:p>
        </w:tc>
      </w:tr>
      <w:tr w14:paraId="1BB3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753AFB2">
            <w:pPr>
              <w:pStyle w:val="78"/>
              <w:rPr>
                <w:rFonts w:eastAsia="黑体" w:cs="Times New Roman"/>
              </w:rPr>
            </w:pPr>
            <w:r>
              <w:rPr>
                <w:rFonts w:eastAsia="黑体" w:cs="Times New Roman"/>
              </w:rPr>
              <w:t>21</w:t>
            </w:r>
          </w:p>
        </w:tc>
        <w:tc>
          <w:tcPr>
            <w:tcW w:w="1549" w:type="pct"/>
            <w:vAlign w:val="center"/>
          </w:tcPr>
          <w:p w14:paraId="60883C58">
            <w:pPr>
              <w:pStyle w:val="78"/>
            </w:pPr>
            <w:r>
              <w:rPr>
                <w:rFonts w:hint="eastAsia"/>
              </w:rPr>
              <w:t>硬质塑料磨粉机</w:t>
            </w:r>
          </w:p>
        </w:tc>
        <w:tc>
          <w:tcPr>
            <w:tcW w:w="2177" w:type="pct"/>
            <w:vAlign w:val="center"/>
          </w:tcPr>
          <w:p w14:paraId="657FDF66">
            <w:pPr>
              <w:pStyle w:val="78"/>
            </w:pPr>
            <w:r>
              <w:rPr>
                <w:rFonts w:hint="eastAsia"/>
              </w:rPr>
              <w:t>含磨粉机、进料螺旋、出料螺旋、吸料风机、关风机、除尘器等</w:t>
            </w:r>
          </w:p>
        </w:tc>
        <w:tc>
          <w:tcPr>
            <w:tcW w:w="847" w:type="pct"/>
            <w:vAlign w:val="center"/>
          </w:tcPr>
          <w:p w14:paraId="75AA2750">
            <w:pPr>
              <w:pStyle w:val="78"/>
              <w:rPr>
                <w:rFonts w:eastAsia="黑体" w:cs="Times New Roman"/>
              </w:rPr>
            </w:pPr>
            <w:r>
              <w:rPr>
                <w:rFonts w:eastAsia="黑体" w:cs="Times New Roman"/>
              </w:rPr>
              <w:t>1</w:t>
            </w:r>
          </w:p>
        </w:tc>
      </w:tr>
      <w:tr w14:paraId="3D5E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47B3AAC">
            <w:pPr>
              <w:pStyle w:val="78"/>
              <w:rPr>
                <w:rFonts w:eastAsia="黑体" w:cs="Times New Roman"/>
              </w:rPr>
            </w:pPr>
            <w:r>
              <w:rPr>
                <w:rFonts w:eastAsia="黑体" w:cs="Times New Roman"/>
              </w:rPr>
              <w:t>22</w:t>
            </w:r>
          </w:p>
        </w:tc>
        <w:tc>
          <w:tcPr>
            <w:tcW w:w="1549" w:type="pct"/>
            <w:vAlign w:val="center"/>
          </w:tcPr>
          <w:p w14:paraId="4686B4CC">
            <w:pPr>
              <w:pStyle w:val="78"/>
            </w:pPr>
            <w:r>
              <w:rPr>
                <w:rFonts w:hint="eastAsia"/>
              </w:rPr>
              <w:t>全自动抓斗起重机</w:t>
            </w:r>
          </w:p>
        </w:tc>
        <w:tc>
          <w:tcPr>
            <w:tcW w:w="2177" w:type="pct"/>
            <w:vAlign w:val="center"/>
          </w:tcPr>
          <w:p w14:paraId="38D2C78F">
            <w:pPr>
              <w:pStyle w:val="78"/>
            </w:pPr>
            <w:r>
              <w:rPr>
                <w:rFonts w:hint="eastAsia"/>
              </w:rPr>
              <w:t>全自动，</w:t>
            </w:r>
            <w:r>
              <w:rPr>
                <w:rFonts w:cs="Times New Roman"/>
              </w:rPr>
              <w:t>S=38.5M</w:t>
            </w:r>
            <w:r>
              <w:rPr>
                <w:rFonts w:hint="eastAsia"/>
              </w:rPr>
              <w:t>，</w:t>
            </w:r>
            <w:r>
              <w:rPr>
                <w:rFonts w:cs="Times New Roman"/>
              </w:rPr>
              <w:t>Q=8T</w:t>
            </w:r>
          </w:p>
        </w:tc>
        <w:tc>
          <w:tcPr>
            <w:tcW w:w="847" w:type="pct"/>
            <w:vAlign w:val="center"/>
          </w:tcPr>
          <w:p w14:paraId="093E7D70">
            <w:pPr>
              <w:pStyle w:val="78"/>
              <w:rPr>
                <w:rFonts w:eastAsia="黑体" w:cs="Times New Roman"/>
              </w:rPr>
            </w:pPr>
            <w:r>
              <w:rPr>
                <w:rFonts w:eastAsia="黑体" w:cs="Times New Roman"/>
              </w:rPr>
              <w:t>4</w:t>
            </w:r>
          </w:p>
        </w:tc>
      </w:tr>
      <w:tr w14:paraId="0D51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CA70CA2">
            <w:pPr>
              <w:pStyle w:val="78"/>
              <w:rPr>
                <w:rFonts w:eastAsia="黑体" w:cs="Times New Roman"/>
              </w:rPr>
            </w:pPr>
            <w:r>
              <w:rPr>
                <w:rFonts w:eastAsia="黑体" w:cs="Times New Roman"/>
              </w:rPr>
              <w:t>23</w:t>
            </w:r>
          </w:p>
        </w:tc>
        <w:tc>
          <w:tcPr>
            <w:tcW w:w="1549" w:type="pct"/>
            <w:vAlign w:val="center"/>
          </w:tcPr>
          <w:p w14:paraId="2F9C9FC2">
            <w:pPr>
              <w:pStyle w:val="78"/>
            </w:pPr>
            <w:r>
              <w:rPr>
                <w:rFonts w:hint="eastAsia"/>
              </w:rPr>
              <w:t>打捆塑料抓取起重机</w:t>
            </w:r>
          </w:p>
        </w:tc>
        <w:tc>
          <w:tcPr>
            <w:tcW w:w="2177" w:type="pct"/>
            <w:vAlign w:val="center"/>
          </w:tcPr>
          <w:p w14:paraId="26A9A786">
            <w:pPr>
              <w:pStyle w:val="78"/>
              <w:rPr>
                <w:rFonts w:eastAsia="黑体" w:cs="Times New Roman"/>
              </w:rPr>
            </w:pPr>
            <w:r>
              <w:rPr>
                <w:rFonts w:eastAsia="黑体" w:cs="Times New Roman"/>
              </w:rPr>
              <w:t>S=20.5M,Q=3T</w:t>
            </w:r>
          </w:p>
        </w:tc>
        <w:tc>
          <w:tcPr>
            <w:tcW w:w="847" w:type="pct"/>
            <w:vAlign w:val="center"/>
          </w:tcPr>
          <w:p w14:paraId="558C958C">
            <w:pPr>
              <w:pStyle w:val="78"/>
              <w:rPr>
                <w:rFonts w:eastAsia="黑体" w:cs="Times New Roman"/>
              </w:rPr>
            </w:pPr>
            <w:r>
              <w:rPr>
                <w:rFonts w:eastAsia="黑体" w:cs="Times New Roman"/>
              </w:rPr>
              <w:t>6</w:t>
            </w:r>
          </w:p>
        </w:tc>
      </w:tr>
      <w:tr w14:paraId="061D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D375B19">
            <w:pPr>
              <w:pStyle w:val="78"/>
              <w:rPr>
                <w:rFonts w:eastAsia="黑体" w:cs="Times New Roman"/>
              </w:rPr>
            </w:pPr>
            <w:r>
              <w:rPr>
                <w:rFonts w:eastAsia="黑体" w:cs="Times New Roman"/>
              </w:rPr>
              <w:t>24</w:t>
            </w:r>
          </w:p>
        </w:tc>
        <w:tc>
          <w:tcPr>
            <w:tcW w:w="1549" w:type="pct"/>
            <w:vAlign w:val="center"/>
          </w:tcPr>
          <w:p w14:paraId="6FAE8873">
            <w:pPr>
              <w:pStyle w:val="78"/>
            </w:pPr>
            <w:r>
              <w:rPr>
                <w:rFonts w:hint="eastAsia"/>
              </w:rPr>
              <w:t>电动单梁起重机</w:t>
            </w:r>
          </w:p>
        </w:tc>
        <w:tc>
          <w:tcPr>
            <w:tcW w:w="2177" w:type="pct"/>
            <w:vAlign w:val="center"/>
          </w:tcPr>
          <w:p w14:paraId="15B590BA">
            <w:pPr>
              <w:pStyle w:val="78"/>
              <w:rPr>
                <w:rFonts w:eastAsia="黑体" w:cs="Times New Roman"/>
              </w:rPr>
            </w:pPr>
            <w:r>
              <w:rPr>
                <w:rFonts w:eastAsia="黑体" w:cs="Times New Roman"/>
              </w:rPr>
              <w:t>S=20.5M,Q=10T</w:t>
            </w:r>
          </w:p>
        </w:tc>
        <w:tc>
          <w:tcPr>
            <w:tcW w:w="847" w:type="pct"/>
            <w:vAlign w:val="center"/>
          </w:tcPr>
          <w:p w14:paraId="717DE73D">
            <w:pPr>
              <w:pStyle w:val="78"/>
              <w:rPr>
                <w:rFonts w:eastAsia="黑体" w:cs="Times New Roman"/>
              </w:rPr>
            </w:pPr>
            <w:r>
              <w:rPr>
                <w:rFonts w:eastAsia="黑体" w:cs="Times New Roman"/>
              </w:rPr>
              <w:t>2</w:t>
            </w:r>
          </w:p>
        </w:tc>
      </w:tr>
      <w:tr w14:paraId="089F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3A6D753">
            <w:pPr>
              <w:pStyle w:val="78"/>
              <w:rPr>
                <w:rFonts w:eastAsia="黑体" w:cs="Times New Roman"/>
              </w:rPr>
            </w:pPr>
            <w:r>
              <w:rPr>
                <w:rFonts w:eastAsia="黑体" w:cs="Times New Roman"/>
              </w:rPr>
              <w:t>25</w:t>
            </w:r>
          </w:p>
        </w:tc>
        <w:tc>
          <w:tcPr>
            <w:tcW w:w="1549" w:type="pct"/>
            <w:vAlign w:val="center"/>
          </w:tcPr>
          <w:p w14:paraId="529F55EE">
            <w:pPr>
              <w:pStyle w:val="78"/>
            </w:pPr>
            <w:r>
              <w:rPr>
                <w:rFonts w:hint="eastAsia"/>
              </w:rPr>
              <w:t>电动单梁起重机</w:t>
            </w:r>
          </w:p>
        </w:tc>
        <w:tc>
          <w:tcPr>
            <w:tcW w:w="2177" w:type="pct"/>
            <w:vAlign w:val="center"/>
          </w:tcPr>
          <w:p w14:paraId="45B06FF1">
            <w:pPr>
              <w:pStyle w:val="78"/>
              <w:rPr>
                <w:rFonts w:eastAsia="黑体" w:cs="Times New Roman"/>
              </w:rPr>
            </w:pPr>
            <w:r>
              <w:rPr>
                <w:rFonts w:eastAsia="黑体" w:cs="Times New Roman"/>
              </w:rPr>
              <w:t>S=9M,Q=10T</w:t>
            </w:r>
          </w:p>
        </w:tc>
        <w:tc>
          <w:tcPr>
            <w:tcW w:w="847" w:type="pct"/>
            <w:vAlign w:val="center"/>
          </w:tcPr>
          <w:p w14:paraId="1CC33A48">
            <w:pPr>
              <w:pStyle w:val="78"/>
              <w:rPr>
                <w:rFonts w:eastAsia="黑体" w:cs="Times New Roman"/>
              </w:rPr>
            </w:pPr>
            <w:r>
              <w:rPr>
                <w:rFonts w:eastAsia="黑体" w:cs="Times New Roman"/>
              </w:rPr>
              <w:t>1</w:t>
            </w:r>
          </w:p>
        </w:tc>
      </w:tr>
      <w:tr w14:paraId="0D23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08EDAE5">
            <w:pPr>
              <w:pStyle w:val="78"/>
              <w:rPr>
                <w:rFonts w:eastAsia="黑体" w:cs="Times New Roman"/>
              </w:rPr>
            </w:pPr>
            <w:r>
              <w:rPr>
                <w:rFonts w:eastAsia="黑体" w:cs="Times New Roman"/>
              </w:rPr>
              <w:t>26</w:t>
            </w:r>
          </w:p>
        </w:tc>
        <w:tc>
          <w:tcPr>
            <w:tcW w:w="1549" w:type="pct"/>
            <w:vAlign w:val="center"/>
          </w:tcPr>
          <w:p w14:paraId="337073F6">
            <w:pPr>
              <w:pStyle w:val="78"/>
            </w:pPr>
            <w:r>
              <w:rPr>
                <w:rFonts w:hint="eastAsia"/>
              </w:rPr>
              <w:t>生活塑料气力输送系统</w:t>
            </w:r>
          </w:p>
        </w:tc>
        <w:tc>
          <w:tcPr>
            <w:tcW w:w="2177" w:type="pct"/>
            <w:vAlign w:val="center"/>
          </w:tcPr>
          <w:p w14:paraId="7C1D6613">
            <w:pPr>
              <w:pStyle w:val="78"/>
            </w:pPr>
            <w:r>
              <w:rPr>
                <w:rFonts w:hint="eastAsia"/>
              </w:rPr>
              <w:t>含入料旋分、除尘器、输送风机、拉法尔喷嘴、出料除尘器及配套辅助管线、仪器仪表等，输送长度</w:t>
            </w:r>
            <w:r>
              <w:rPr>
                <w:rFonts w:cs="Times New Roman"/>
              </w:rPr>
              <w:t>200m</w:t>
            </w:r>
          </w:p>
        </w:tc>
        <w:tc>
          <w:tcPr>
            <w:tcW w:w="847" w:type="pct"/>
            <w:vAlign w:val="center"/>
          </w:tcPr>
          <w:p w14:paraId="0EE1F292">
            <w:pPr>
              <w:pStyle w:val="78"/>
              <w:rPr>
                <w:rFonts w:eastAsia="黑体" w:cs="Times New Roman"/>
              </w:rPr>
            </w:pPr>
            <w:r>
              <w:rPr>
                <w:rFonts w:eastAsia="黑体" w:cs="Times New Roman"/>
              </w:rPr>
              <w:t>6</w:t>
            </w:r>
          </w:p>
        </w:tc>
      </w:tr>
      <w:tr w14:paraId="5016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90C3959">
            <w:pPr>
              <w:pStyle w:val="78"/>
              <w:rPr>
                <w:rFonts w:eastAsia="黑体" w:cs="Times New Roman"/>
              </w:rPr>
            </w:pPr>
            <w:r>
              <w:rPr>
                <w:rFonts w:eastAsia="黑体" w:cs="Times New Roman"/>
              </w:rPr>
              <w:t>27</w:t>
            </w:r>
          </w:p>
        </w:tc>
        <w:tc>
          <w:tcPr>
            <w:tcW w:w="1549" w:type="pct"/>
            <w:vAlign w:val="center"/>
          </w:tcPr>
          <w:p w14:paraId="5500C626">
            <w:pPr>
              <w:pStyle w:val="78"/>
            </w:pPr>
            <w:r>
              <w:rPr>
                <w:rFonts w:hint="eastAsia"/>
              </w:rPr>
              <w:t>农地膜气力输送系统</w:t>
            </w:r>
          </w:p>
        </w:tc>
        <w:tc>
          <w:tcPr>
            <w:tcW w:w="2177" w:type="pct"/>
            <w:vAlign w:val="center"/>
          </w:tcPr>
          <w:p w14:paraId="19BE9033">
            <w:pPr>
              <w:pStyle w:val="78"/>
            </w:pPr>
            <w:r>
              <w:rPr>
                <w:rFonts w:hint="eastAsia"/>
              </w:rPr>
              <w:t>含下料仓、除尘器、输送风机、拉法尔喷嘴、出料除尘器及配套辅助管线、仪器仪表等，输送长度</w:t>
            </w:r>
            <w:r>
              <w:rPr>
                <w:rFonts w:cs="Times New Roman"/>
              </w:rPr>
              <w:t>200m</w:t>
            </w:r>
          </w:p>
        </w:tc>
        <w:tc>
          <w:tcPr>
            <w:tcW w:w="847" w:type="pct"/>
            <w:vAlign w:val="center"/>
          </w:tcPr>
          <w:p w14:paraId="3EAEB9B0">
            <w:pPr>
              <w:pStyle w:val="78"/>
              <w:rPr>
                <w:rFonts w:eastAsia="黑体" w:cs="Times New Roman"/>
              </w:rPr>
            </w:pPr>
            <w:r>
              <w:rPr>
                <w:rFonts w:eastAsia="黑体" w:cs="Times New Roman"/>
              </w:rPr>
              <w:t>1</w:t>
            </w:r>
          </w:p>
        </w:tc>
      </w:tr>
      <w:tr w14:paraId="3F08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5A7D0DC">
            <w:pPr>
              <w:pStyle w:val="78"/>
              <w:rPr>
                <w:rFonts w:eastAsia="黑体" w:cs="Times New Roman"/>
              </w:rPr>
            </w:pPr>
            <w:r>
              <w:rPr>
                <w:rFonts w:eastAsia="黑体" w:cs="Times New Roman"/>
              </w:rPr>
              <w:t>28</w:t>
            </w:r>
          </w:p>
        </w:tc>
        <w:tc>
          <w:tcPr>
            <w:tcW w:w="1549" w:type="pct"/>
            <w:vAlign w:val="center"/>
          </w:tcPr>
          <w:p w14:paraId="12043B7A">
            <w:pPr>
              <w:pStyle w:val="78"/>
            </w:pPr>
            <w:r>
              <w:rPr>
                <w:rFonts w:hint="eastAsia"/>
              </w:rPr>
              <w:t>硬质塑料气力输送系统</w:t>
            </w:r>
          </w:p>
        </w:tc>
        <w:tc>
          <w:tcPr>
            <w:tcW w:w="2177" w:type="pct"/>
            <w:vAlign w:val="center"/>
          </w:tcPr>
          <w:p w14:paraId="476A6999">
            <w:pPr>
              <w:pStyle w:val="78"/>
            </w:pPr>
            <w:r>
              <w:rPr>
                <w:rFonts w:hint="eastAsia"/>
              </w:rPr>
              <w:t>含下料仓、除尘器、输送风机、拉法尔喷嘴、出料除尘器及配套辅助管线、仪器仪表等，输送长度</w:t>
            </w:r>
            <w:r>
              <w:rPr>
                <w:rFonts w:cs="Times New Roman"/>
              </w:rPr>
              <w:t>200m</w:t>
            </w:r>
          </w:p>
        </w:tc>
        <w:tc>
          <w:tcPr>
            <w:tcW w:w="847" w:type="pct"/>
            <w:vAlign w:val="center"/>
          </w:tcPr>
          <w:p w14:paraId="5861E7D9">
            <w:pPr>
              <w:pStyle w:val="78"/>
              <w:rPr>
                <w:rFonts w:eastAsia="黑体" w:cs="Times New Roman"/>
              </w:rPr>
            </w:pPr>
            <w:r>
              <w:rPr>
                <w:rFonts w:eastAsia="黑体" w:cs="Times New Roman"/>
              </w:rPr>
              <w:t>1</w:t>
            </w:r>
          </w:p>
        </w:tc>
      </w:tr>
      <w:tr w14:paraId="6DA5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00FAE57">
            <w:pPr>
              <w:pStyle w:val="78"/>
              <w:rPr>
                <w:rFonts w:eastAsia="黑体" w:cs="Times New Roman"/>
              </w:rPr>
            </w:pPr>
            <w:r>
              <w:rPr>
                <w:rFonts w:eastAsia="黑体" w:cs="Times New Roman"/>
              </w:rPr>
              <w:t>29</w:t>
            </w:r>
          </w:p>
        </w:tc>
        <w:tc>
          <w:tcPr>
            <w:tcW w:w="1549" w:type="pct"/>
            <w:vAlign w:val="center"/>
          </w:tcPr>
          <w:p w14:paraId="34A01D57">
            <w:pPr>
              <w:pStyle w:val="78"/>
            </w:pPr>
            <w:r>
              <w:rPr>
                <w:rFonts w:hint="eastAsia"/>
              </w:rPr>
              <w:t>电动葫芦（磨粉机用）</w:t>
            </w:r>
          </w:p>
        </w:tc>
        <w:tc>
          <w:tcPr>
            <w:tcW w:w="2177" w:type="pct"/>
            <w:vAlign w:val="center"/>
          </w:tcPr>
          <w:p w14:paraId="7D92755C">
            <w:pPr>
              <w:pStyle w:val="78"/>
              <w:rPr>
                <w:rFonts w:eastAsia="黑体" w:cs="Times New Roman"/>
              </w:rPr>
            </w:pPr>
            <w:r>
              <w:rPr>
                <w:rFonts w:eastAsia="黑体" w:cs="Times New Roman"/>
              </w:rPr>
              <w:t>2t</w:t>
            </w:r>
          </w:p>
        </w:tc>
        <w:tc>
          <w:tcPr>
            <w:tcW w:w="847" w:type="pct"/>
            <w:vAlign w:val="center"/>
          </w:tcPr>
          <w:p w14:paraId="76AD33B1">
            <w:pPr>
              <w:pStyle w:val="78"/>
              <w:rPr>
                <w:rFonts w:eastAsia="黑体" w:cs="Times New Roman"/>
              </w:rPr>
            </w:pPr>
            <w:r>
              <w:rPr>
                <w:rFonts w:eastAsia="黑体" w:cs="Times New Roman"/>
              </w:rPr>
              <w:t>1</w:t>
            </w:r>
          </w:p>
        </w:tc>
      </w:tr>
      <w:tr w14:paraId="6628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13491E6">
            <w:pPr>
              <w:pStyle w:val="78"/>
            </w:pPr>
            <w:r>
              <w:rPr>
                <w:rFonts w:hint="eastAsia"/>
              </w:rPr>
              <w:t>二</w:t>
            </w:r>
          </w:p>
        </w:tc>
        <w:tc>
          <w:tcPr>
            <w:tcW w:w="4573" w:type="pct"/>
            <w:gridSpan w:val="3"/>
            <w:vAlign w:val="center"/>
          </w:tcPr>
          <w:p w14:paraId="08CE1C85">
            <w:pPr>
              <w:pStyle w:val="78"/>
            </w:pPr>
            <w:r>
              <w:rPr>
                <w:rFonts w:hint="eastAsia"/>
              </w:rPr>
              <w:t>裂解单元</w:t>
            </w:r>
          </w:p>
        </w:tc>
      </w:tr>
      <w:tr w14:paraId="1C1D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5520318">
            <w:pPr>
              <w:pStyle w:val="78"/>
              <w:rPr>
                <w:rFonts w:eastAsia="黑体" w:cs="Times New Roman"/>
              </w:rPr>
            </w:pPr>
            <w:r>
              <w:rPr>
                <w:rFonts w:eastAsia="黑体" w:cs="Times New Roman"/>
              </w:rPr>
              <w:t>1</w:t>
            </w:r>
          </w:p>
        </w:tc>
        <w:tc>
          <w:tcPr>
            <w:tcW w:w="1549" w:type="pct"/>
            <w:vAlign w:val="center"/>
          </w:tcPr>
          <w:p w14:paraId="764D76F9">
            <w:pPr>
              <w:pStyle w:val="78"/>
            </w:pPr>
            <w:r>
              <w:rPr>
                <w:rFonts w:hint="eastAsia"/>
              </w:rPr>
              <w:t>反应器</w:t>
            </w:r>
          </w:p>
        </w:tc>
        <w:tc>
          <w:tcPr>
            <w:tcW w:w="2177" w:type="pct"/>
            <w:vAlign w:val="center"/>
          </w:tcPr>
          <w:p w14:paraId="14DA24B2">
            <w:pPr>
              <w:pStyle w:val="78"/>
              <w:rPr>
                <w:rFonts w:eastAsia="黑体" w:cs="Times New Roman"/>
              </w:rPr>
            </w:pPr>
            <w:r>
              <w:rPr>
                <w:rFonts w:eastAsia="黑体" w:cs="Times New Roman"/>
              </w:rPr>
              <w:t>ø 4100/ ø 5300</w:t>
            </w:r>
          </w:p>
        </w:tc>
        <w:tc>
          <w:tcPr>
            <w:tcW w:w="847" w:type="pct"/>
            <w:vAlign w:val="center"/>
          </w:tcPr>
          <w:p w14:paraId="0FBE8C6B">
            <w:pPr>
              <w:pStyle w:val="78"/>
              <w:rPr>
                <w:rFonts w:eastAsia="黑体" w:cs="Times New Roman"/>
              </w:rPr>
            </w:pPr>
            <w:r>
              <w:rPr>
                <w:rFonts w:eastAsia="黑体" w:cs="Times New Roman"/>
              </w:rPr>
              <w:t>1</w:t>
            </w:r>
          </w:p>
        </w:tc>
      </w:tr>
      <w:tr w14:paraId="40C0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A1655B7">
            <w:pPr>
              <w:pStyle w:val="78"/>
              <w:rPr>
                <w:rFonts w:eastAsia="黑体" w:cs="Times New Roman"/>
              </w:rPr>
            </w:pPr>
            <w:r>
              <w:rPr>
                <w:rFonts w:eastAsia="黑体" w:cs="Times New Roman"/>
              </w:rPr>
              <w:t>2</w:t>
            </w:r>
          </w:p>
        </w:tc>
        <w:tc>
          <w:tcPr>
            <w:tcW w:w="1549" w:type="pct"/>
            <w:vAlign w:val="center"/>
          </w:tcPr>
          <w:p w14:paraId="05E32201">
            <w:pPr>
              <w:pStyle w:val="78"/>
            </w:pPr>
            <w:r>
              <w:rPr>
                <w:rFonts w:hint="eastAsia"/>
              </w:rPr>
              <w:t>再生器</w:t>
            </w:r>
          </w:p>
        </w:tc>
        <w:tc>
          <w:tcPr>
            <w:tcW w:w="2177" w:type="pct"/>
            <w:vAlign w:val="center"/>
          </w:tcPr>
          <w:p w14:paraId="759C2FA4">
            <w:pPr>
              <w:pStyle w:val="78"/>
              <w:rPr>
                <w:rFonts w:eastAsia="黑体" w:cs="Times New Roman"/>
              </w:rPr>
            </w:pPr>
            <w:r>
              <w:rPr>
                <w:rFonts w:eastAsia="黑体" w:cs="Times New Roman"/>
              </w:rPr>
              <w:t>ø 3500/ ø 6500</w:t>
            </w:r>
          </w:p>
        </w:tc>
        <w:tc>
          <w:tcPr>
            <w:tcW w:w="847" w:type="pct"/>
            <w:vAlign w:val="center"/>
          </w:tcPr>
          <w:p w14:paraId="03DC9806">
            <w:pPr>
              <w:pStyle w:val="78"/>
              <w:rPr>
                <w:rFonts w:eastAsia="黑体" w:cs="Times New Roman"/>
              </w:rPr>
            </w:pPr>
            <w:r>
              <w:rPr>
                <w:rFonts w:eastAsia="黑体" w:cs="Times New Roman"/>
              </w:rPr>
              <w:t>1</w:t>
            </w:r>
          </w:p>
        </w:tc>
      </w:tr>
      <w:tr w14:paraId="339E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0436B30">
            <w:pPr>
              <w:pStyle w:val="78"/>
              <w:rPr>
                <w:rFonts w:eastAsia="黑体" w:cs="Times New Roman"/>
              </w:rPr>
            </w:pPr>
            <w:r>
              <w:rPr>
                <w:rFonts w:eastAsia="黑体" w:cs="Times New Roman"/>
              </w:rPr>
              <w:t>3</w:t>
            </w:r>
          </w:p>
        </w:tc>
        <w:tc>
          <w:tcPr>
            <w:tcW w:w="1549" w:type="pct"/>
            <w:vAlign w:val="center"/>
          </w:tcPr>
          <w:p w14:paraId="7573D957">
            <w:pPr>
              <w:pStyle w:val="78"/>
            </w:pPr>
            <w:r>
              <w:rPr>
                <w:rFonts w:hint="eastAsia"/>
              </w:rPr>
              <w:t>反应油气水洗塔</w:t>
            </w:r>
          </w:p>
        </w:tc>
        <w:tc>
          <w:tcPr>
            <w:tcW w:w="2177" w:type="pct"/>
            <w:vAlign w:val="center"/>
          </w:tcPr>
          <w:p w14:paraId="7865D4B0">
            <w:pPr>
              <w:pStyle w:val="78"/>
              <w:rPr>
                <w:rFonts w:eastAsia="黑体" w:cs="Times New Roman"/>
              </w:rPr>
            </w:pPr>
            <w:r>
              <w:rPr>
                <w:rFonts w:eastAsia="黑体" w:cs="Times New Roman"/>
              </w:rPr>
              <w:t>ø 3600×23500</w:t>
            </w:r>
            <w:r>
              <w:rPr>
                <w:rFonts w:hint="eastAsia" w:cs="Times New Roman"/>
              </w:rPr>
              <w:t>（切线）</w:t>
            </w:r>
          </w:p>
        </w:tc>
        <w:tc>
          <w:tcPr>
            <w:tcW w:w="847" w:type="pct"/>
            <w:vAlign w:val="center"/>
          </w:tcPr>
          <w:p w14:paraId="759D6E54">
            <w:pPr>
              <w:pStyle w:val="78"/>
              <w:rPr>
                <w:rFonts w:eastAsia="黑体" w:cs="Times New Roman"/>
              </w:rPr>
            </w:pPr>
            <w:r>
              <w:rPr>
                <w:rFonts w:eastAsia="黑体" w:cs="Times New Roman"/>
              </w:rPr>
              <w:t>1</w:t>
            </w:r>
          </w:p>
        </w:tc>
      </w:tr>
      <w:tr w14:paraId="7250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19DE237">
            <w:pPr>
              <w:pStyle w:val="78"/>
              <w:rPr>
                <w:rFonts w:eastAsia="黑体" w:cs="Times New Roman"/>
              </w:rPr>
            </w:pPr>
            <w:r>
              <w:rPr>
                <w:rFonts w:eastAsia="黑体" w:cs="Times New Roman"/>
              </w:rPr>
              <w:t>4</w:t>
            </w:r>
          </w:p>
        </w:tc>
        <w:tc>
          <w:tcPr>
            <w:tcW w:w="1549" w:type="pct"/>
            <w:vAlign w:val="center"/>
          </w:tcPr>
          <w:p w14:paraId="00FC35A5">
            <w:pPr>
              <w:pStyle w:val="78"/>
            </w:pPr>
            <w:r>
              <w:rPr>
                <w:rFonts w:hint="eastAsia"/>
              </w:rPr>
              <w:t>汽柴油分离塔</w:t>
            </w:r>
          </w:p>
        </w:tc>
        <w:tc>
          <w:tcPr>
            <w:tcW w:w="2177" w:type="pct"/>
            <w:vAlign w:val="center"/>
          </w:tcPr>
          <w:p w14:paraId="66A2B05D">
            <w:pPr>
              <w:pStyle w:val="78"/>
              <w:rPr>
                <w:rFonts w:eastAsia="黑体" w:cs="Times New Roman"/>
              </w:rPr>
            </w:pPr>
            <w:r>
              <w:rPr>
                <w:rFonts w:eastAsia="黑体" w:cs="Times New Roman"/>
              </w:rPr>
              <w:t>ø 1400×27950</w:t>
            </w:r>
            <w:r>
              <w:rPr>
                <w:rFonts w:hint="eastAsia" w:cs="Times New Roman"/>
              </w:rPr>
              <w:t>（切线）</w:t>
            </w:r>
          </w:p>
        </w:tc>
        <w:tc>
          <w:tcPr>
            <w:tcW w:w="847" w:type="pct"/>
            <w:vAlign w:val="center"/>
          </w:tcPr>
          <w:p w14:paraId="0A54CD2F">
            <w:pPr>
              <w:pStyle w:val="78"/>
              <w:rPr>
                <w:rFonts w:eastAsia="黑体" w:cs="Times New Roman"/>
              </w:rPr>
            </w:pPr>
            <w:r>
              <w:rPr>
                <w:rFonts w:eastAsia="黑体" w:cs="Times New Roman"/>
              </w:rPr>
              <w:t>1</w:t>
            </w:r>
          </w:p>
        </w:tc>
      </w:tr>
      <w:tr w14:paraId="39A3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D472D2E">
            <w:pPr>
              <w:pStyle w:val="78"/>
              <w:rPr>
                <w:rFonts w:eastAsia="黑体" w:cs="Times New Roman"/>
              </w:rPr>
            </w:pPr>
            <w:r>
              <w:rPr>
                <w:rFonts w:eastAsia="黑体" w:cs="Times New Roman"/>
              </w:rPr>
              <w:t>5</w:t>
            </w:r>
          </w:p>
        </w:tc>
        <w:tc>
          <w:tcPr>
            <w:tcW w:w="1549" w:type="pct"/>
            <w:vAlign w:val="center"/>
          </w:tcPr>
          <w:p w14:paraId="7E9CE9FD">
            <w:pPr>
              <w:pStyle w:val="78"/>
            </w:pPr>
            <w:r>
              <w:rPr>
                <w:rFonts w:hint="eastAsia"/>
              </w:rPr>
              <w:t>吸收塔</w:t>
            </w:r>
          </w:p>
        </w:tc>
        <w:tc>
          <w:tcPr>
            <w:tcW w:w="2177" w:type="pct"/>
            <w:vAlign w:val="center"/>
          </w:tcPr>
          <w:p w14:paraId="64C99C86">
            <w:pPr>
              <w:pStyle w:val="78"/>
              <w:rPr>
                <w:rFonts w:eastAsia="黑体" w:cs="Times New Roman"/>
              </w:rPr>
            </w:pPr>
            <w:r>
              <w:rPr>
                <w:rFonts w:eastAsia="黑体" w:cs="Times New Roman"/>
              </w:rPr>
              <w:t>ø 2000×37600</w:t>
            </w:r>
            <w:r>
              <w:rPr>
                <w:rFonts w:hint="eastAsia" w:cs="Times New Roman"/>
              </w:rPr>
              <w:t>（切线）</w:t>
            </w:r>
          </w:p>
        </w:tc>
        <w:tc>
          <w:tcPr>
            <w:tcW w:w="847" w:type="pct"/>
            <w:vAlign w:val="center"/>
          </w:tcPr>
          <w:p w14:paraId="2586A636">
            <w:pPr>
              <w:pStyle w:val="78"/>
              <w:rPr>
                <w:rFonts w:eastAsia="黑体" w:cs="Times New Roman"/>
              </w:rPr>
            </w:pPr>
            <w:r>
              <w:rPr>
                <w:rFonts w:eastAsia="黑体" w:cs="Times New Roman"/>
              </w:rPr>
              <w:t>1</w:t>
            </w:r>
          </w:p>
        </w:tc>
      </w:tr>
      <w:tr w14:paraId="7742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1BB973E">
            <w:pPr>
              <w:pStyle w:val="78"/>
              <w:rPr>
                <w:rFonts w:eastAsia="黑体" w:cs="Times New Roman"/>
              </w:rPr>
            </w:pPr>
            <w:r>
              <w:rPr>
                <w:rFonts w:eastAsia="黑体" w:cs="Times New Roman"/>
              </w:rPr>
              <w:t>6</w:t>
            </w:r>
          </w:p>
        </w:tc>
        <w:tc>
          <w:tcPr>
            <w:tcW w:w="1549" w:type="pct"/>
            <w:vAlign w:val="center"/>
          </w:tcPr>
          <w:p w14:paraId="54A607D4">
            <w:pPr>
              <w:pStyle w:val="78"/>
            </w:pPr>
            <w:r>
              <w:rPr>
                <w:rFonts w:hint="eastAsia"/>
              </w:rPr>
              <w:t>解吸塔</w:t>
            </w:r>
          </w:p>
        </w:tc>
        <w:tc>
          <w:tcPr>
            <w:tcW w:w="2177" w:type="pct"/>
            <w:vAlign w:val="center"/>
          </w:tcPr>
          <w:p w14:paraId="008735D9">
            <w:pPr>
              <w:pStyle w:val="78"/>
              <w:rPr>
                <w:rFonts w:eastAsia="黑体" w:cs="Times New Roman"/>
              </w:rPr>
            </w:pPr>
            <w:r>
              <w:rPr>
                <w:rFonts w:eastAsia="黑体" w:cs="Times New Roman"/>
              </w:rPr>
              <w:t>ø 2000×34960</w:t>
            </w:r>
            <w:r>
              <w:rPr>
                <w:rFonts w:hint="eastAsia" w:cs="Times New Roman"/>
              </w:rPr>
              <w:t>（切线）</w:t>
            </w:r>
          </w:p>
        </w:tc>
        <w:tc>
          <w:tcPr>
            <w:tcW w:w="847" w:type="pct"/>
            <w:vAlign w:val="center"/>
          </w:tcPr>
          <w:p w14:paraId="5E297389">
            <w:pPr>
              <w:pStyle w:val="78"/>
              <w:rPr>
                <w:rFonts w:eastAsia="黑体" w:cs="Times New Roman"/>
              </w:rPr>
            </w:pPr>
            <w:r>
              <w:rPr>
                <w:rFonts w:eastAsia="黑体" w:cs="Times New Roman"/>
              </w:rPr>
              <w:t>1</w:t>
            </w:r>
          </w:p>
        </w:tc>
      </w:tr>
      <w:tr w14:paraId="7EAA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4B750C9">
            <w:pPr>
              <w:pStyle w:val="78"/>
              <w:rPr>
                <w:rFonts w:eastAsia="黑体" w:cs="Times New Roman"/>
              </w:rPr>
            </w:pPr>
            <w:r>
              <w:rPr>
                <w:rFonts w:eastAsia="黑体" w:cs="Times New Roman"/>
              </w:rPr>
              <w:t>7</w:t>
            </w:r>
          </w:p>
        </w:tc>
        <w:tc>
          <w:tcPr>
            <w:tcW w:w="1549" w:type="pct"/>
            <w:vAlign w:val="center"/>
          </w:tcPr>
          <w:p w14:paraId="47A2FED1">
            <w:pPr>
              <w:pStyle w:val="78"/>
            </w:pPr>
            <w:r>
              <w:rPr>
                <w:rFonts w:hint="eastAsia"/>
              </w:rPr>
              <w:t>稳定塔</w:t>
            </w:r>
          </w:p>
        </w:tc>
        <w:tc>
          <w:tcPr>
            <w:tcW w:w="2177" w:type="pct"/>
            <w:vAlign w:val="center"/>
          </w:tcPr>
          <w:p w14:paraId="531682EC">
            <w:pPr>
              <w:pStyle w:val="78"/>
              <w:rPr>
                <w:rFonts w:eastAsia="黑体" w:cs="Times New Roman"/>
              </w:rPr>
            </w:pPr>
            <w:r>
              <w:rPr>
                <w:rFonts w:eastAsia="黑体" w:cs="Times New Roman"/>
              </w:rPr>
              <w:t>ø 2400×41050</w:t>
            </w:r>
            <w:r>
              <w:rPr>
                <w:rFonts w:hint="eastAsia" w:cs="Times New Roman"/>
              </w:rPr>
              <w:t>（切线）</w:t>
            </w:r>
          </w:p>
        </w:tc>
        <w:tc>
          <w:tcPr>
            <w:tcW w:w="847" w:type="pct"/>
            <w:vAlign w:val="center"/>
          </w:tcPr>
          <w:p w14:paraId="21A98043">
            <w:pPr>
              <w:pStyle w:val="78"/>
              <w:rPr>
                <w:rFonts w:eastAsia="黑体" w:cs="Times New Roman"/>
              </w:rPr>
            </w:pPr>
            <w:r>
              <w:rPr>
                <w:rFonts w:eastAsia="黑体" w:cs="Times New Roman"/>
              </w:rPr>
              <w:t>1</w:t>
            </w:r>
          </w:p>
        </w:tc>
      </w:tr>
      <w:tr w14:paraId="0634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64E52DC">
            <w:pPr>
              <w:pStyle w:val="78"/>
              <w:rPr>
                <w:rFonts w:eastAsia="黑体" w:cs="Times New Roman"/>
              </w:rPr>
            </w:pPr>
            <w:r>
              <w:rPr>
                <w:rFonts w:eastAsia="黑体" w:cs="Times New Roman"/>
              </w:rPr>
              <w:t>8</w:t>
            </w:r>
          </w:p>
        </w:tc>
        <w:tc>
          <w:tcPr>
            <w:tcW w:w="1549" w:type="pct"/>
            <w:vAlign w:val="center"/>
          </w:tcPr>
          <w:p w14:paraId="65CDB349">
            <w:pPr>
              <w:pStyle w:val="78"/>
            </w:pPr>
            <w:r>
              <w:rPr>
                <w:rFonts w:hint="eastAsia"/>
              </w:rPr>
              <w:t>脱碳二塔</w:t>
            </w:r>
          </w:p>
        </w:tc>
        <w:tc>
          <w:tcPr>
            <w:tcW w:w="2177" w:type="pct"/>
            <w:vAlign w:val="center"/>
          </w:tcPr>
          <w:p w14:paraId="1F63F0E8">
            <w:pPr>
              <w:pStyle w:val="78"/>
              <w:rPr>
                <w:rFonts w:eastAsia="黑体" w:cs="Times New Roman"/>
              </w:rPr>
            </w:pPr>
            <w:r>
              <w:rPr>
                <w:rFonts w:eastAsia="黑体" w:cs="Times New Roman"/>
              </w:rPr>
              <w:t>ø 1600×32060</w:t>
            </w:r>
            <w:r>
              <w:rPr>
                <w:rFonts w:hint="eastAsia" w:cs="Times New Roman"/>
              </w:rPr>
              <w:t>（切线）</w:t>
            </w:r>
          </w:p>
        </w:tc>
        <w:tc>
          <w:tcPr>
            <w:tcW w:w="847" w:type="pct"/>
            <w:vAlign w:val="center"/>
          </w:tcPr>
          <w:p w14:paraId="581DB1A5">
            <w:pPr>
              <w:pStyle w:val="78"/>
              <w:rPr>
                <w:rFonts w:eastAsia="黑体" w:cs="Times New Roman"/>
              </w:rPr>
            </w:pPr>
            <w:r>
              <w:rPr>
                <w:rFonts w:eastAsia="黑体" w:cs="Times New Roman"/>
              </w:rPr>
              <w:t>1</w:t>
            </w:r>
          </w:p>
        </w:tc>
      </w:tr>
      <w:tr w14:paraId="1583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A0417C3">
            <w:pPr>
              <w:pStyle w:val="78"/>
              <w:rPr>
                <w:rFonts w:eastAsia="黑体" w:cs="Times New Roman"/>
              </w:rPr>
            </w:pPr>
            <w:r>
              <w:rPr>
                <w:rFonts w:eastAsia="黑体" w:cs="Times New Roman"/>
              </w:rPr>
              <w:t>9</w:t>
            </w:r>
          </w:p>
        </w:tc>
        <w:tc>
          <w:tcPr>
            <w:tcW w:w="1549" w:type="pct"/>
            <w:vAlign w:val="center"/>
          </w:tcPr>
          <w:p w14:paraId="4A106D27">
            <w:pPr>
              <w:pStyle w:val="78"/>
            </w:pPr>
            <w:r>
              <w:rPr>
                <w:rFonts w:hint="eastAsia"/>
              </w:rPr>
              <w:t>冷催化剂罐</w:t>
            </w:r>
          </w:p>
        </w:tc>
        <w:tc>
          <w:tcPr>
            <w:tcW w:w="2177" w:type="pct"/>
            <w:vAlign w:val="center"/>
          </w:tcPr>
          <w:p w14:paraId="73385EC9">
            <w:pPr>
              <w:pStyle w:val="78"/>
              <w:rPr>
                <w:rFonts w:eastAsia="黑体" w:cs="Times New Roman"/>
              </w:rPr>
            </w:pPr>
            <w:r>
              <w:rPr>
                <w:rFonts w:eastAsia="黑体" w:cs="Times New Roman"/>
              </w:rPr>
              <w:t>ø 3800×13000</w:t>
            </w:r>
            <w:r>
              <w:rPr>
                <w:rFonts w:hint="eastAsia" w:cs="Times New Roman"/>
              </w:rPr>
              <w:t>（切线）立式</w:t>
            </w:r>
          </w:p>
        </w:tc>
        <w:tc>
          <w:tcPr>
            <w:tcW w:w="847" w:type="pct"/>
            <w:vAlign w:val="center"/>
          </w:tcPr>
          <w:p w14:paraId="54993B41">
            <w:pPr>
              <w:pStyle w:val="78"/>
              <w:rPr>
                <w:rFonts w:eastAsia="黑体" w:cs="Times New Roman"/>
              </w:rPr>
            </w:pPr>
            <w:r>
              <w:rPr>
                <w:rFonts w:eastAsia="黑体" w:cs="Times New Roman"/>
              </w:rPr>
              <w:t>1</w:t>
            </w:r>
          </w:p>
        </w:tc>
      </w:tr>
      <w:tr w14:paraId="78AA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23EB7E9">
            <w:pPr>
              <w:pStyle w:val="78"/>
              <w:rPr>
                <w:rFonts w:eastAsia="黑体" w:cs="Times New Roman"/>
              </w:rPr>
            </w:pPr>
            <w:r>
              <w:rPr>
                <w:rFonts w:eastAsia="黑体" w:cs="Times New Roman"/>
              </w:rPr>
              <w:t>10</w:t>
            </w:r>
          </w:p>
        </w:tc>
        <w:tc>
          <w:tcPr>
            <w:tcW w:w="1549" w:type="pct"/>
            <w:vAlign w:val="center"/>
          </w:tcPr>
          <w:p w14:paraId="1B224688">
            <w:pPr>
              <w:pStyle w:val="78"/>
            </w:pPr>
            <w:r>
              <w:rPr>
                <w:rFonts w:hint="eastAsia"/>
              </w:rPr>
              <w:t>热催化剂灌</w:t>
            </w:r>
          </w:p>
        </w:tc>
        <w:tc>
          <w:tcPr>
            <w:tcW w:w="2177" w:type="pct"/>
            <w:vAlign w:val="center"/>
          </w:tcPr>
          <w:p w14:paraId="0CF87D91">
            <w:pPr>
              <w:pStyle w:val="78"/>
              <w:rPr>
                <w:rFonts w:eastAsia="黑体" w:cs="Times New Roman"/>
              </w:rPr>
            </w:pPr>
            <w:r>
              <w:rPr>
                <w:rFonts w:eastAsia="黑体" w:cs="Times New Roman"/>
              </w:rPr>
              <w:t>ø 3800×13000</w:t>
            </w:r>
            <w:r>
              <w:rPr>
                <w:rFonts w:hint="eastAsia" w:cs="Times New Roman"/>
              </w:rPr>
              <w:t>（切线）立式</w:t>
            </w:r>
          </w:p>
        </w:tc>
        <w:tc>
          <w:tcPr>
            <w:tcW w:w="847" w:type="pct"/>
            <w:vAlign w:val="center"/>
          </w:tcPr>
          <w:p w14:paraId="33F5D2F5">
            <w:pPr>
              <w:pStyle w:val="78"/>
              <w:rPr>
                <w:rFonts w:eastAsia="黑体" w:cs="Times New Roman"/>
              </w:rPr>
            </w:pPr>
            <w:r>
              <w:rPr>
                <w:rFonts w:eastAsia="黑体" w:cs="Times New Roman"/>
              </w:rPr>
              <w:t>1</w:t>
            </w:r>
          </w:p>
        </w:tc>
      </w:tr>
      <w:tr w14:paraId="6FAA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B641B9E">
            <w:pPr>
              <w:pStyle w:val="78"/>
              <w:rPr>
                <w:rFonts w:eastAsia="黑体" w:cs="Times New Roman"/>
              </w:rPr>
            </w:pPr>
            <w:r>
              <w:rPr>
                <w:rFonts w:eastAsia="黑体" w:cs="Times New Roman"/>
              </w:rPr>
              <w:t>11</w:t>
            </w:r>
          </w:p>
        </w:tc>
        <w:tc>
          <w:tcPr>
            <w:tcW w:w="1549" w:type="pct"/>
            <w:vAlign w:val="center"/>
          </w:tcPr>
          <w:p w14:paraId="5A845C15">
            <w:pPr>
              <w:pStyle w:val="78"/>
            </w:pPr>
            <w:r>
              <w:rPr>
                <w:rFonts w:hint="eastAsia"/>
              </w:rPr>
              <w:t>废催化剂罐</w:t>
            </w:r>
          </w:p>
        </w:tc>
        <w:tc>
          <w:tcPr>
            <w:tcW w:w="2177" w:type="pct"/>
            <w:vAlign w:val="center"/>
          </w:tcPr>
          <w:p w14:paraId="22CD69BF">
            <w:pPr>
              <w:pStyle w:val="78"/>
              <w:rPr>
                <w:rFonts w:eastAsia="黑体" w:cs="Times New Roman"/>
              </w:rPr>
            </w:pPr>
            <w:r>
              <w:rPr>
                <w:rFonts w:eastAsia="黑体" w:cs="Times New Roman"/>
              </w:rPr>
              <w:t>ø 3800×13000</w:t>
            </w:r>
            <w:r>
              <w:rPr>
                <w:rFonts w:hint="eastAsia" w:cs="Times New Roman"/>
              </w:rPr>
              <w:t>（切线）立式</w:t>
            </w:r>
          </w:p>
        </w:tc>
        <w:tc>
          <w:tcPr>
            <w:tcW w:w="847" w:type="pct"/>
            <w:vAlign w:val="center"/>
          </w:tcPr>
          <w:p w14:paraId="3D5E8F3E">
            <w:pPr>
              <w:pStyle w:val="78"/>
              <w:rPr>
                <w:rFonts w:eastAsia="黑体" w:cs="Times New Roman"/>
              </w:rPr>
            </w:pPr>
            <w:r>
              <w:rPr>
                <w:rFonts w:eastAsia="黑体" w:cs="Times New Roman"/>
              </w:rPr>
              <w:t>1</w:t>
            </w:r>
          </w:p>
        </w:tc>
      </w:tr>
      <w:tr w14:paraId="51D7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832E047">
            <w:pPr>
              <w:pStyle w:val="78"/>
              <w:rPr>
                <w:rFonts w:eastAsia="黑体" w:cs="Times New Roman"/>
              </w:rPr>
            </w:pPr>
            <w:r>
              <w:rPr>
                <w:rFonts w:eastAsia="黑体" w:cs="Times New Roman"/>
              </w:rPr>
              <w:t>12</w:t>
            </w:r>
          </w:p>
        </w:tc>
        <w:tc>
          <w:tcPr>
            <w:tcW w:w="1549" w:type="pct"/>
            <w:vAlign w:val="center"/>
          </w:tcPr>
          <w:p w14:paraId="02D2FA42">
            <w:pPr>
              <w:pStyle w:val="78"/>
            </w:pPr>
            <w:r>
              <w:rPr>
                <w:rFonts w:hint="eastAsia"/>
              </w:rPr>
              <w:t>催化剂加料斗</w:t>
            </w:r>
          </w:p>
        </w:tc>
        <w:tc>
          <w:tcPr>
            <w:tcW w:w="2177" w:type="pct"/>
            <w:vAlign w:val="center"/>
          </w:tcPr>
          <w:p w14:paraId="72D7701E">
            <w:pPr>
              <w:pStyle w:val="78"/>
              <w:rPr>
                <w:rFonts w:eastAsia="黑体" w:cs="Times New Roman"/>
              </w:rPr>
            </w:pPr>
            <w:r>
              <w:rPr>
                <w:rFonts w:eastAsia="黑体" w:cs="Times New Roman"/>
              </w:rPr>
              <w:t>ø 1500×1246×6</w:t>
            </w:r>
            <w:r>
              <w:rPr>
                <w:rFonts w:hint="eastAsia" w:cs="Times New Roman"/>
              </w:rPr>
              <w:t>圆型</w:t>
            </w:r>
          </w:p>
        </w:tc>
        <w:tc>
          <w:tcPr>
            <w:tcW w:w="847" w:type="pct"/>
            <w:vAlign w:val="center"/>
          </w:tcPr>
          <w:p w14:paraId="4DF52D4E">
            <w:pPr>
              <w:pStyle w:val="78"/>
              <w:rPr>
                <w:rFonts w:eastAsia="黑体" w:cs="Times New Roman"/>
              </w:rPr>
            </w:pPr>
            <w:r>
              <w:rPr>
                <w:rFonts w:eastAsia="黑体" w:cs="Times New Roman"/>
              </w:rPr>
              <w:t>1</w:t>
            </w:r>
          </w:p>
        </w:tc>
      </w:tr>
      <w:tr w14:paraId="783B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25B4535">
            <w:pPr>
              <w:pStyle w:val="78"/>
              <w:rPr>
                <w:rFonts w:eastAsia="黑体" w:cs="Times New Roman"/>
              </w:rPr>
            </w:pPr>
            <w:r>
              <w:rPr>
                <w:rFonts w:eastAsia="黑体" w:cs="Times New Roman"/>
              </w:rPr>
              <w:t>13</w:t>
            </w:r>
          </w:p>
        </w:tc>
        <w:tc>
          <w:tcPr>
            <w:tcW w:w="1549" w:type="pct"/>
            <w:vAlign w:val="center"/>
          </w:tcPr>
          <w:p w14:paraId="627AEEAC">
            <w:pPr>
              <w:pStyle w:val="78"/>
            </w:pPr>
            <w:r>
              <w:rPr>
                <w:rFonts w:hint="eastAsia"/>
              </w:rPr>
              <w:t>助燃剂加料斗</w:t>
            </w:r>
          </w:p>
        </w:tc>
        <w:tc>
          <w:tcPr>
            <w:tcW w:w="2177" w:type="pct"/>
            <w:vAlign w:val="center"/>
          </w:tcPr>
          <w:p w14:paraId="21233652">
            <w:pPr>
              <w:pStyle w:val="78"/>
              <w:rPr>
                <w:rFonts w:eastAsia="黑体" w:cs="Times New Roman"/>
              </w:rPr>
            </w:pPr>
            <w:r>
              <w:rPr>
                <w:rFonts w:eastAsia="黑体" w:cs="Times New Roman"/>
              </w:rPr>
              <w:t>Φ400×550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立式</w:t>
            </w:r>
            <w:r>
              <w:rPr>
                <w:rFonts w:eastAsia="黑体" w:cs="Times New Roman"/>
              </w:rPr>
              <w:t>)</w:t>
            </w:r>
          </w:p>
        </w:tc>
        <w:tc>
          <w:tcPr>
            <w:tcW w:w="847" w:type="pct"/>
            <w:vAlign w:val="center"/>
          </w:tcPr>
          <w:p w14:paraId="5EE7A89A">
            <w:pPr>
              <w:pStyle w:val="78"/>
              <w:rPr>
                <w:rFonts w:eastAsia="黑体" w:cs="Times New Roman"/>
              </w:rPr>
            </w:pPr>
            <w:r>
              <w:rPr>
                <w:rFonts w:eastAsia="黑体" w:cs="Times New Roman"/>
              </w:rPr>
              <w:t>1</w:t>
            </w:r>
          </w:p>
        </w:tc>
      </w:tr>
      <w:tr w14:paraId="10A6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00049CE">
            <w:pPr>
              <w:pStyle w:val="78"/>
              <w:rPr>
                <w:rFonts w:eastAsia="黑体" w:cs="Times New Roman"/>
              </w:rPr>
            </w:pPr>
            <w:r>
              <w:rPr>
                <w:rFonts w:eastAsia="黑体" w:cs="Times New Roman"/>
              </w:rPr>
              <w:t>14</w:t>
            </w:r>
          </w:p>
        </w:tc>
        <w:tc>
          <w:tcPr>
            <w:tcW w:w="1549" w:type="pct"/>
            <w:vAlign w:val="center"/>
          </w:tcPr>
          <w:p w14:paraId="161C2819">
            <w:pPr>
              <w:pStyle w:val="78"/>
            </w:pPr>
            <w:r>
              <w:rPr>
                <w:rFonts w:hint="eastAsia"/>
              </w:rPr>
              <w:t>助燃剂加料罐</w:t>
            </w:r>
          </w:p>
        </w:tc>
        <w:tc>
          <w:tcPr>
            <w:tcW w:w="2177" w:type="pct"/>
            <w:vAlign w:val="center"/>
          </w:tcPr>
          <w:p w14:paraId="513B0CC4">
            <w:pPr>
              <w:pStyle w:val="78"/>
              <w:rPr>
                <w:rFonts w:eastAsia="黑体" w:cs="Times New Roman"/>
              </w:rPr>
            </w:pPr>
            <w:r>
              <w:rPr>
                <w:rFonts w:eastAsia="黑体" w:cs="Times New Roman"/>
              </w:rPr>
              <w:t>Φ600×600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立式</w:t>
            </w:r>
            <w:r>
              <w:rPr>
                <w:rFonts w:eastAsia="黑体" w:cs="Times New Roman"/>
              </w:rPr>
              <w:t>)</w:t>
            </w:r>
          </w:p>
        </w:tc>
        <w:tc>
          <w:tcPr>
            <w:tcW w:w="847" w:type="pct"/>
            <w:vAlign w:val="center"/>
          </w:tcPr>
          <w:p w14:paraId="61659231">
            <w:pPr>
              <w:pStyle w:val="78"/>
              <w:rPr>
                <w:rFonts w:eastAsia="黑体" w:cs="Times New Roman"/>
              </w:rPr>
            </w:pPr>
            <w:r>
              <w:rPr>
                <w:rFonts w:eastAsia="黑体" w:cs="Times New Roman"/>
              </w:rPr>
              <w:t>1</w:t>
            </w:r>
          </w:p>
        </w:tc>
      </w:tr>
      <w:tr w14:paraId="257C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960F9AA">
            <w:pPr>
              <w:pStyle w:val="78"/>
              <w:rPr>
                <w:rFonts w:eastAsia="黑体" w:cs="Times New Roman"/>
              </w:rPr>
            </w:pPr>
            <w:r>
              <w:rPr>
                <w:rFonts w:eastAsia="黑体" w:cs="Times New Roman"/>
              </w:rPr>
              <w:t>15</w:t>
            </w:r>
          </w:p>
        </w:tc>
        <w:tc>
          <w:tcPr>
            <w:tcW w:w="1549" w:type="pct"/>
            <w:vAlign w:val="center"/>
          </w:tcPr>
          <w:p w14:paraId="7856D51B">
            <w:pPr>
              <w:pStyle w:val="78"/>
            </w:pPr>
            <w:r>
              <w:rPr>
                <w:rFonts w:hint="eastAsia"/>
              </w:rPr>
              <w:t>三旋回收催化剂储罐</w:t>
            </w:r>
          </w:p>
        </w:tc>
        <w:tc>
          <w:tcPr>
            <w:tcW w:w="2177" w:type="pct"/>
            <w:vAlign w:val="center"/>
          </w:tcPr>
          <w:p w14:paraId="363A71A8">
            <w:pPr>
              <w:pStyle w:val="78"/>
              <w:rPr>
                <w:rFonts w:eastAsia="黑体" w:cs="Times New Roman"/>
              </w:rPr>
            </w:pPr>
            <w:r>
              <w:rPr>
                <w:rFonts w:eastAsia="黑体" w:cs="Times New Roman"/>
              </w:rPr>
              <w:t>Φ5000×3000(</w:t>
            </w:r>
            <w:r>
              <w:rPr>
                <w:rFonts w:hint="eastAsia" w:cs="Times New Roman"/>
              </w:rPr>
              <w:t>立式</w:t>
            </w:r>
            <w:r>
              <w:rPr>
                <w:rFonts w:eastAsia="黑体" w:cs="Times New Roman"/>
              </w:rPr>
              <w:t>)</w:t>
            </w:r>
          </w:p>
        </w:tc>
        <w:tc>
          <w:tcPr>
            <w:tcW w:w="847" w:type="pct"/>
            <w:vAlign w:val="center"/>
          </w:tcPr>
          <w:p w14:paraId="7B2715D1">
            <w:pPr>
              <w:pStyle w:val="78"/>
              <w:rPr>
                <w:rFonts w:eastAsia="黑体" w:cs="Times New Roman"/>
              </w:rPr>
            </w:pPr>
            <w:r>
              <w:rPr>
                <w:rFonts w:eastAsia="黑体" w:cs="Times New Roman"/>
              </w:rPr>
              <w:t>1</w:t>
            </w:r>
          </w:p>
        </w:tc>
      </w:tr>
      <w:tr w14:paraId="79C2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2B68B1F">
            <w:pPr>
              <w:pStyle w:val="78"/>
              <w:rPr>
                <w:rFonts w:eastAsia="黑体" w:cs="Times New Roman"/>
              </w:rPr>
            </w:pPr>
            <w:r>
              <w:rPr>
                <w:rFonts w:eastAsia="黑体" w:cs="Times New Roman"/>
              </w:rPr>
              <w:t>16</w:t>
            </w:r>
          </w:p>
        </w:tc>
        <w:tc>
          <w:tcPr>
            <w:tcW w:w="1549" w:type="pct"/>
            <w:vAlign w:val="center"/>
          </w:tcPr>
          <w:p w14:paraId="7003FC3A">
            <w:pPr>
              <w:pStyle w:val="78"/>
            </w:pPr>
            <w:r>
              <w:rPr>
                <w:rFonts w:hint="eastAsia"/>
              </w:rPr>
              <w:t>清洁颗粒加料斗</w:t>
            </w:r>
          </w:p>
        </w:tc>
        <w:tc>
          <w:tcPr>
            <w:tcW w:w="2177" w:type="pct"/>
            <w:vAlign w:val="center"/>
          </w:tcPr>
          <w:p w14:paraId="63F02059">
            <w:pPr>
              <w:pStyle w:val="78"/>
              <w:rPr>
                <w:rFonts w:eastAsia="黑体" w:cs="Times New Roman"/>
              </w:rPr>
            </w:pPr>
            <w:r>
              <w:rPr>
                <w:rFonts w:eastAsia="黑体" w:cs="Times New Roman"/>
              </w:rPr>
              <w:t>Φ400×550(</w:t>
            </w:r>
            <w:r>
              <w:rPr>
                <w:rFonts w:hint="eastAsia" w:cs="Times New Roman"/>
              </w:rPr>
              <w:t>立式</w:t>
            </w:r>
            <w:r>
              <w:rPr>
                <w:rFonts w:eastAsia="黑体" w:cs="Times New Roman"/>
              </w:rPr>
              <w:t>)</w:t>
            </w:r>
          </w:p>
        </w:tc>
        <w:tc>
          <w:tcPr>
            <w:tcW w:w="847" w:type="pct"/>
            <w:vAlign w:val="center"/>
          </w:tcPr>
          <w:p w14:paraId="0E15EA1A">
            <w:pPr>
              <w:pStyle w:val="78"/>
              <w:rPr>
                <w:rFonts w:eastAsia="黑体" w:cs="Times New Roman"/>
              </w:rPr>
            </w:pPr>
            <w:r>
              <w:rPr>
                <w:rFonts w:eastAsia="黑体" w:cs="Times New Roman"/>
              </w:rPr>
              <w:t>1</w:t>
            </w:r>
          </w:p>
        </w:tc>
      </w:tr>
      <w:tr w14:paraId="594C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7A49997">
            <w:pPr>
              <w:pStyle w:val="78"/>
              <w:rPr>
                <w:rFonts w:eastAsia="黑体" w:cs="Times New Roman"/>
              </w:rPr>
            </w:pPr>
            <w:r>
              <w:rPr>
                <w:rFonts w:eastAsia="黑体" w:cs="Times New Roman"/>
              </w:rPr>
              <w:t>17</w:t>
            </w:r>
          </w:p>
        </w:tc>
        <w:tc>
          <w:tcPr>
            <w:tcW w:w="1549" w:type="pct"/>
            <w:vAlign w:val="center"/>
          </w:tcPr>
          <w:p w14:paraId="40A512B1">
            <w:pPr>
              <w:pStyle w:val="78"/>
            </w:pPr>
            <w:r>
              <w:rPr>
                <w:rFonts w:hint="eastAsia"/>
              </w:rPr>
              <w:t>清洁颗粒加料罐</w:t>
            </w:r>
          </w:p>
        </w:tc>
        <w:tc>
          <w:tcPr>
            <w:tcW w:w="2177" w:type="pct"/>
            <w:vAlign w:val="center"/>
          </w:tcPr>
          <w:p w14:paraId="17CAEC2A">
            <w:pPr>
              <w:pStyle w:val="78"/>
              <w:rPr>
                <w:rFonts w:eastAsia="黑体" w:cs="Times New Roman"/>
              </w:rPr>
            </w:pPr>
            <w:r>
              <w:rPr>
                <w:rFonts w:eastAsia="黑体" w:cs="Times New Roman"/>
              </w:rPr>
              <w:t>Φ600×600(</w:t>
            </w:r>
            <w:r>
              <w:rPr>
                <w:rFonts w:hint="eastAsia" w:cs="Times New Roman"/>
              </w:rPr>
              <w:t>立式</w:t>
            </w:r>
            <w:r>
              <w:rPr>
                <w:rFonts w:eastAsia="黑体" w:cs="Times New Roman"/>
              </w:rPr>
              <w:t>)</w:t>
            </w:r>
          </w:p>
        </w:tc>
        <w:tc>
          <w:tcPr>
            <w:tcW w:w="847" w:type="pct"/>
            <w:vAlign w:val="center"/>
          </w:tcPr>
          <w:p w14:paraId="5ED2D542">
            <w:pPr>
              <w:pStyle w:val="78"/>
              <w:rPr>
                <w:rFonts w:eastAsia="黑体" w:cs="Times New Roman"/>
              </w:rPr>
            </w:pPr>
            <w:r>
              <w:rPr>
                <w:rFonts w:eastAsia="黑体" w:cs="Times New Roman"/>
              </w:rPr>
              <w:t>1</w:t>
            </w:r>
          </w:p>
        </w:tc>
      </w:tr>
      <w:tr w14:paraId="2C7D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8C863C7">
            <w:pPr>
              <w:pStyle w:val="78"/>
              <w:rPr>
                <w:rFonts w:eastAsia="黑体" w:cs="Times New Roman"/>
              </w:rPr>
            </w:pPr>
            <w:r>
              <w:rPr>
                <w:rFonts w:eastAsia="黑体" w:cs="Times New Roman"/>
              </w:rPr>
              <w:t>18</w:t>
            </w:r>
          </w:p>
        </w:tc>
        <w:tc>
          <w:tcPr>
            <w:tcW w:w="1549" w:type="pct"/>
            <w:vAlign w:val="center"/>
          </w:tcPr>
          <w:p w14:paraId="1AA8A90E">
            <w:pPr>
              <w:pStyle w:val="78"/>
            </w:pPr>
            <w:r>
              <w:rPr>
                <w:rFonts w:hint="eastAsia"/>
              </w:rPr>
              <w:t>上段洗涤水溢油罐</w:t>
            </w:r>
          </w:p>
        </w:tc>
        <w:tc>
          <w:tcPr>
            <w:tcW w:w="2177" w:type="pct"/>
            <w:vAlign w:val="center"/>
          </w:tcPr>
          <w:p w14:paraId="536A36CE">
            <w:pPr>
              <w:pStyle w:val="78"/>
            </w:pPr>
            <w:r>
              <w:rPr>
                <w:rFonts w:hint="eastAsia"/>
              </w:rPr>
              <w:t>Φ</w:t>
            </w:r>
            <w:r>
              <w:rPr>
                <w:rFonts w:cs="Times New Roman"/>
              </w:rPr>
              <w:t>4000</w:t>
            </w:r>
            <w:r>
              <w:rPr>
                <w:rFonts w:hint="eastAsia"/>
              </w:rPr>
              <w:t>×</w:t>
            </w:r>
            <w:r>
              <w:rPr>
                <w:rFonts w:cs="Times New Roman"/>
              </w:rPr>
              <w:t>10000</w:t>
            </w:r>
            <w:r>
              <w:rPr>
                <w:rFonts w:hint="eastAsia"/>
              </w:rPr>
              <w:t>（</w:t>
            </w:r>
            <w:r>
              <w:rPr>
                <w:rFonts w:cs="Times New Roman"/>
              </w:rPr>
              <w:t>T/T</w:t>
            </w:r>
            <w:r>
              <w:rPr>
                <w:rFonts w:hint="eastAsia"/>
              </w:rPr>
              <w:t>）</w:t>
            </w:r>
            <w:r>
              <w:rPr>
                <w:rFonts w:cs="Times New Roman"/>
              </w:rPr>
              <w:t>(</w:t>
            </w:r>
            <w:r>
              <w:rPr>
                <w:rFonts w:hint="eastAsia"/>
              </w:rPr>
              <w:t>卧式</w:t>
            </w:r>
            <w:r>
              <w:rPr>
                <w:rFonts w:cs="Times New Roman"/>
              </w:rPr>
              <w:t>)</w:t>
            </w:r>
          </w:p>
        </w:tc>
        <w:tc>
          <w:tcPr>
            <w:tcW w:w="847" w:type="pct"/>
            <w:vAlign w:val="center"/>
          </w:tcPr>
          <w:p w14:paraId="2CC569EF">
            <w:pPr>
              <w:pStyle w:val="78"/>
              <w:rPr>
                <w:rFonts w:eastAsia="黑体" w:cs="Times New Roman"/>
              </w:rPr>
            </w:pPr>
            <w:r>
              <w:rPr>
                <w:rFonts w:eastAsia="黑体" w:cs="Times New Roman"/>
              </w:rPr>
              <w:t>1</w:t>
            </w:r>
          </w:p>
        </w:tc>
      </w:tr>
      <w:tr w14:paraId="4381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E86A19B">
            <w:pPr>
              <w:pStyle w:val="78"/>
              <w:rPr>
                <w:rFonts w:eastAsia="黑体" w:cs="Times New Roman"/>
              </w:rPr>
            </w:pPr>
            <w:r>
              <w:rPr>
                <w:rFonts w:eastAsia="黑体" w:cs="Times New Roman"/>
              </w:rPr>
              <w:t>19</w:t>
            </w:r>
          </w:p>
        </w:tc>
        <w:tc>
          <w:tcPr>
            <w:tcW w:w="1549" w:type="pct"/>
            <w:vAlign w:val="center"/>
          </w:tcPr>
          <w:p w14:paraId="3DF29917">
            <w:pPr>
              <w:pStyle w:val="78"/>
            </w:pPr>
            <w:r>
              <w:rPr>
                <w:rFonts w:hint="eastAsia"/>
              </w:rPr>
              <w:t>杂油罐</w:t>
            </w:r>
          </w:p>
        </w:tc>
        <w:tc>
          <w:tcPr>
            <w:tcW w:w="2177" w:type="pct"/>
            <w:vAlign w:val="center"/>
          </w:tcPr>
          <w:p w14:paraId="1EE7E2D8">
            <w:pPr>
              <w:pStyle w:val="78"/>
              <w:rPr>
                <w:rFonts w:eastAsia="黑体" w:cs="Times New Roman"/>
              </w:rPr>
            </w:pPr>
            <w:r>
              <w:rPr>
                <w:rFonts w:eastAsia="黑体" w:cs="Times New Roman"/>
              </w:rPr>
              <w:t>Φ1500×5000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卧式</w:t>
            </w:r>
            <w:r>
              <w:rPr>
                <w:rFonts w:eastAsia="黑体" w:cs="Times New Roman"/>
              </w:rPr>
              <w:t>)</w:t>
            </w:r>
          </w:p>
        </w:tc>
        <w:tc>
          <w:tcPr>
            <w:tcW w:w="847" w:type="pct"/>
            <w:vAlign w:val="center"/>
          </w:tcPr>
          <w:p w14:paraId="40F649FE">
            <w:pPr>
              <w:pStyle w:val="78"/>
              <w:rPr>
                <w:rFonts w:eastAsia="黑体" w:cs="Times New Roman"/>
              </w:rPr>
            </w:pPr>
            <w:r>
              <w:rPr>
                <w:rFonts w:eastAsia="黑体" w:cs="Times New Roman"/>
              </w:rPr>
              <w:t>1</w:t>
            </w:r>
          </w:p>
        </w:tc>
      </w:tr>
      <w:tr w14:paraId="7FCC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5689609">
            <w:pPr>
              <w:pStyle w:val="78"/>
              <w:rPr>
                <w:rFonts w:eastAsia="黑体" w:cs="Times New Roman"/>
              </w:rPr>
            </w:pPr>
            <w:r>
              <w:rPr>
                <w:rFonts w:eastAsia="黑体" w:cs="Times New Roman"/>
              </w:rPr>
              <w:t>20</w:t>
            </w:r>
          </w:p>
        </w:tc>
        <w:tc>
          <w:tcPr>
            <w:tcW w:w="1549" w:type="pct"/>
            <w:vAlign w:val="center"/>
          </w:tcPr>
          <w:p w14:paraId="2850C8A3">
            <w:pPr>
              <w:pStyle w:val="78"/>
            </w:pPr>
            <w:r>
              <w:rPr>
                <w:rFonts w:hint="eastAsia"/>
              </w:rPr>
              <w:t>卧板滤清液罐</w:t>
            </w:r>
          </w:p>
        </w:tc>
        <w:tc>
          <w:tcPr>
            <w:tcW w:w="2177" w:type="pct"/>
            <w:vAlign w:val="center"/>
          </w:tcPr>
          <w:p w14:paraId="3E2DE83C">
            <w:pPr>
              <w:pStyle w:val="78"/>
              <w:rPr>
                <w:rFonts w:eastAsia="黑体" w:cs="Times New Roman"/>
              </w:rPr>
            </w:pPr>
            <w:r>
              <w:rPr>
                <w:rFonts w:eastAsia="黑体" w:cs="Times New Roman"/>
              </w:rPr>
              <w:t>Φ2000×6000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卧式</w:t>
            </w:r>
            <w:r>
              <w:rPr>
                <w:rFonts w:eastAsia="黑体" w:cs="Times New Roman"/>
              </w:rPr>
              <w:t>)</w:t>
            </w:r>
          </w:p>
        </w:tc>
        <w:tc>
          <w:tcPr>
            <w:tcW w:w="847" w:type="pct"/>
            <w:vAlign w:val="center"/>
          </w:tcPr>
          <w:p w14:paraId="02332988">
            <w:pPr>
              <w:pStyle w:val="78"/>
              <w:rPr>
                <w:rFonts w:eastAsia="黑体" w:cs="Times New Roman"/>
              </w:rPr>
            </w:pPr>
            <w:r>
              <w:rPr>
                <w:rFonts w:eastAsia="黑体" w:cs="Times New Roman"/>
              </w:rPr>
              <w:t>1</w:t>
            </w:r>
          </w:p>
        </w:tc>
      </w:tr>
      <w:tr w14:paraId="19B2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43F546C">
            <w:pPr>
              <w:pStyle w:val="78"/>
              <w:rPr>
                <w:rFonts w:eastAsia="黑体" w:cs="Times New Roman"/>
              </w:rPr>
            </w:pPr>
            <w:r>
              <w:rPr>
                <w:rFonts w:eastAsia="黑体" w:cs="Times New Roman"/>
              </w:rPr>
              <w:t>21</w:t>
            </w:r>
          </w:p>
        </w:tc>
        <w:tc>
          <w:tcPr>
            <w:tcW w:w="1549" w:type="pct"/>
            <w:vAlign w:val="center"/>
          </w:tcPr>
          <w:p w14:paraId="3C96A38D">
            <w:pPr>
              <w:pStyle w:val="78"/>
            </w:pPr>
            <w:r>
              <w:rPr>
                <w:rFonts w:hint="eastAsia"/>
              </w:rPr>
              <w:t>汽柴油分离塔塔顶回流罐</w:t>
            </w:r>
          </w:p>
        </w:tc>
        <w:tc>
          <w:tcPr>
            <w:tcW w:w="2177" w:type="pct"/>
            <w:vAlign w:val="center"/>
          </w:tcPr>
          <w:p w14:paraId="7A0D3CD9">
            <w:pPr>
              <w:pStyle w:val="78"/>
              <w:rPr>
                <w:rFonts w:eastAsia="黑体" w:cs="Times New Roman"/>
              </w:rPr>
            </w:pPr>
            <w:r>
              <w:rPr>
                <w:rFonts w:eastAsia="黑体" w:cs="Times New Roman"/>
              </w:rPr>
              <w:t>Φ1200×3600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卧式</w:t>
            </w:r>
            <w:r>
              <w:rPr>
                <w:rFonts w:eastAsia="黑体" w:cs="Times New Roman"/>
              </w:rPr>
              <w:t>)</w:t>
            </w:r>
          </w:p>
        </w:tc>
        <w:tc>
          <w:tcPr>
            <w:tcW w:w="847" w:type="pct"/>
            <w:vAlign w:val="center"/>
          </w:tcPr>
          <w:p w14:paraId="68E44EDC">
            <w:pPr>
              <w:pStyle w:val="78"/>
              <w:rPr>
                <w:rFonts w:eastAsia="黑体" w:cs="Times New Roman"/>
              </w:rPr>
            </w:pPr>
            <w:r>
              <w:rPr>
                <w:rFonts w:eastAsia="黑体" w:cs="Times New Roman"/>
              </w:rPr>
              <w:t>1</w:t>
            </w:r>
          </w:p>
        </w:tc>
      </w:tr>
      <w:tr w14:paraId="5116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5AE92DA">
            <w:pPr>
              <w:pStyle w:val="78"/>
              <w:rPr>
                <w:rFonts w:eastAsia="黑体" w:cs="Times New Roman"/>
              </w:rPr>
            </w:pPr>
            <w:r>
              <w:rPr>
                <w:rFonts w:eastAsia="黑体" w:cs="Times New Roman"/>
              </w:rPr>
              <w:t>22</w:t>
            </w:r>
          </w:p>
        </w:tc>
        <w:tc>
          <w:tcPr>
            <w:tcW w:w="1549" w:type="pct"/>
            <w:vAlign w:val="center"/>
          </w:tcPr>
          <w:p w14:paraId="754496AD">
            <w:pPr>
              <w:pStyle w:val="78"/>
            </w:pPr>
            <w:r>
              <w:rPr>
                <w:rFonts w:hint="eastAsia"/>
              </w:rPr>
              <w:t>燃烧油罐</w:t>
            </w:r>
          </w:p>
        </w:tc>
        <w:tc>
          <w:tcPr>
            <w:tcW w:w="2177" w:type="pct"/>
            <w:vAlign w:val="center"/>
          </w:tcPr>
          <w:p w14:paraId="635550C0">
            <w:pPr>
              <w:pStyle w:val="78"/>
              <w:rPr>
                <w:rFonts w:eastAsia="黑体" w:cs="Times New Roman"/>
              </w:rPr>
            </w:pPr>
            <w:r>
              <w:rPr>
                <w:rFonts w:eastAsia="黑体" w:cs="Times New Roman"/>
              </w:rPr>
              <w:t>Φ4000×8000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立式</w:t>
            </w:r>
            <w:r>
              <w:rPr>
                <w:rFonts w:eastAsia="黑体" w:cs="Times New Roman"/>
              </w:rPr>
              <w:t>)</w:t>
            </w:r>
          </w:p>
        </w:tc>
        <w:tc>
          <w:tcPr>
            <w:tcW w:w="847" w:type="pct"/>
            <w:vAlign w:val="center"/>
          </w:tcPr>
          <w:p w14:paraId="5B07B0C9">
            <w:pPr>
              <w:pStyle w:val="78"/>
              <w:rPr>
                <w:rFonts w:eastAsia="黑体" w:cs="Times New Roman"/>
              </w:rPr>
            </w:pPr>
            <w:r>
              <w:rPr>
                <w:rFonts w:eastAsia="黑体" w:cs="Times New Roman"/>
              </w:rPr>
              <w:t>1</w:t>
            </w:r>
          </w:p>
        </w:tc>
      </w:tr>
      <w:tr w14:paraId="0CFC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48F83AF">
            <w:pPr>
              <w:pStyle w:val="78"/>
              <w:rPr>
                <w:rFonts w:eastAsia="黑体" w:cs="Times New Roman"/>
              </w:rPr>
            </w:pPr>
            <w:r>
              <w:rPr>
                <w:rFonts w:eastAsia="黑体" w:cs="Times New Roman"/>
              </w:rPr>
              <w:t>23</w:t>
            </w:r>
          </w:p>
        </w:tc>
        <w:tc>
          <w:tcPr>
            <w:tcW w:w="1549" w:type="pct"/>
            <w:vAlign w:val="center"/>
          </w:tcPr>
          <w:p w14:paraId="20BBA4CC">
            <w:pPr>
              <w:pStyle w:val="78"/>
            </w:pPr>
            <w:r>
              <w:rPr>
                <w:rFonts w:hint="eastAsia"/>
              </w:rPr>
              <w:t>柴油装车罐</w:t>
            </w:r>
          </w:p>
        </w:tc>
        <w:tc>
          <w:tcPr>
            <w:tcW w:w="2177" w:type="pct"/>
            <w:vAlign w:val="center"/>
          </w:tcPr>
          <w:p w14:paraId="59ADDFE1">
            <w:pPr>
              <w:pStyle w:val="78"/>
              <w:rPr>
                <w:rFonts w:eastAsia="黑体" w:cs="Times New Roman"/>
              </w:rPr>
            </w:pPr>
            <w:r>
              <w:rPr>
                <w:rFonts w:eastAsia="黑体" w:cs="Times New Roman"/>
              </w:rPr>
              <w:t>Φ4000×3200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立式</w:t>
            </w:r>
            <w:r>
              <w:rPr>
                <w:rFonts w:eastAsia="黑体" w:cs="Times New Roman"/>
              </w:rPr>
              <w:t>)</w:t>
            </w:r>
          </w:p>
        </w:tc>
        <w:tc>
          <w:tcPr>
            <w:tcW w:w="847" w:type="pct"/>
            <w:vAlign w:val="center"/>
          </w:tcPr>
          <w:p w14:paraId="7E72964C">
            <w:pPr>
              <w:pStyle w:val="78"/>
              <w:rPr>
                <w:rFonts w:eastAsia="黑体" w:cs="Times New Roman"/>
              </w:rPr>
            </w:pPr>
            <w:r>
              <w:rPr>
                <w:rFonts w:eastAsia="黑体" w:cs="Times New Roman"/>
              </w:rPr>
              <w:t>1</w:t>
            </w:r>
          </w:p>
        </w:tc>
      </w:tr>
      <w:tr w14:paraId="541D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C3BFCA3">
            <w:pPr>
              <w:pStyle w:val="78"/>
              <w:rPr>
                <w:rFonts w:eastAsia="黑体" w:cs="Times New Roman"/>
              </w:rPr>
            </w:pPr>
            <w:r>
              <w:rPr>
                <w:rFonts w:eastAsia="黑体" w:cs="Times New Roman"/>
              </w:rPr>
              <w:t>24</w:t>
            </w:r>
          </w:p>
        </w:tc>
        <w:tc>
          <w:tcPr>
            <w:tcW w:w="1549" w:type="pct"/>
            <w:vAlign w:val="center"/>
          </w:tcPr>
          <w:p w14:paraId="0457D707">
            <w:pPr>
              <w:pStyle w:val="78"/>
            </w:pPr>
            <w:r>
              <w:rPr>
                <w:rFonts w:hint="eastAsia"/>
              </w:rPr>
              <w:t>气压机入口凝液罐</w:t>
            </w:r>
          </w:p>
        </w:tc>
        <w:tc>
          <w:tcPr>
            <w:tcW w:w="2177" w:type="pct"/>
            <w:vAlign w:val="center"/>
          </w:tcPr>
          <w:p w14:paraId="38E0EAE7">
            <w:pPr>
              <w:pStyle w:val="78"/>
              <w:rPr>
                <w:rFonts w:eastAsia="黑体" w:cs="Times New Roman"/>
              </w:rPr>
            </w:pPr>
            <w:r>
              <w:rPr>
                <w:rFonts w:eastAsia="黑体" w:cs="Times New Roman"/>
              </w:rPr>
              <w:t>Φ3000×8000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卧式</w:t>
            </w:r>
            <w:r>
              <w:rPr>
                <w:rFonts w:eastAsia="黑体" w:cs="Times New Roman"/>
              </w:rPr>
              <w:t>)</w:t>
            </w:r>
          </w:p>
        </w:tc>
        <w:tc>
          <w:tcPr>
            <w:tcW w:w="847" w:type="pct"/>
            <w:vAlign w:val="center"/>
          </w:tcPr>
          <w:p w14:paraId="27A08513">
            <w:pPr>
              <w:pStyle w:val="78"/>
              <w:rPr>
                <w:rFonts w:eastAsia="黑体" w:cs="Times New Roman"/>
              </w:rPr>
            </w:pPr>
            <w:r>
              <w:rPr>
                <w:rFonts w:eastAsia="黑体" w:cs="Times New Roman"/>
              </w:rPr>
              <w:t>1</w:t>
            </w:r>
          </w:p>
        </w:tc>
      </w:tr>
      <w:tr w14:paraId="6073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9FED5B0">
            <w:pPr>
              <w:pStyle w:val="78"/>
              <w:rPr>
                <w:rFonts w:eastAsia="黑体" w:cs="Times New Roman"/>
              </w:rPr>
            </w:pPr>
            <w:r>
              <w:rPr>
                <w:rFonts w:eastAsia="黑体" w:cs="Times New Roman"/>
              </w:rPr>
              <w:t>25</w:t>
            </w:r>
          </w:p>
        </w:tc>
        <w:tc>
          <w:tcPr>
            <w:tcW w:w="1549" w:type="pct"/>
            <w:vAlign w:val="center"/>
          </w:tcPr>
          <w:p w14:paraId="60587B01">
            <w:pPr>
              <w:pStyle w:val="78"/>
            </w:pPr>
            <w:r>
              <w:rPr>
                <w:rFonts w:hint="eastAsia"/>
              </w:rPr>
              <w:t>气压机出口凝液罐</w:t>
            </w:r>
          </w:p>
        </w:tc>
        <w:tc>
          <w:tcPr>
            <w:tcW w:w="2177" w:type="pct"/>
            <w:vAlign w:val="center"/>
          </w:tcPr>
          <w:p w14:paraId="3D73CCCD">
            <w:pPr>
              <w:pStyle w:val="78"/>
              <w:rPr>
                <w:rFonts w:eastAsia="黑体" w:cs="Times New Roman"/>
              </w:rPr>
            </w:pPr>
            <w:r>
              <w:rPr>
                <w:rFonts w:eastAsia="黑体" w:cs="Times New Roman"/>
              </w:rPr>
              <w:t>Φ2200×6000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卧式</w:t>
            </w:r>
            <w:r>
              <w:rPr>
                <w:rFonts w:eastAsia="黑体" w:cs="Times New Roman"/>
              </w:rPr>
              <w:t>)</w:t>
            </w:r>
          </w:p>
        </w:tc>
        <w:tc>
          <w:tcPr>
            <w:tcW w:w="847" w:type="pct"/>
            <w:vAlign w:val="center"/>
          </w:tcPr>
          <w:p w14:paraId="1E849C7B">
            <w:pPr>
              <w:pStyle w:val="78"/>
              <w:rPr>
                <w:rFonts w:eastAsia="黑体" w:cs="Times New Roman"/>
              </w:rPr>
            </w:pPr>
            <w:r>
              <w:rPr>
                <w:rFonts w:eastAsia="黑体" w:cs="Times New Roman"/>
              </w:rPr>
              <w:t>1</w:t>
            </w:r>
          </w:p>
        </w:tc>
      </w:tr>
      <w:tr w14:paraId="56B1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8EC07B5">
            <w:pPr>
              <w:pStyle w:val="78"/>
              <w:rPr>
                <w:rFonts w:eastAsia="黑体" w:cs="Times New Roman"/>
              </w:rPr>
            </w:pPr>
            <w:r>
              <w:rPr>
                <w:rFonts w:eastAsia="黑体" w:cs="Times New Roman"/>
              </w:rPr>
              <w:t>26</w:t>
            </w:r>
          </w:p>
        </w:tc>
        <w:tc>
          <w:tcPr>
            <w:tcW w:w="1549" w:type="pct"/>
            <w:vAlign w:val="center"/>
          </w:tcPr>
          <w:p w14:paraId="71F092E7">
            <w:pPr>
              <w:pStyle w:val="78"/>
            </w:pPr>
            <w:r>
              <w:rPr>
                <w:rFonts w:hint="eastAsia"/>
              </w:rPr>
              <w:t>塑料裂解气分液罐</w:t>
            </w:r>
          </w:p>
        </w:tc>
        <w:tc>
          <w:tcPr>
            <w:tcW w:w="2177" w:type="pct"/>
            <w:vAlign w:val="center"/>
          </w:tcPr>
          <w:p w14:paraId="35409431">
            <w:pPr>
              <w:pStyle w:val="78"/>
              <w:rPr>
                <w:rFonts w:eastAsia="黑体" w:cs="Times New Roman"/>
              </w:rPr>
            </w:pPr>
            <w:r>
              <w:rPr>
                <w:rFonts w:eastAsia="黑体" w:cs="Times New Roman"/>
              </w:rPr>
              <w:t>Φ1200×3600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立式</w:t>
            </w:r>
            <w:r>
              <w:rPr>
                <w:rFonts w:eastAsia="黑体" w:cs="Times New Roman"/>
              </w:rPr>
              <w:t>)</w:t>
            </w:r>
          </w:p>
        </w:tc>
        <w:tc>
          <w:tcPr>
            <w:tcW w:w="847" w:type="pct"/>
            <w:vAlign w:val="center"/>
          </w:tcPr>
          <w:p w14:paraId="0981E16A">
            <w:pPr>
              <w:pStyle w:val="78"/>
              <w:rPr>
                <w:rFonts w:eastAsia="黑体" w:cs="Times New Roman"/>
              </w:rPr>
            </w:pPr>
            <w:r>
              <w:rPr>
                <w:rFonts w:eastAsia="黑体" w:cs="Times New Roman"/>
              </w:rPr>
              <w:t>1</w:t>
            </w:r>
          </w:p>
        </w:tc>
      </w:tr>
      <w:tr w14:paraId="2F6A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A50D028">
            <w:pPr>
              <w:pStyle w:val="78"/>
              <w:rPr>
                <w:rFonts w:eastAsia="黑体" w:cs="Times New Roman"/>
              </w:rPr>
            </w:pPr>
            <w:r>
              <w:rPr>
                <w:rFonts w:eastAsia="黑体" w:cs="Times New Roman"/>
              </w:rPr>
              <w:t>27</w:t>
            </w:r>
          </w:p>
        </w:tc>
        <w:tc>
          <w:tcPr>
            <w:tcW w:w="1549" w:type="pct"/>
            <w:vAlign w:val="center"/>
          </w:tcPr>
          <w:p w14:paraId="394E910F">
            <w:pPr>
              <w:pStyle w:val="78"/>
            </w:pPr>
            <w:r>
              <w:rPr>
                <w:rFonts w:hint="eastAsia"/>
              </w:rPr>
              <w:t>稳定塔顶回流罐</w:t>
            </w:r>
          </w:p>
        </w:tc>
        <w:tc>
          <w:tcPr>
            <w:tcW w:w="2177" w:type="pct"/>
            <w:vAlign w:val="center"/>
          </w:tcPr>
          <w:p w14:paraId="161FAFF6">
            <w:pPr>
              <w:pStyle w:val="78"/>
              <w:rPr>
                <w:rFonts w:eastAsia="黑体" w:cs="Times New Roman"/>
              </w:rPr>
            </w:pPr>
            <w:r>
              <w:rPr>
                <w:rFonts w:eastAsia="黑体" w:cs="Times New Roman"/>
              </w:rPr>
              <w:t>Φ2200×4500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卧式</w:t>
            </w:r>
            <w:r>
              <w:rPr>
                <w:rFonts w:eastAsia="黑体" w:cs="Times New Roman"/>
              </w:rPr>
              <w:t>)</w:t>
            </w:r>
          </w:p>
        </w:tc>
        <w:tc>
          <w:tcPr>
            <w:tcW w:w="847" w:type="pct"/>
            <w:vAlign w:val="center"/>
          </w:tcPr>
          <w:p w14:paraId="58AE3D18">
            <w:pPr>
              <w:pStyle w:val="78"/>
              <w:rPr>
                <w:rFonts w:eastAsia="黑体" w:cs="Times New Roman"/>
              </w:rPr>
            </w:pPr>
            <w:r>
              <w:rPr>
                <w:rFonts w:eastAsia="黑体" w:cs="Times New Roman"/>
              </w:rPr>
              <w:t>1</w:t>
            </w:r>
          </w:p>
        </w:tc>
      </w:tr>
      <w:tr w14:paraId="177C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7DE8E9F">
            <w:pPr>
              <w:pStyle w:val="78"/>
              <w:rPr>
                <w:rFonts w:eastAsia="黑体" w:cs="Times New Roman"/>
              </w:rPr>
            </w:pPr>
            <w:r>
              <w:rPr>
                <w:rFonts w:eastAsia="黑体" w:cs="Times New Roman"/>
              </w:rPr>
              <w:t>28</w:t>
            </w:r>
          </w:p>
        </w:tc>
        <w:tc>
          <w:tcPr>
            <w:tcW w:w="1549" w:type="pct"/>
            <w:vAlign w:val="center"/>
          </w:tcPr>
          <w:p w14:paraId="20124327">
            <w:pPr>
              <w:pStyle w:val="78"/>
            </w:pPr>
            <w:r>
              <w:rPr>
                <w:rFonts w:hint="eastAsia"/>
              </w:rPr>
              <w:t>净化压缩空气罐</w:t>
            </w:r>
          </w:p>
        </w:tc>
        <w:tc>
          <w:tcPr>
            <w:tcW w:w="2177" w:type="pct"/>
            <w:vAlign w:val="center"/>
          </w:tcPr>
          <w:p w14:paraId="77A6FD64">
            <w:pPr>
              <w:pStyle w:val="78"/>
              <w:rPr>
                <w:rFonts w:eastAsia="黑体" w:cs="Times New Roman"/>
              </w:rPr>
            </w:pPr>
            <w:r>
              <w:rPr>
                <w:rFonts w:eastAsia="黑体" w:cs="Times New Roman"/>
              </w:rPr>
              <w:t>ø 2200×6000</w:t>
            </w:r>
            <w:r>
              <w:rPr>
                <w:rFonts w:hint="eastAsia" w:cs="Times New Roman"/>
              </w:rPr>
              <w:t>（</w:t>
            </w:r>
            <w:r>
              <w:rPr>
                <w:rFonts w:eastAsia="黑体" w:cs="Times New Roman"/>
              </w:rPr>
              <w:t>T/T</w:t>
            </w:r>
            <w:r>
              <w:rPr>
                <w:rFonts w:hint="eastAsia" w:cs="Times New Roman"/>
              </w:rPr>
              <w:t>）立式</w:t>
            </w:r>
          </w:p>
        </w:tc>
        <w:tc>
          <w:tcPr>
            <w:tcW w:w="847" w:type="pct"/>
            <w:vAlign w:val="center"/>
          </w:tcPr>
          <w:p w14:paraId="5C53D771">
            <w:pPr>
              <w:pStyle w:val="78"/>
              <w:rPr>
                <w:rFonts w:eastAsia="黑体" w:cs="Times New Roman"/>
              </w:rPr>
            </w:pPr>
            <w:r>
              <w:rPr>
                <w:rFonts w:eastAsia="黑体" w:cs="Times New Roman"/>
              </w:rPr>
              <w:t>1</w:t>
            </w:r>
          </w:p>
        </w:tc>
      </w:tr>
      <w:tr w14:paraId="5F54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0EE4915">
            <w:pPr>
              <w:pStyle w:val="78"/>
              <w:rPr>
                <w:rFonts w:eastAsia="黑体" w:cs="Times New Roman"/>
              </w:rPr>
            </w:pPr>
            <w:r>
              <w:rPr>
                <w:rFonts w:eastAsia="黑体" w:cs="Times New Roman"/>
              </w:rPr>
              <w:t>29</w:t>
            </w:r>
          </w:p>
        </w:tc>
        <w:tc>
          <w:tcPr>
            <w:tcW w:w="1549" w:type="pct"/>
            <w:vAlign w:val="center"/>
          </w:tcPr>
          <w:p w14:paraId="40767B07">
            <w:pPr>
              <w:pStyle w:val="78"/>
            </w:pPr>
            <w:r>
              <w:rPr>
                <w:rFonts w:hint="eastAsia"/>
              </w:rPr>
              <w:t>非净化压缩空气罐</w:t>
            </w:r>
          </w:p>
        </w:tc>
        <w:tc>
          <w:tcPr>
            <w:tcW w:w="2177" w:type="pct"/>
            <w:vAlign w:val="center"/>
          </w:tcPr>
          <w:p w14:paraId="1C5A9190">
            <w:pPr>
              <w:pStyle w:val="78"/>
              <w:rPr>
                <w:rFonts w:eastAsia="黑体" w:cs="Times New Roman"/>
              </w:rPr>
            </w:pPr>
            <w:r>
              <w:rPr>
                <w:rFonts w:eastAsia="黑体" w:cs="Times New Roman"/>
              </w:rPr>
              <w:t>ø 2000×6000</w:t>
            </w:r>
            <w:r>
              <w:rPr>
                <w:rFonts w:hint="eastAsia" w:cs="Times New Roman"/>
              </w:rPr>
              <w:t>（</w:t>
            </w:r>
            <w:r>
              <w:rPr>
                <w:rFonts w:eastAsia="黑体" w:cs="Times New Roman"/>
              </w:rPr>
              <w:t>T/T</w:t>
            </w:r>
            <w:r>
              <w:rPr>
                <w:rFonts w:hint="eastAsia" w:cs="Times New Roman"/>
              </w:rPr>
              <w:t>）立式</w:t>
            </w:r>
          </w:p>
        </w:tc>
        <w:tc>
          <w:tcPr>
            <w:tcW w:w="847" w:type="pct"/>
            <w:vAlign w:val="center"/>
          </w:tcPr>
          <w:p w14:paraId="598F08DE">
            <w:pPr>
              <w:pStyle w:val="78"/>
              <w:rPr>
                <w:rFonts w:eastAsia="黑体" w:cs="Times New Roman"/>
              </w:rPr>
            </w:pPr>
            <w:r>
              <w:rPr>
                <w:rFonts w:eastAsia="黑体" w:cs="Times New Roman"/>
              </w:rPr>
              <w:t>1</w:t>
            </w:r>
          </w:p>
        </w:tc>
      </w:tr>
      <w:tr w14:paraId="105B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838BC2D">
            <w:pPr>
              <w:pStyle w:val="78"/>
              <w:rPr>
                <w:rFonts w:eastAsia="黑体" w:cs="Times New Roman"/>
              </w:rPr>
            </w:pPr>
            <w:r>
              <w:rPr>
                <w:rFonts w:eastAsia="黑体" w:cs="Times New Roman"/>
              </w:rPr>
              <w:t>30</w:t>
            </w:r>
          </w:p>
        </w:tc>
        <w:tc>
          <w:tcPr>
            <w:tcW w:w="1549" w:type="pct"/>
            <w:vAlign w:val="center"/>
          </w:tcPr>
          <w:p w14:paraId="7397C9E2">
            <w:pPr>
              <w:pStyle w:val="78"/>
            </w:pPr>
            <w:r>
              <w:rPr>
                <w:rFonts w:hint="eastAsia"/>
              </w:rPr>
              <w:t>氮气缓冲罐</w:t>
            </w:r>
          </w:p>
        </w:tc>
        <w:tc>
          <w:tcPr>
            <w:tcW w:w="2177" w:type="pct"/>
            <w:vAlign w:val="center"/>
          </w:tcPr>
          <w:p w14:paraId="2128E481">
            <w:pPr>
              <w:pStyle w:val="78"/>
              <w:rPr>
                <w:rFonts w:eastAsia="黑体" w:cs="Times New Roman"/>
              </w:rPr>
            </w:pPr>
            <w:r>
              <w:rPr>
                <w:rFonts w:eastAsia="黑体" w:cs="Times New Roman"/>
              </w:rPr>
              <w:t>ø 2400×6000</w:t>
            </w:r>
            <w:r>
              <w:rPr>
                <w:rFonts w:hint="eastAsia" w:cs="Times New Roman"/>
              </w:rPr>
              <w:t>（</w:t>
            </w:r>
            <w:r>
              <w:rPr>
                <w:rFonts w:eastAsia="黑体" w:cs="Times New Roman"/>
              </w:rPr>
              <w:t>T/T</w:t>
            </w:r>
            <w:r>
              <w:rPr>
                <w:rFonts w:hint="eastAsia" w:cs="Times New Roman"/>
              </w:rPr>
              <w:t>）卧式</w:t>
            </w:r>
          </w:p>
        </w:tc>
        <w:tc>
          <w:tcPr>
            <w:tcW w:w="847" w:type="pct"/>
            <w:vAlign w:val="center"/>
          </w:tcPr>
          <w:p w14:paraId="38D2F704">
            <w:pPr>
              <w:pStyle w:val="78"/>
              <w:rPr>
                <w:rFonts w:eastAsia="黑体" w:cs="Times New Roman"/>
              </w:rPr>
            </w:pPr>
            <w:r>
              <w:rPr>
                <w:rFonts w:eastAsia="黑体" w:cs="Times New Roman"/>
              </w:rPr>
              <w:t>1</w:t>
            </w:r>
          </w:p>
        </w:tc>
      </w:tr>
      <w:tr w14:paraId="0182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1E40943">
            <w:pPr>
              <w:pStyle w:val="78"/>
              <w:rPr>
                <w:rFonts w:eastAsia="黑体" w:cs="Times New Roman"/>
              </w:rPr>
            </w:pPr>
            <w:r>
              <w:rPr>
                <w:rFonts w:eastAsia="黑体" w:cs="Times New Roman"/>
              </w:rPr>
              <w:t>31</w:t>
            </w:r>
          </w:p>
        </w:tc>
        <w:tc>
          <w:tcPr>
            <w:tcW w:w="1549" w:type="pct"/>
            <w:vAlign w:val="center"/>
          </w:tcPr>
          <w:p w14:paraId="7444097B">
            <w:pPr>
              <w:pStyle w:val="78"/>
            </w:pPr>
            <w:r>
              <w:rPr>
                <w:rFonts w:hint="eastAsia"/>
              </w:rPr>
              <w:t>放火炬分液罐</w:t>
            </w:r>
          </w:p>
        </w:tc>
        <w:tc>
          <w:tcPr>
            <w:tcW w:w="2177" w:type="pct"/>
            <w:vAlign w:val="center"/>
          </w:tcPr>
          <w:p w14:paraId="712CB216">
            <w:pPr>
              <w:pStyle w:val="78"/>
              <w:rPr>
                <w:rFonts w:eastAsia="黑体" w:cs="Times New Roman"/>
              </w:rPr>
            </w:pPr>
            <w:r>
              <w:rPr>
                <w:rFonts w:eastAsia="黑体" w:cs="Times New Roman"/>
              </w:rPr>
              <w:t>ø 1200×2500</w:t>
            </w:r>
            <w:r>
              <w:rPr>
                <w:rFonts w:hint="eastAsia" w:cs="Times New Roman"/>
              </w:rPr>
              <w:t>（</w:t>
            </w:r>
            <w:r>
              <w:rPr>
                <w:rFonts w:eastAsia="黑体" w:cs="Times New Roman"/>
              </w:rPr>
              <w:t>T/T</w:t>
            </w:r>
            <w:r>
              <w:rPr>
                <w:rFonts w:hint="eastAsia" w:cs="Times New Roman"/>
              </w:rPr>
              <w:t>）立式</w:t>
            </w:r>
          </w:p>
        </w:tc>
        <w:tc>
          <w:tcPr>
            <w:tcW w:w="847" w:type="pct"/>
            <w:vAlign w:val="center"/>
          </w:tcPr>
          <w:p w14:paraId="5AB8E050">
            <w:pPr>
              <w:pStyle w:val="78"/>
              <w:rPr>
                <w:rFonts w:eastAsia="黑体" w:cs="Times New Roman"/>
              </w:rPr>
            </w:pPr>
            <w:r>
              <w:rPr>
                <w:rFonts w:eastAsia="黑体" w:cs="Times New Roman"/>
              </w:rPr>
              <w:t>1</w:t>
            </w:r>
          </w:p>
        </w:tc>
      </w:tr>
      <w:tr w14:paraId="3942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FD0DBED">
            <w:pPr>
              <w:pStyle w:val="78"/>
              <w:rPr>
                <w:rFonts w:eastAsia="黑体" w:cs="Times New Roman"/>
              </w:rPr>
            </w:pPr>
            <w:r>
              <w:rPr>
                <w:rFonts w:eastAsia="黑体" w:cs="Times New Roman"/>
              </w:rPr>
              <w:t>32</w:t>
            </w:r>
          </w:p>
        </w:tc>
        <w:tc>
          <w:tcPr>
            <w:tcW w:w="1549" w:type="pct"/>
            <w:vAlign w:val="center"/>
          </w:tcPr>
          <w:p w14:paraId="0A920944">
            <w:pPr>
              <w:pStyle w:val="78"/>
            </w:pPr>
            <w:r>
              <w:rPr>
                <w:rFonts w:hint="eastAsia"/>
              </w:rPr>
              <w:t>轻污油罐</w:t>
            </w:r>
          </w:p>
        </w:tc>
        <w:tc>
          <w:tcPr>
            <w:tcW w:w="2177" w:type="pct"/>
            <w:vAlign w:val="center"/>
          </w:tcPr>
          <w:p w14:paraId="1F7A1F97">
            <w:pPr>
              <w:pStyle w:val="78"/>
              <w:rPr>
                <w:rFonts w:eastAsia="黑体" w:cs="Times New Roman"/>
              </w:rPr>
            </w:pPr>
            <w:r>
              <w:rPr>
                <w:rFonts w:eastAsia="黑体" w:cs="Times New Roman"/>
              </w:rPr>
              <w:t>Φ1600×4000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卧式</w:t>
            </w:r>
            <w:r>
              <w:rPr>
                <w:rFonts w:eastAsia="黑体" w:cs="Times New Roman"/>
              </w:rPr>
              <w:t>)</w:t>
            </w:r>
          </w:p>
        </w:tc>
        <w:tc>
          <w:tcPr>
            <w:tcW w:w="847" w:type="pct"/>
            <w:vAlign w:val="center"/>
          </w:tcPr>
          <w:p w14:paraId="2B1AABF0">
            <w:pPr>
              <w:pStyle w:val="78"/>
              <w:rPr>
                <w:rFonts w:eastAsia="黑体" w:cs="Times New Roman"/>
              </w:rPr>
            </w:pPr>
            <w:r>
              <w:rPr>
                <w:rFonts w:eastAsia="黑体" w:cs="Times New Roman"/>
              </w:rPr>
              <w:t>1</w:t>
            </w:r>
          </w:p>
        </w:tc>
      </w:tr>
      <w:tr w14:paraId="0ED4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67DDF8B">
            <w:pPr>
              <w:pStyle w:val="78"/>
              <w:rPr>
                <w:rFonts w:eastAsia="黑体" w:cs="Times New Roman"/>
              </w:rPr>
            </w:pPr>
            <w:r>
              <w:rPr>
                <w:rFonts w:eastAsia="黑体" w:cs="Times New Roman"/>
              </w:rPr>
              <w:t>33</w:t>
            </w:r>
          </w:p>
        </w:tc>
        <w:tc>
          <w:tcPr>
            <w:tcW w:w="1549" w:type="pct"/>
            <w:vAlign w:val="center"/>
          </w:tcPr>
          <w:p w14:paraId="35F5C006">
            <w:pPr>
              <w:pStyle w:val="78"/>
            </w:pPr>
            <w:r>
              <w:rPr>
                <w:rFonts w:hint="eastAsia"/>
              </w:rPr>
              <w:t>凝结水罐</w:t>
            </w:r>
          </w:p>
        </w:tc>
        <w:tc>
          <w:tcPr>
            <w:tcW w:w="2177" w:type="pct"/>
            <w:vAlign w:val="center"/>
          </w:tcPr>
          <w:p w14:paraId="2FD46891">
            <w:pPr>
              <w:pStyle w:val="78"/>
              <w:rPr>
                <w:rFonts w:eastAsia="黑体" w:cs="Times New Roman"/>
              </w:rPr>
            </w:pPr>
            <w:r>
              <w:rPr>
                <w:rFonts w:eastAsia="黑体" w:cs="Times New Roman"/>
              </w:rPr>
              <w:t>Φ1600×4000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立式</w:t>
            </w:r>
            <w:r>
              <w:rPr>
                <w:rFonts w:eastAsia="黑体" w:cs="Times New Roman"/>
              </w:rPr>
              <w:t>)</w:t>
            </w:r>
          </w:p>
        </w:tc>
        <w:tc>
          <w:tcPr>
            <w:tcW w:w="847" w:type="pct"/>
            <w:vAlign w:val="center"/>
          </w:tcPr>
          <w:p w14:paraId="02BC59F9">
            <w:pPr>
              <w:pStyle w:val="78"/>
              <w:rPr>
                <w:rFonts w:eastAsia="黑体" w:cs="Times New Roman"/>
              </w:rPr>
            </w:pPr>
            <w:r>
              <w:rPr>
                <w:rFonts w:eastAsia="黑体" w:cs="Times New Roman"/>
              </w:rPr>
              <w:t>1</w:t>
            </w:r>
          </w:p>
        </w:tc>
      </w:tr>
      <w:tr w14:paraId="5973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128943D">
            <w:pPr>
              <w:pStyle w:val="78"/>
              <w:rPr>
                <w:rFonts w:eastAsia="黑体" w:cs="Times New Roman"/>
              </w:rPr>
            </w:pPr>
            <w:r>
              <w:rPr>
                <w:rFonts w:eastAsia="黑体" w:cs="Times New Roman"/>
              </w:rPr>
              <w:t>34</w:t>
            </w:r>
          </w:p>
        </w:tc>
        <w:tc>
          <w:tcPr>
            <w:tcW w:w="1549" w:type="pct"/>
            <w:vAlign w:val="center"/>
          </w:tcPr>
          <w:p w14:paraId="0CCB9A4A">
            <w:pPr>
              <w:pStyle w:val="78"/>
            </w:pPr>
            <w:r>
              <w:rPr>
                <w:rFonts w:hint="eastAsia"/>
              </w:rPr>
              <w:t>液碱缓冲罐</w:t>
            </w:r>
          </w:p>
        </w:tc>
        <w:tc>
          <w:tcPr>
            <w:tcW w:w="2177" w:type="pct"/>
            <w:vAlign w:val="center"/>
          </w:tcPr>
          <w:p w14:paraId="79EAD036">
            <w:pPr>
              <w:pStyle w:val="78"/>
              <w:rPr>
                <w:rFonts w:eastAsia="黑体" w:cs="Times New Roman"/>
              </w:rPr>
            </w:pPr>
            <w:r>
              <w:rPr>
                <w:rFonts w:eastAsia="黑体" w:cs="Times New Roman"/>
              </w:rPr>
              <w:t>Φ4000×8800</w:t>
            </w:r>
            <w:r>
              <w:rPr>
                <w:rFonts w:hint="eastAsia" w:cs="Times New Roman"/>
              </w:rPr>
              <w:t>（</w:t>
            </w:r>
            <w:r>
              <w:rPr>
                <w:rFonts w:eastAsia="黑体" w:cs="Times New Roman"/>
              </w:rPr>
              <w:t>T/T</w:t>
            </w:r>
            <w:r>
              <w:rPr>
                <w:rFonts w:hint="eastAsia" w:cs="Times New Roman"/>
              </w:rPr>
              <w:t>）</w:t>
            </w:r>
            <w:r>
              <w:rPr>
                <w:rFonts w:eastAsia="黑体" w:cs="Times New Roman"/>
              </w:rPr>
              <w:t>(</w:t>
            </w:r>
            <w:r>
              <w:rPr>
                <w:rFonts w:hint="eastAsia" w:cs="Times New Roman"/>
              </w:rPr>
              <w:t>立式</w:t>
            </w:r>
            <w:r>
              <w:rPr>
                <w:rFonts w:eastAsia="黑体" w:cs="Times New Roman"/>
              </w:rPr>
              <w:t>)</w:t>
            </w:r>
          </w:p>
        </w:tc>
        <w:tc>
          <w:tcPr>
            <w:tcW w:w="847" w:type="pct"/>
            <w:vAlign w:val="center"/>
          </w:tcPr>
          <w:p w14:paraId="4042B053">
            <w:pPr>
              <w:pStyle w:val="78"/>
              <w:rPr>
                <w:rFonts w:eastAsia="黑体" w:cs="Times New Roman"/>
              </w:rPr>
            </w:pPr>
            <w:r>
              <w:rPr>
                <w:rFonts w:eastAsia="黑体" w:cs="Times New Roman"/>
              </w:rPr>
              <w:t>2</w:t>
            </w:r>
          </w:p>
        </w:tc>
      </w:tr>
      <w:tr w14:paraId="2116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3FA9D27">
            <w:pPr>
              <w:pStyle w:val="78"/>
              <w:rPr>
                <w:rFonts w:eastAsia="黑体" w:cs="Times New Roman"/>
              </w:rPr>
            </w:pPr>
            <w:r>
              <w:rPr>
                <w:rFonts w:eastAsia="黑体" w:cs="Times New Roman"/>
              </w:rPr>
              <w:t>35</w:t>
            </w:r>
          </w:p>
        </w:tc>
        <w:tc>
          <w:tcPr>
            <w:tcW w:w="1549" w:type="pct"/>
            <w:vAlign w:val="center"/>
          </w:tcPr>
          <w:p w14:paraId="306BC08E">
            <w:pPr>
              <w:pStyle w:val="78"/>
            </w:pPr>
            <w:r>
              <w:rPr>
                <w:rFonts w:hint="eastAsia"/>
              </w:rPr>
              <w:t>反应油气</w:t>
            </w:r>
            <w:r>
              <w:rPr>
                <w:rFonts w:cs="Times New Roman"/>
              </w:rPr>
              <w:t>-</w:t>
            </w:r>
            <w:r>
              <w:rPr>
                <w:rFonts w:hint="eastAsia"/>
              </w:rPr>
              <w:t>蒸汽发生器</w:t>
            </w:r>
          </w:p>
        </w:tc>
        <w:tc>
          <w:tcPr>
            <w:tcW w:w="2177" w:type="pct"/>
            <w:vAlign w:val="center"/>
          </w:tcPr>
          <w:p w14:paraId="30C6C3D4">
            <w:pPr>
              <w:pStyle w:val="78"/>
            </w:pPr>
            <w:r>
              <w:rPr>
                <w:rFonts w:hint="eastAsia"/>
              </w:rPr>
              <w:t>卧式</w:t>
            </w:r>
            <w:r>
              <w:rPr>
                <w:rFonts w:cs="Times New Roman"/>
              </w:rPr>
              <w:t xml:space="preserve"> 900×9000</w:t>
            </w:r>
          </w:p>
        </w:tc>
        <w:tc>
          <w:tcPr>
            <w:tcW w:w="847" w:type="pct"/>
            <w:vAlign w:val="center"/>
          </w:tcPr>
          <w:p w14:paraId="5453775A">
            <w:pPr>
              <w:pStyle w:val="78"/>
              <w:rPr>
                <w:rFonts w:eastAsia="黑体" w:cs="Times New Roman"/>
              </w:rPr>
            </w:pPr>
            <w:r>
              <w:rPr>
                <w:rFonts w:eastAsia="黑体" w:cs="Times New Roman"/>
              </w:rPr>
              <w:t>1</w:t>
            </w:r>
          </w:p>
        </w:tc>
      </w:tr>
      <w:tr w14:paraId="1421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C440AA2">
            <w:pPr>
              <w:pStyle w:val="78"/>
              <w:rPr>
                <w:rFonts w:eastAsia="黑体" w:cs="Times New Roman"/>
              </w:rPr>
            </w:pPr>
            <w:r>
              <w:rPr>
                <w:rFonts w:eastAsia="黑体" w:cs="Times New Roman"/>
              </w:rPr>
              <w:t>36</w:t>
            </w:r>
          </w:p>
        </w:tc>
        <w:tc>
          <w:tcPr>
            <w:tcW w:w="1549" w:type="pct"/>
            <w:vAlign w:val="center"/>
          </w:tcPr>
          <w:p w14:paraId="5958E4EE">
            <w:pPr>
              <w:pStyle w:val="78"/>
            </w:pPr>
            <w:r>
              <w:rPr>
                <w:rFonts w:hint="eastAsia"/>
              </w:rPr>
              <w:t>洗涤水水冷器</w:t>
            </w:r>
          </w:p>
        </w:tc>
        <w:tc>
          <w:tcPr>
            <w:tcW w:w="2177" w:type="pct"/>
            <w:vAlign w:val="center"/>
          </w:tcPr>
          <w:p w14:paraId="425376DF">
            <w:pPr>
              <w:pStyle w:val="78"/>
              <w:rPr>
                <w:rFonts w:eastAsia="黑体" w:cs="Times New Roman"/>
              </w:rPr>
            </w:pPr>
            <w:r>
              <w:rPr>
                <w:rFonts w:eastAsia="黑体" w:cs="Times New Roman"/>
              </w:rPr>
              <w:t>BEU1000-1.28/1.03-291-6/25-4</w:t>
            </w:r>
            <w:r>
              <w:rPr>
                <w:rFonts w:hint="eastAsia" w:cs="Times New Roman"/>
              </w:rPr>
              <w:t>Ⅰ</w:t>
            </w:r>
          </w:p>
        </w:tc>
        <w:tc>
          <w:tcPr>
            <w:tcW w:w="847" w:type="pct"/>
            <w:vAlign w:val="center"/>
          </w:tcPr>
          <w:p w14:paraId="17041EE2">
            <w:pPr>
              <w:pStyle w:val="78"/>
              <w:rPr>
                <w:rFonts w:eastAsia="黑体" w:cs="Times New Roman"/>
              </w:rPr>
            </w:pPr>
            <w:r>
              <w:rPr>
                <w:rFonts w:eastAsia="黑体" w:cs="Times New Roman"/>
              </w:rPr>
              <w:t>4</w:t>
            </w:r>
          </w:p>
        </w:tc>
      </w:tr>
      <w:tr w14:paraId="1F81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3E0EFD5">
            <w:pPr>
              <w:pStyle w:val="78"/>
              <w:rPr>
                <w:rFonts w:eastAsia="黑体" w:cs="Times New Roman"/>
              </w:rPr>
            </w:pPr>
            <w:r>
              <w:rPr>
                <w:rFonts w:eastAsia="黑体" w:cs="Times New Roman"/>
              </w:rPr>
              <w:t>37</w:t>
            </w:r>
          </w:p>
        </w:tc>
        <w:tc>
          <w:tcPr>
            <w:tcW w:w="1549" w:type="pct"/>
            <w:vAlign w:val="center"/>
          </w:tcPr>
          <w:p w14:paraId="475D9F1C">
            <w:pPr>
              <w:pStyle w:val="78"/>
            </w:pPr>
            <w:r>
              <w:rPr>
                <w:rFonts w:hint="eastAsia"/>
              </w:rPr>
              <w:t>水洗塔顶过冷器</w:t>
            </w:r>
          </w:p>
        </w:tc>
        <w:tc>
          <w:tcPr>
            <w:tcW w:w="2177" w:type="pct"/>
            <w:vAlign w:val="center"/>
          </w:tcPr>
          <w:p w14:paraId="6DADE21D">
            <w:pPr>
              <w:pStyle w:val="78"/>
              <w:rPr>
                <w:rFonts w:eastAsia="黑体" w:cs="Times New Roman"/>
              </w:rPr>
            </w:pPr>
            <w:r>
              <w:rPr>
                <w:rFonts w:eastAsia="黑体" w:cs="Times New Roman"/>
              </w:rPr>
              <w:t>BES800-1.38/1.1-164-6/25-4</w:t>
            </w:r>
            <w:r>
              <w:rPr>
                <w:rFonts w:hint="eastAsia" w:cs="Times New Roman"/>
              </w:rPr>
              <w:t>Ⅰ</w:t>
            </w:r>
          </w:p>
        </w:tc>
        <w:tc>
          <w:tcPr>
            <w:tcW w:w="847" w:type="pct"/>
            <w:vAlign w:val="center"/>
          </w:tcPr>
          <w:p w14:paraId="42C876C9">
            <w:pPr>
              <w:pStyle w:val="78"/>
              <w:rPr>
                <w:rFonts w:eastAsia="黑体" w:cs="Times New Roman"/>
              </w:rPr>
            </w:pPr>
            <w:r>
              <w:rPr>
                <w:rFonts w:eastAsia="黑体" w:cs="Times New Roman"/>
              </w:rPr>
              <w:t>1</w:t>
            </w:r>
          </w:p>
        </w:tc>
      </w:tr>
      <w:tr w14:paraId="0597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0CC623C">
            <w:pPr>
              <w:pStyle w:val="78"/>
              <w:rPr>
                <w:rFonts w:eastAsia="黑体" w:cs="Times New Roman"/>
              </w:rPr>
            </w:pPr>
            <w:r>
              <w:rPr>
                <w:rFonts w:eastAsia="黑体" w:cs="Times New Roman"/>
              </w:rPr>
              <w:t>38</w:t>
            </w:r>
          </w:p>
        </w:tc>
        <w:tc>
          <w:tcPr>
            <w:tcW w:w="1549" w:type="pct"/>
            <w:vAlign w:val="center"/>
          </w:tcPr>
          <w:p w14:paraId="4BE17622">
            <w:pPr>
              <w:pStyle w:val="78"/>
            </w:pPr>
            <w:r>
              <w:rPr>
                <w:rFonts w:hint="eastAsia"/>
              </w:rPr>
              <w:t>压缩富气水冷器</w:t>
            </w:r>
          </w:p>
        </w:tc>
        <w:tc>
          <w:tcPr>
            <w:tcW w:w="2177" w:type="pct"/>
            <w:vAlign w:val="center"/>
          </w:tcPr>
          <w:p w14:paraId="237DC421">
            <w:pPr>
              <w:pStyle w:val="78"/>
              <w:rPr>
                <w:rFonts w:eastAsia="黑体" w:cs="Times New Roman"/>
              </w:rPr>
            </w:pPr>
            <w:r>
              <w:rPr>
                <w:rFonts w:eastAsia="黑体" w:cs="Times New Roman"/>
              </w:rPr>
              <w:t>BES1300-1.51/1.88-446-6/25-6</w:t>
            </w:r>
            <w:r>
              <w:rPr>
                <w:rFonts w:hint="eastAsia" w:cs="Times New Roman"/>
              </w:rPr>
              <w:t>Ⅰ</w:t>
            </w:r>
          </w:p>
        </w:tc>
        <w:tc>
          <w:tcPr>
            <w:tcW w:w="847" w:type="pct"/>
            <w:vAlign w:val="center"/>
          </w:tcPr>
          <w:p w14:paraId="2AD9EE4C">
            <w:pPr>
              <w:pStyle w:val="78"/>
              <w:rPr>
                <w:rFonts w:eastAsia="黑体" w:cs="Times New Roman"/>
              </w:rPr>
            </w:pPr>
            <w:r>
              <w:rPr>
                <w:rFonts w:eastAsia="黑体" w:cs="Times New Roman"/>
              </w:rPr>
              <w:t>1</w:t>
            </w:r>
          </w:p>
        </w:tc>
      </w:tr>
      <w:tr w14:paraId="5325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3AD23EA">
            <w:pPr>
              <w:pStyle w:val="78"/>
              <w:rPr>
                <w:rFonts w:eastAsia="黑体" w:cs="Times New Roman"/>
              </w:rPr>
            </w:pPr>
            <w:r>
              <w:rPr>
                <w:rFonts w:eastAsia="黑体" w:cs="Times New Roman"/>
              </w:rPr>
              <w:t>39</w:t>
            </w:r>
          </w:p>
        </w:tc>
        <w:tc>
          <w:tcPr>
            <w:tcW w:w="1549" w:type="pct"/>
            <w:vAlign w:val="center"/>
          </w:tcPr>
          <w:p w14:paraId="44478B4B">
            <w:pPr>
              <w:pStyle w:val="78"/>
            </w:pPr>
            <w:r>
              <w:rPr>
                <w:rFonts w:hint="eastAsia"/>
              </w:rPr>
              <w:t>塑料裂解气换热器</w:t>
            </w:r>
          </w:p>
        </w:tc>
        <w:tc>
          <w:tcPr>
            <w:tcW w:w="2177" w:type="pct"/>
            <w:vAlign w:val="center"/>
          </w:tcPr>
          <w:p w14:paraId="07B79A6F">
            <w:pPr>
              <w:pStyle w:val="78"/>
              <w:rPr>
                <w:rFonts w:eastAsia="黑体" w:cs="Times New Roman"/>
              </w:rPr>
            </w:pPr>
            <w:r>
              <w:rPr>
                <w:rFonts w:eastAsia="黑体" w:cs="Times New Roman"/>
              </w:rPr>
              <w:t>BES700-1.51/1.88-118-6/25-4</w:t>
            </w:r>
            <w:r>
              <w:rPr>
                <w:rFonts w:hint="eastAsia" w:cs="Times New Roman"/>
              </w:rPr>
              <w:t>Ⅰ</w:t>
            </w:r>
          </w:p>
        </w:tc>
        <w:tc>
          <w:tcPr>
            <w:tcW w:w="847" w:type="pct"/>
            <w:vAlign w:val="center"/>
          </w:tcPr>
          <w:p w14:paraId="29AC542A">
            <w:pPr>
              <w:pStyle w:val="78"/>
              <w:rPr>
                <w:rFonts w:eastAsia="黑体" w:cs="Times New Roman"/>
              </w:rPr>
            </w:pPr>
            <w:r>
              <w:rPr>
                <w:rFonts w:eastAsia="黑体" w:cs="Times New Roman"/>
              </w:rPr>
              <w:t>1</w:t>
            </w:r>
          </w:p>
        </w:tc>
      </w:tr>
      <w:tr w14:paraId="35DD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57085CA">
            <w:pPr>
              <w:pStyle w:val="78"/>
              <w:rPr>
                <w:rFonts w:eastAsia="黑体" w:cs="Times New Roman"/>
              </w:rPr>
            </w:pPr>
            <w:r>
              <w:rPr>
                <w:rFonts w:eastAsia="黑体" w:cs="Times New Roman"/>
              </w:rPr>
              <w:t>40</w:t>
            </w:r>
          </w:p>
        </w:tc>
        <w:tc>
          <w:tcPr>
            <w:tcW w:w="1549" w:type="pct"/>
            <w:vAlign w:val="center"/>
          </w:tcPr>
          <w:p w14:paraId="28C97C10">
            <w:pPr>
              <w:pStyle w:val="78"/>
            </w:pPr>
            <w:r>
              <w:rPr>
                <w:rFonts w:hint="eastAsia"/>
              </w:rPr>
              <w:t>塑料裂解气过冷器</w:t>
            </w:r>
          </w:p>
        </w:tc>
        <w:tc>
          <w:tcPr>
            <w:tcW w:w="2177" w:type="pct"/>
            <w:vAlign w:val="center"/>
          </w:tcPr>
          <w:p w14:paraId="54A937F2">
            <w:pPr>
              <w:pStyle w:val="78"/>
              <w:rPr>
                <w:rFonts w:eastAsia="黑体" w:cs="Times New Roman"/>
              </w:rPr>
            </w:pPr>
            <w:r>
              <w:rPr>
                <w:rFonts w:eastAsia="黑体" w:cs="Times New Roman"/>
              </w:rPr>
              <w:t>BES500---4.5/25-4</w:t>
            </w:r>
            <w:r>
              <w:rPr>
                <w:rFonts w:hint="eastAsia" w:cs="Times New Roman"/>
              </w:rPr>
              <w:t>Ⅰ</w:t>
            </w:r>
          </w:p>
        </w:tc>
        <w:tc>
          <w:tcPr>
            <w:tcW w:w="847" w:type="pct"/>
            <w:vAlign w:val="center"/>
          </w:tcPr>
          <w:p w14:paraId="7AD41959">
            <w:pPr>
              <w:pStyle w:val="78"/>
              <w:rPr>
                <w:rFonts w:eastAsia="黑体" w:cs="Times New Roman"/>
              </w:rPr>
            </w:pPr>
            <w:r>
              <w:rPr>
                <w:rFonts w:eastAsia="黑体" w:cs="Times New Roman"/>
              </w:rPr>
              <w:t>1</w:t>
            </w:r>
          </w:p>
        </w:tc>
      </w:tr>
      <w:tr w14:paraId="0CD5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BD4C8B0">
            <w:pPr>
              <w:pStyle w:val="78"/>
              <w:rPr>
                <w:rFonts w:eastAsia="黑体" w:cs="Times New Roman"/>
              </w:rPr>
            </w:pPr>
            <w:r>
              <w:rPr>
                <w:rFonts w:eastAsia="黑体" w:cs="Times New Roman"/>
              </w:rPr>
              <w:t>41</w:t>
            </w:r>
          </w:p>
        </w:tc>
        <w:tc>
          <w:tcPr>
            <w:tcW w:w="1549" w:type="pct"/>
            <w:vAlign w:val="center"/>
          </w:tcPr>
          <w:p w14:paraId="7D23C0BB">
            <w:pPr>
              <w:pStyle w:val="78"/>
            </w:pPr>
            <w:r>
              <w:rPr>
                <w:rFonts w:hint="eastAsia"/>
              </w:rPr>
              <w:t>吸收塔一中段油水冷器</w:t>
            </w:r>
          </w:p>
        </w:tc>
        <w:tc>
          <w:tcPr>
            <w:tcW w:w="2177" w:type="pct"/>
            <w:vAlign w:val="center"/>
          </w:tcPr>
          <w:p w14:paraId="5FA5B9FF">
            <w:pPr>
              <w:pStyle w:val="78"/>
              <w:rPr>
                <w:rFonts w:eastAsia="黑体" w:cs="Times New Roman"/>
              </w:rPr>
            </w:pPr>
            <w:r>
              <w:rPr>
                <w:rFonts w:eastAsia="黑体" w:cs="Times New Roman"/>
              </w:rPr>
              <w:t>BES800-2/2.48-146-6/25-6</w:t>
            </w:r>
            <w:r>
              <w:rPr>
                <w:rFonts w:hint="eastAsia" w:cs="Times New Roman"/>
              </w:rPr>
              <w:t>Ⅰ</w:t>
            </w:r>
          </w:p>
        </w:tc>
        <w:tc>
          <w:tcPr>
            <w:tcW w:w="847" w:type="pct"/>
            <w:vAlign w:val="center"/>
          </w:tcPr>
          <w:p w14:paraId="73DD5369">
            <w:pPr>
              <w:pStyle w:val="78"/>
              <w:rPr>
                <w:rFonts w:eastAsia="黑体" w:cs="Times New Roman"/>
              </w:rPr>
            </w:pPr>
            <w:r>
              <w:rPr>
                <w:rFonts w:eastAsia="黑体" w:cs="Times New Roman"/>
              </w:rPr>
              <w:t>1</w:t>
            </w:r>
          </w:p>
        </w:tc>
      </w:tr>
      <w:tr w14:paraId="05CA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20A1B55">
            <w:pPr>
              <w:pStyle w:val="78"/>
              <w:rPr>
                <w:rFonts w:eastAsia="黑体" w:cs="Times New Roman"/>
              </w:rPr>
            </w:pPr>
            <w:r>
              <w:rPr>
                <w:rFonts w:eastAsia="黑体" w:cs="Times New Roman"/>
              </w:rPr>
              <w:t>42</w:t>
            </w:r>
          </w:p>
        </w:tc>
        <w:tc>
          <w:tcPr>
            <w:tcW w:w="1549" w:type="pct"/>
            <w:vAlign w:val="center"/>
          </w:tcPr>
          <w:p w14:paraId="58C72CB2">
            <w:pPr>
              <w:pStyle w:val="78"/>
            </w:pPr>
            <w:r>
              <w:rPr>
                <w:rFonts w:hint="eastAsia"/>
              </w:rPr>
              <w:t>吸收塔一中段油过冷器</w:t>
            </w:r>
          </w:p>
        </w:tc>
        <w:tc>
          <w:tcPr>
            <w:tcW w:w="2177" w:type="pct"/>
            <w:vAlign w:val="center"/>
          </w:tcPr>
          <w:p w14:paraId="6C0A97EF">
            <w:pPr>
              <w:pStyle w:val="78"/>
              <w:rPr>
                <w:rFonts w:eastAsia="黑体" w:cs="Times New Roman"/>
              </w:rPr>
            </w:pPr>
            <w:r>
              <w:rPr>
                <w:rFonts w:eastAsia="黑体" w:cs="Times New Roman"/>
              </w:rPr>
              <w:t>BES500-2/2.48-43-4.5/25-2</w:t>
            </w:r>
            <w:r>
              <w:rPr>
                <w:rFonts w:hint="eastAsia" w:cs="Times New Roman"/>
              </w:rPr>
              <w:t>Ⅰ</w:t>
            </w:r>
          </w:p>
        </w:tc>
        <w:tc>
          <w:tcPr>
            <w:tcW w:w="847" w:type="pct"/>
            <w:vAlign w:val="center"/>
          </w:tcPr>
          <w:p w14:paraId="6D73928C">
            <w:pPr>
              <w:pStyle w:val="78"/>
              <w:rPr>
                <w:rFonts w:eastAsia="黑体" w:cs="Times New Roman"/>
              </w:rPr>
            </w:pPr>
            <w:r>
              <w:rPr>
                <w:rFonts w:eastAsia="黑体" w:cs="Times New Roman"/>
              </w:rPr>
              <w:t>1</w:t>
            </w:r>
          </w:p>
        </w:tc>
      </w:tr>
      <w:tr w14:paraId="22FF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25F067E">
            <w:pPr>
              <w:pStyle w:val="78"/>
              <w:rPr>
                <w:rFonts w:eastAsia="黑体" w:cs="Times New Roman"/>
              </w:rPr>
            </w:pPr>
            <w:r>
              <w:rPr>
                <w:rFonts w:eastAsia="黑体" w:cs="Times New Roman"/>
              </w:rPr>
              <w:t>43</w:t>
            </w:r>
          </w:p>
        </w:tc>
        <w:tc>
          <w:tcPr>
            <w:tcW w:w="1549" w:type="pct"/>
            <w:vAlign w:val="center"/>
          </w:tcPr>
          <w:p w14:paraId="0288D490">
            <w:pPr>
              <w:pStyle w:val="78"/>
            </w:pPr>
            <w:r>
              <w:rPr>
                <w:rFonts w:hint="eastAsia"/>
              </w:rPr>
              <w:t>吸收塔二中段油水冷器</w:t>
            </w:r>
          </w:p>
        </w:tc>
        <w:tc>
          <w:tcPr>
            <w:tcW w:w="2177" w:type="pct"/>
            <w:vAlign w:val="center"/>
          </w:tcPr>
          <w:p w14:paraId="564F420C">
            <w:pPr>
              <w:pStyle w:val="78"/>
              <w:rPr>
                <w:rFonts w:eastAsia="黑体" w:cs="Times New Roman"/>
              </w:rPr>
            </w:pPr>
            <w:r>
              <w:rPr>
                <w:rFonts w:eastAsia="黑体" w:cs="Times New Roman"/>
              </w:rPr>
              <w:t>BES700</w:t>
            </w:r>
            <w:r>
              <w:rPr>
                <w:rFonts w:hint="eastAsia" w:cs="Times New Roman"/>
              </w:rPr>
              <w:t>×</w:t>
            </w:r>
            <w:r>
              <w:rPr>
                <w:rFonts w:eastAsia="黑体" w:cs="Times New Roman"/>
              </w:rPr>
              <w:t>6000</w:t>
            </w:r>
          </w:p>
        </w:tc>
        <w:tc>
          <w:tcPr>
            <w:tcW w:w="847" w:type="pct"/>
            <w:vAlign w:val="center"/>
          </w:tcPr>
          <w:p w14:paraId="39A5A6DF">
            <w:pPr>
              <w:pStyle w:val="78"/>
              <w:rPr>
                <w:rFonts w:eastAsia="黑体" w:cs="Times New Roman"/>
              </w:rPr>
            </w:pPr>
            <w:r>
              <w:rPr>
                <w:rFonts w:eastAsia="黑体" w:cs="Times New Roman"/>
              </w:rPr>
              <w:t>1</w:t>
            </w:r>
          </w:p>
        </w:tc>
      </w:tr>
      <w:tr w14:paraId="5A81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F1F447C">
            <w:pPr>
              <w:pStyle w:val="78"/>
              <w:rPr>
                <w:rFonts w:eastAsia="黑体" w:cs="Times New Roman"/>
              </w:rPr>
            </w:pPr>
            <w:r>
              <w:rPr>
                <w:rFonts w:eastAsia="黑体" w:cs="Times New Roman"/>
              </w:rPr>
              <w:t>44</w:t>
            </w:r>
          </w:p>
        </w:tc>
        <w:tc>
          <w:tcPr>
            <w:tcW w:w="1549" w:type="pct"/>
            <w:vAlign w:val="center"/>
          </w:tcPr>
          <w:p w14:paraId="2D931314">
            <w:pPr>
              <w:pStyle w:val="78"/>
            </w:pPr>
            <w:r>
              <w:rPr>
                <w:rFonts w:hint="eastAsia"/>
              </w:rPr>
              <w:t>吸收塔三中段油水冷器</w:t>
            </w:r>
          </w:p>
        </w:tc>
        <w:tc>
          <w:tcPr>
            <w:tcW w:w="2177" w:type="pct"/>
            <w:vAlign w:val="center"/>
          </w:tcPr>
          <w:p w14:paraId="7E4FAB6C">
            <w:pPr>
              <w:pStyle w:val="78"/>
              <w:rPr>
                <w:rFonts w:eastAsia="黑体" w:cs="Times New Roman"/>
              </w:rPr>
            </w:pPr>
            <w:r>
              <w:rPr>
                <w:rFonts w:eastAsia="黑体" w:cs="Times New Roman"/>
              </w:rPr>
              <w:t>BES800</w:t>
            </w:r>
            <w:r>
              <w:rPr>
                <w:rFonts w:hint="eastAsia" w:cs="Times New Roman"/>
              </w:rPr>
              <w:t>×</w:t>
            </w:r>
            <w:r>
              <w:rPr>
                <w:rFonts w:eastAsia="黑体" w:cs="Times New Roman"/>
              </w:rPr>
              <w:t>6000</w:t>
            </w:r>
          </w:p>
        </w:tc>
        <w:tc>
          <w:tcPr>
            <w:tcW w:w="847" w:type="pct"/>
            <w:vAlign w:val="center"/>
          </w:tcPr>
          <w:p w14:paraId="5170412C">
            <w:pPr>
              <w:pStyle w:val="78"/>
              <w:rPr>
                <w:rFonts w:eastAsia="黑体" w:cs="Times New Roman"/>
              </w:rPr>
            </w:pPr>
            <w:r>
              <w:rPr>
                <w:rFonts w:eastAsia="黑体" w:cs="Times New Roman"/>
              </w:rPr>
              <w:t>1</w:t>
            </w:r>
          </w:p>
        </w:tc>
      </w:tr>
      <w:tr w14:paraId="5729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7D15BE8">
            <w:pPr>
              <w:pStyle w:val="78"/>
              <w:rPr>
                <w:rFonts w:eastAsia="黑体" w:cs="Times New Roman"/>
              </w:rPr>
            </w:pPr>
            <w:r>
              <w:rPr>
                <w:rFonts w:eastAsia="黑体" w:cs="Times New Roman"/>
              </w:rPr>
              <w:t>45</w:t>
            </w:r>
          </w:p>
        </w:tc>
        <w:tc>
          <w:tcPr>
            <w:tcW w:w="1549" w:type="pct"/>
            <w:vAlign w:val="center"/>
          </w:tcPr>
          <w:p w14:paraId="25BFA3AE">
            <w:pPr>
              <w:pStyle w:val="78"/>
            </w:pPr>
            <w:r>
              <w:rPr>
                <w:rFonts w:hint="eastAsia"/>
              </w:rPr>
              <w:t>吸收塔四中段油水冷器</w:t>
            </w:r>
          </w:p>
        </w:tc>
        <w:tc>
          <w:tcPr>
            <w:tcW w:w="2177" w:type="pct"/>
            <w:vAlign w:val="center"/>
          </w:tcPr>
          <w:p w14:paraId="43F7203B">
            <w:pPr>
              <w:pStyle w:val="78"/>
              <w:rPr>
                <w:rFonts w:eastAsia="黑体" w:cs="Times New Roman"/>
              </w:rPr>
            </w:pPr>
            <w:r>
              <w:rPr>
                <w:rFonts w:eastAsia="黑体" w:cs="Times New Roman"/>
              </w:rPr>
              <w:t>BES800</w:t>
            </w:r>
            <w:r>
              <w:rPr>
                <w:rFonts w:hint="eastAsia" w:cs="Times New Roman"/>
              </w:rPr>
              <w:t>×</w:t>
            </w:r>
            <w:r>
              <w:rPr>
                <w:rFonts w:eastAsia="黑体" w:cs="Times New Roman"/>
              </w:rPr>
              <w:t>6000</w:t>
            </w:r>
          </w:p>
        </w:tc>
        <w:tc>
          <w:tcPr>
            <w:tcW w:w="847" w:type="pct"/>
            <w:vAlign w:val="center"/>
          </w:tcPr>
          <w:p w14:paraId="7A9C3EFD">
            <w:pPr>
              <w:pStyle w:val="78"/>
              <w:rPr>
                <w:rFonts w:eastAsia="黑体" w:cs="Times New Roman"/>
              </w:rPr>
            </w:pPr>
            <w:r>
              <w:rPr>
                <w:rFonts w:eastAsia="黑体" w:cs="Times New Roman"/>
              </w:rPr>
              <w:t>1</w:t>
            </w:r>
          </w:p>
        </w:tc>
      </w:tr>
      <w:tr w14:paraId="65FB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8AE1DA9">
            <w:pPr>
              <w:pStyle w:val="78"/>
              <w:rPr>
                <w:rFonts w:eastAsia="黑体" w:cs="Times New Roman"/>
              </w:rPr>
            </w:pPr>
            <w:r>
              <w:rPr>
                <w:rFonts w:eastAsia="黑体" w:cs="Times New Roman"/>
              </w:rPr>
              <w:t>46</w:t>
            </w:r>
          </w:p>
        </w:tc>
        <w:tc>
          <w:tcPr>
            <w:tcW w:w="1549" w:type="pct"/>
            <w:vAlign w:val="center"/>
          </w:tcPr>
          <w:p w14:paraId="7AB4D03B">
            <w:pPr>
              <w:pStyle w:val="78"/>
            </w:pPr>
            <w:r>
              <w:rPr>
                <w:rFonts w:hint="eastAsia"/>
              </w:rPr>
              <w:t>解吸底塔底重沸器</w:t>
            </w:r>
          </w:p>
        </w:tc>
        <w:tc>
          <w:tcPr>
            <w:tcW w:w="2177" w:type="pct"/>
            <w:vAlign w:val="center"/>
          </w:tcPr>
          <w:p w14:paraId="05A56099">
            <w:pPr>
              <w:pStyle w:val="78"/>
              <w:rPr>
                <w:rFonts w:eastAsia="黑体" w:cs="Times New Roman"/>
              </w:rPr>
            </w:pPr>
            <w:r>
              <w:rPr>
                <w:rFonts w:eastAsia="黑体" w:cs="Times New Roman"/>
              </w:rPr>
              <w:t>BJ12U600</w:t>
            </w:r>
            <w:r>
              <w:rPr>
                <w:rFonts w:hint="eastAsia" w:cs="Times New Roman"/>
              </w:rPr>
              <w:t>×</w:t>
            </w:r>
            <w:r>
              <w:rPr>
                <w:rFonts w:eastAsia="黑体" w:cs="Times New Roman"/>
              </w:rPr>
              <w:t>4500</w:t>
            </w:r>
          </w:p>
        </w:tc>
        <w:tc>
          <w:tcPr>
            <w:tcW w:w="847" w:type="pct"/>
            <w:vAlign w:val="center"/>
          </w:tcPr>
          <w:p w14:paraId="3477761F">
            <w:pPr>
              <w:pStyle w:val="78"/>
              <w:rPr>
                <w:rFonts w:eastAsia="黑体" w:cs="Times New Roman"/>
              </w:rPr>
            </w:pPr>
            <w:r>
              <w:rPr>
                <w:rFonts w:eastAsia="黑体" w:cs="Times New Roman"/>
              </w:rPr>
              <w:t>2</w:t>
            </w:r>
          </w:p>
        </w:tc>
      </w:tr>
      <w:tr w14:paraId="0FDF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2F9909D">
            <w:pPr>
              <w:pStyle w:val="78"/>
              <w:rPr>
                <w:rFonts w:eastAsia="黑体" w:cs="Times New Roman"/>
              </w:rPr>
            </w:pPr>
            <w:r>
              <w:rPr>
                <w:rFonts w:eastAsia="黑体" w:cs="Times New Roman"/>
              </w:rPr>
              <w:t>47</w:t>
            </w:r>
          </w:p>
        </w:tc>
        <w:tc>
          <w:tcPr>
            <w:tcW w:w="1549" w:type="pct"/>
            <w:vAlign w:val="center"/>
          </w:tcPr>
          <w:p w14:paraId="6B2DBB49">
            <w:pPr>
              <w:pStyle w:val="78"/>
            </w:pPr>
            <w:r>
              <w:rPr>
                <w:rFonts w:hint="eastAsia"/>
              </w:rPr>
              <w:t>解吸塔中段重沸器</w:t>
            </w:r>
          </w:p>
        </w:tc>
        <w:tc>
          <w:tcPr>
            <w:tcW w:w="2177" w:type="pct"/>
            <w:vAlign w:val="center"/>
          </w:tcPr>
          <w:p w14:paraId="5476E138">
            <w:pPr>
              <w:pStyle w:val="78"/>
              <w:rPr>
                <w:rFonts w:eastAsia="黑体" w:cs="Times New Roman"/>
              </w:rPr>
            </w:pPr>
            <w:r>
              <w:rPr>
                <w:rFonts w:eastAsia="黑体" w:cs="Times New Roman"/>
              </w:rPr>
              <w:t>BJ12S700</w:t>
            </w:r>
            <w:r>
              <w:rPr>
                <w:rFonts w:hint="eastAsia" w:cs="Times New Roman"/>
              </w:rPr>
              <w:t>×</w:t>
            </w:r>
            <w:r>
              <w:rPr>
                <w:rFonts w:eastAsia="黑体" w:cs="Times New Roman"/>
              </w:rPr>
              <w:t>6000</w:t>
            </w:r>
          </w:p>
        </w:tc>
        <w:tc>
          <w:tcPr>
            <w:tcW w:w="847" w:type="pct"/>
            <w:vAlign w:val="center"/>
          </w:tcPr>
          <w:p w14:paraId="6FAB0B5D">
            <w:pPr>
              <w:pStyle w:val="78"/>
              <w:rPr>
                <w:rFonts w:eastAsia="黑体" w:cs="Times New Roman"/>
              </w:rPr>
            </w:pPr>
            <w:r>
              <w:rPr>
                <w:rFonts w:eastAsia="黑体" w:cs="Times New Roman"/>
              </w:rPr>
              <w:t>1</w:t>
            </w:r>
          </w:p>
        </w:tc>
      </w:tr>
      <w:tr w14:paraId="59CA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CFFD050">
            <w:pPr>
              <w:pStyle w:val="78"/>
              <w:rPr>
                <w:rFonts w:eastAsia="黑体" w:cs="Times New Roman"/>
              </w:rPr>
            </w:pPr>
            <w:r>
              <w:rPr>
                <w:rFonts w:eastAsia="黑体" w:cs="Times New Roman"/>
              </w:rPr>
              <w:t>48</w:t>
            </w:r>
          </w:p>
        </w:tc>
        <w:tc>
          <w:tcPr>
            <w:tcW w:w="1549" w:type="pct"/>
            <w:vAlign w:val="center"/>
          </w:tcPr>
          <w:p w14:paraId="1CE7470F">
            <w:pPr>
              <w:pStyle w:val="78"/>
            </w:pPr>
            <w:r>
              <w:rPr>
                <w:rFonts w:hint="eastAsia"/>
              </w:rPr>
              <w:t>稳定塔顶水冷器</w:t>
            </w:r>
          </w:p>
        </w:tc>
        <w:tc>
          <w:tcPr>
            <w:tcW w:w="2177" w:type="pct"/>
            <w:vAlign w:val="center"/>
          </w:tcPr>
          <w:p w14:paraId="6F9DD48D">
            <w:pPr>
              <w:pStyle w:val="78"/>
              <w:rPr>
                <w:rFonts w:eastAsia="黑体" w:cs="Times New Roman"/>
              </w:rPr>
            </w:pPr>
            <w:r>
              <w:rPr>
                <w:rFonts w:eastAsia="黑体" w:cs="Times New Roman"/>
              </w:rPr>
              <w:t>BES1200</w:t>
            </w:r>
            <w:r>
              <w:rPr>
                <w:rFonts w:hint="eastAsia" w:cs="Times New Roman"/>
              </w:rPr>
              <w:t>×</w:t>
            </w:r>
            <w:r>
              <w:rPr>
                <w:rFonts w:eastAsia="黑体" w:cs="Times New Roman"/>
              </w:rPr>
              <w:t>6000</w:t>
            </w:r>
          </w:p>
        </w:tc>
        <w:tc>
          <w:tcPr>
            <w:tcW w:w="847" w:type="pct"/>
            <w:vAlign w:val="center"/>
          </w:tcPr>
          <w:p w14:paraId="14F017B7">
            <w:pPr>
              <w:pStyle w:val="78"/>
              <w:rPr>
                <w:rFonts w:eastAsia="黑体" w:cs="Times New Roman"/>
              </w:rPr>
            </w:pPr>
            <w:r>
              <w:rPr>
                <w:rFonts w:eastAsia="黑体" w:cs="Times New Roman"/>
              </w:rPr>
              <w:t>2</w:t>
            </w:r>
          </w:p>
        </w:tc>
      </w:tr>
      <w:tr w14:paraId="277A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4B00B677">
            <w:pPr>
              <w:pStyle w:val="78"/>
              <w:rPr>
                <w:rFonts w:eastAsia="黑体" w:cs="Times New Roman"/>
              </w:rPr>
            </w:pPr>
            <w:r>
              <w:rPr>
                <w:rFonts w:eastAsia="黑体" w:cs="Times New Roman"/>
              </w:rPr>
              <w:t>49</w:t>
            </w:r>
          </w:p>
        </w:tc>
        <w:tc>
          <w:tcPr>
            <w:tcW w:w="1549" w:type="pct"/>
            <w:vAlign w:val="center"/>
          </w:tcPr>
          <w:p w14:paraId="7564C99F">
            <w:pPr>
              <w:pStyle w:val="78"/>
            </w:pPr>
            <w:r>
              <w:rPr>
                <w:rFonts w:hint="eastAsia"/>
              </w:rPr>
              <w:t>稳定塔底重沸器</w:t>
            </w:r>
          </w:p>
        </w:tc>
        <w:tc>
          <w:tcPr>
            <w:tcW w:w="2177" w:type="pct"/>
            <w:vAlign w:val="center"/>
          </w:tcPr>
          <w:p w14:paraId="3697C329">
            <w:pPr>
              <w:pStyle w:val="78"/>
              <w:rPr>
                <w:rFonts w:eastAsia="黑体" w:cs="Times New Roman"/>
              </w:rPr>
            </w:pPr>
            <w:r>
              <w:rPr>
                <w:rFonts w:eastAsia="黑体" w:cs="Times New Roman"/>
              </w:rPr>
              <w:t>BJ12U1200</w:t>
            </w:r>
            <w:r>
              <w:rPr>
                <w:rFonts w:hint="eastAsia" w:cs="Times New Roman"/>
              </w:rPr>
              <w:t>×</w:t>
            </w:r>
            <w:r>
              <w:rPr>
                <w:rFonts w:eastAsia="黑体" w:cs="Times New Roman"/>
              </w:rPr>
              <w:t>6000</w:t>
            </w:r>
          </w:p>
        </w:tc>
        <w:tc>
          <w:tcPr>
            <w:tcW w:w="847" w:type="pct"/>
            <w:vAlign w:val="center"/>
          </w:tcPr>
          <w:p w14:paraId="7726D308">
            <w:pPr>
              <w:pStyle w:val="78"/>
              <w:rPr>
                <w:rFonts w:eastAsia="黑体" w:cs="Times New Roman"/>
              </w:rPr>
            </w:pPr>
            <w:r>
              <w:rPr>
                <w:rFonts w:eastAsia="黑体" w:cs="Times New Roman"/>
              </w:rPr>
              <w:t>1</w:t>
            </w:r>
          </w:p>
        </w:tc>
      </w:tr>
      <w:tr w14:paraId="7549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07B4592">
            <w:pPr>
              <w:pStyle w:val="78"/>
              <w:rPr>
                <w:rFonts w:eastAsia="黑体" w:cs="Times New Roman"/>
              </w:rPr>
            </w:pPr>
            <w:r>
              <w:rPr>
                <w:rFonts w:eastAsia="黑体" w:cs="Times New Roman"/>
              </w:rPr>
              <w:t>50</w:t>
            </w:r>
          </w:p>
        </w:tc>
        <w:tc>
          <w:tcPr>
            <w:tcW w:w="1549" w:type="pct"/>
            <w:vAlign w:val="center"/>
          </w:tcPr>
          <w:p w14:paraId="0428C0B8">
            <w:pPr>
              <w:pStyle w:val="78"/>
            </w:pPr>
            <w:r>
              <w:rPr>
                <w:rFonts w:hint="eastAsia"/>
              </w:rPr>
              <w:t>稳定塔进料换热器</w:t>
            </w:r>
          </w:p>
        </w:tc>
        <w:tc>
          <w:tcPr>
            <w:tcW w:w="2177" w:type="pct"/>
            <w:vAlign w:val="center"/>
          </w:tcPr>
          <w:p w14:paraId="2A75FBAE">
            <w:pPr>
              <w:pStyle w:val="78"/>
              <w:rPr>
                <w:rFonts w:eastAsia="黑体" w:cs="Times New Roman"/>
              </w:rPr>
            </w:pPr>
            <w:r>
              <w:rPr>
                <w:rFonts w:eastAsia="黑体" w:cs="Times New Roman"/>
              </w:rPr>
              <w:t>BJ12S800</w:t>
            </w:r>
            <w:r>
              <w:rPr>
                <w:rFonts w:hint="eastAsia" w:cs="Times New Roman"/>
              </w:rPr>
              <w:t>×</w:t>
            </w:r>
            <w:r>
              <w:rPr>
                <w:rFonts w:eastAsia="黑体" w:cs="Times New Roman"/>
              </w:rPr>
              <w:t>6000</w:t>
            </w:r>
          </w:p>
        </w:tc>
        <w:tc>
          <w:tcPr>
            <w:tcW w:w="847" w:type="pct"/>
            <w:vAlign w:val="center"/>
          </w:tcPr>
          <w:p w14:paraId="0B451BD4">
            <w:pPr>
              <w:pStyle w:val="78"/>
              <w:rPr>
                <w:rFonts w:eastAsia="黑体" w:cs="Times New Roman"/>
              </w:rPr>
            </w:pPr>
            <w:r>
              <w:rPr>
                <w:rFonts w:eastAsia="黑体" w:cs="Times New Roman"/>
              </w:rPr>
              <w:t>1</w:t>
            </w:r>
          </w:p>
        </w:tc>
      </w:tr>
      <w:tr w14:paraId="7078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8ACEE69">
            <w:pPr>
              <w:pStyle w:val="78"/>
              <w:rPr>
                <w:rFonts w:eastAsia="黑体" w:cs="Times New Roman"/>
              </w:rPr>
            </w:pPr>
            <w:r>
              <w:rPr>
                <w:rFonts w:eastAsia="黑体" w:cs="Times New Roman"/>
              </w:rPr>
              <w:t>51</w:t>
            </w:r>
          </w:p>
        </w:tc>
        <w:tc>
          <w:tcPr>
            <w:tcW w:w="1549" w:type="pct"/>
            <w:vAlign w:val="center"/>
          </w:tcPr>
          <w:p w14:paraId="3D42FF65">
            <w:pPr>
              <w:pStyle w:val="78"/>
            </w:pPr>
            <w:r>
              <w:rPr>
                <w:rFonts w:hint="eastAsia"/>
              </w:rPr>
              <w:t>吸收剂水冷器</w:t>
            </w:r>
          </w:p>
        </w:tc>
        <w:tc>
          <w:tcPr>
            <w:tcW w:w="2177" w:type="pct"/>
            <w:vAlign w:val="center"/>
          </w:tcPr>
          <w:p w14:paraId="4E4CA9F2">
            <w:pPr>
              <w:pStyle w:val="78"/>
              <w:rPr>
                <w:rFonts w:eastAsia="黑体" w:cs="Times New Roman"/>
              </w:rPr>
            </w:pPr>
            <w:r>
              <w:rPr>
                <w:rFonts w:eastAsia="黑体" w:cs="Times New Roman"/>
              </w:rPr>
              <w:t>BES800</w:t>
            </w:r>
            <w:r>
              <w:rPr>
                <w:rFonts w:hint="eastAsia" w:cs="Times New Roman"/>
              </w:rPr>
              <w:t>×</w:t>
            </w:r>
            <w:r>
              <w:rPr>
                <w:rFonts w:eastAsia="黑体" w:cs="Times New Roman"/>
              </w:rPr>
              <w:t>6000</w:t>
            </w:r>
          </w:p>
        </w:tc>
        <w:tc>
          <w:tcPr>
            <w:tcW w:w="847" w:type="pct"/>
            <w:vAlign w:val="center"/>
          </w:tcPr>
          <w:p w14:paraId="6E208419">
            <w:pPr>
              <w:pStyle w:val="78"/>
              <w:rPr>
                <w:rFonts w:eastAsia="黑体" w:cs="Times New Roman"/>
              </w:rPr>
            </w:pPr>
            <w:r>
              <w:rPr>
                <w:rFonts w:eastAsia="黑体" w:cs="Times New Roman"/>
              </w:rPr>
              <w:t>1</w:t>
            </w:r>
          </w:p>
        </w:tc>
      </w:tr>
      <w:tr w14:paraId="3C49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1D62570">
            <w:pPr>
              <w:pStyle w:val="78"/>
              <w:rPr>
                <w:rFonts w:eastAsia="黑体" w:cs="Times New Roman"/>
              </w:rPr>
            </w:pPr>
            <w:r>
              <w:rPr>
                <w:rFonts w:eastAsia="黑体" w:cs="Times New Roman"/>
              </w:rPr>
              <w:t>52</w:t>
            </w:r>
          </w:p>
        </w:tc>
        <w:tc>
          <w:tcPr>
            <w:tcW w:w="1549" w:type="pct"/>
            <w:vAlign w:val="center"/>
          </w:tcPr>
          <w:p w14:paraId="6F673518">
            <w:pPr>
              <w:pStyle w:val="78"/>
            </w:pPr>
            <w:r>
              <w:rPr>
                <w:rFonts w:hint="eastAsia"/>
              </w:rPr>
              <w:t>气压机级间水冷器</w:t>
            </w:r>
            <w:r>
              <w:rPr>
                <w:rFonts w:cs="Times New Roman"/>
              </w:rPr>
              <w:t>I</w:t>
            </w:r>
          </w:p>
        </w:tc>
        <w:tc>
          <w:tcPr>
            <w:tcW w:w="2177" w:type="pct"/>
            <w:vAlign w:val="center"/>
          </w:tcPr>
          <w:p w14:paraId="656CB9C6">
            <w:pPr>
              <w:pStyle w:val="78"/>
            </w:pPr>
            <w:r>
              <w:rPr>
                <w:rFonts w:hint="eastAsia"/>
              </w:rPr>
              <w:t>浮头管壳式</w:t>
            </w:r>
            <w:r>
              <w:rPr>
                <w:rFonts w:cs="Times New Roman"/>
              </w:rPr>
              <w:t>417.74</w:t>
            </w:r>
          </w:p>
        </w:tc>
        <w:tc>
          <w:tcPr>
            <w:tcW w:w="847" w:type="pct"/>
            <w:vAlign w:val="center"/>
          </w:tcPr>
          <w:p w14:paraId="171FDC0A">
            <w:pPr>
              <w:pStyle w:val="78"/>
              <w:rPr>
                <w:rFonts w:eastAsia="黑体" w:cs="Times New Roman"/>
              </w:rPr>
            </w:pPr>
            <w:r>
              <w:rPr>
                <w:rFonts w:eastAsia="黑体" w:cs="Times New Roman"/>
              </w:rPr>
              <w:t>1</w:t>
            </w:r>
          </w:p>
        </w:tc>
      </w:tr>
      <w:tr w14:paraId="3205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EBC4A01">
            <w:pPr>
              <w:pStyle w:val="78"/>
              <w:rPr>
                <w:rFonts w:eastAsia="黑体" w:cs="Times New Roman"/>
              </w:rPr>
            </w:pPr>
            <w:r>
              <w:rPr>
                <w:rFonts w:eastAsia="黑体" w:cs="Times New Roman"/>
              </w:rPr>
              <w:t>53</w:t>
            </w:r>
          </w:p>
        </w:tc>
        <w:tc>
          <w:tcPr>
            <w:tcW w:w="1549" w:type="pct"/>
            <w:vAlign w:val="center"/>
          </w:tcPr>
          <w:p w14:paraId="786FE379">
            <w:pPr>
              <w:pStyle w:val="78"/>
            </w:pPr>
            <w:r>
              <w:rPr>
                <w:rFonts w:hint="eastAsia"/>
              </w:rPr>
              <w:t>气压机级间水冷器</w:t>
            </w:r>
            <w:r>
              <w:rPr>
                <w:rFonts w:cs="Times New Roman"/>
              </w:rPr>
              <w:t>II</w:t>
            </w:r>
          </w:p>
        </w:tc>
        <w:tc>
          <w:tcPr>
            <w:tcW w:w="2177" w:type="pct"/>
            <w:vAlign w:val="center"/>
          </w:tcPr>
          <w:p w14:paraId="7776945C">
            <w:pPr>
              <w:pStyle w:val="78"/>
            </w:pPr>
            <w:r>
              <w:rPr>
                <w:rFonts w:hint="eastAsia"/>
              </w:rPr>
              <w:t>浮头管壳式</w:t>
            </w:r>
            <w:r>
              <w:rPr>
                <w:rFonts w:cs="Times New Roman"/>
              </w:rPr>
              <w:t>361.65</w:t>
            </w:r>
          </w:p>
        </w:tc>
        <w:tc>
          <w:tcPr>
            <w:tcW w:w="847" w:type="pct"/>
            <w:vAlign w:val="center"/>
          </w:tcPr>
          <w:p w14:paraId="1B2693EC">
            <w:pPr>
              <w:pStyle w:val="78"/>
              <w:rPr>
                <w:rFonts w:eastAsia="黑体" w:cs="Times New Roman"/>
              </w:rPr>
            </w:pPr>
            <w:r>
              <w:rPr>
                <w:rFonts w:eastAsia="黑体" w:cs="Times New Roman"/>
              </w:rPr>
              <w:t>1</w:t>
            </w:r>
          </w:p>
        </w:tc>
      </w:tr>
      <w:tr w14:paraId="64FE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7267E30">
            <w:pPr>
              <w:pStyle w:val="78"/>
              <w:rPr>
                <w:rFonts w:eastAsia="黑体" w:cs="Times New Roman"/>
              </w:rPr>
            </w:pPr>
            <w:r>
              <w:rPr>
                <w:rFonts w:eastAsia="黑体" w:cs="Times New Roman"/>
              </w:rPr>
              <w:t>54</w:t>
            </w:r>
          </w:p>
        </w:tc>
        <w:tc>
          <w:tcPr>
            <w:tcW w:w="1549" w:type="pct"/>
            <w:vAlign w:val="center"/>
          </w:tcPr>
          <w:p w14:paraId="3AC3BAA6">
            <w:pPr>
              <w:pStyle w:val="78"/>
            </w:pPr>
            <w:r>
              <w:rPr>
                <w:rFonts w:hint="eastAsia"/>
              </w:rPr>
              <w:t>污水水冷器</w:t>
            </w:r>
          </w:p>
        </w:tc>
        <w:tc>
          <w:tcPr>
            <w:tcW w:w="2177" w:type="pct"/>
            <w:vAlign w:val="center"/>
          </w:tcPr>
          <w:p w14:paraId="01DC4986">
            <w:pPr>
              <w:pStyle w:val="78"/>
              <w:rPr>
                <w:rFonts w:eastAsia="黑体" w:cs="Times New Roman"/>
              </w:rPr>
            </w:pPr>
            <w:r>
              <w:rPr>
                <w:rFonts w:eastAsia="黑体" w:cs="Times New Roman"/>
              </w:rPr>
              <w:t>BES500</w:t>
            </w:r>
            <w:r>
              <w:rPr>
                <w:rFonts w:hint="eastAsia" w:cs="Times New Roman"/>
              </w:rPr>
              <w:t>×</w:t>
            </w:r>
            <w:r>
              <w:rPr>
                <w:rFonts w:eastAsia="黑体" w:cs="Times New Roman"/>
              </w:rPr>
              <w:t>6000</w:t>
            </w:r>
          </w:p>
        </w:tc>
        <w:tc>
          <w:tcPr>
            <w:tcW w:w="847" w:type="pct"/>
            <w:vAlign w:val="center"/>
          </w:tcPr>
          <w:p w14:paraId="7AFD5DA3">
            <w:pPr>
              <w:pStyle w:val="78"/>
              <w:rPr>
                <w:rFonts w:eastAsia="黑体" w:cs="Times New Roman"/>
              </w:rPr>
            </w:pPr>
            <w:r>
              <w:rPr>
                <w:rFonts w:eastAsia="黑体" w:cs="Times New Roman"/>
              </w:rPr>
              <w:t>4</w:t>
            </w:r>
          </w:p>
        </w:tc>
      </w:tr>
      <w:tr w14:paraId="3263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607C04F">
            <w:pPr>
              <w:pStyle w:val="78"/>
              <w:rPr>
                <w:rFonts w:eastAsia="黑体" w:cs="Times New Roman"/>
              </w:rPr>
            </w:pPr>
            <w:r>
              <w:rPr>
                <w:rFonts w:eastAsia="黑体" w:cs="Times New Roman"/>
              </w:rPr>
              <w:t>55</w:t>
            </w:r>
          </w:p>
        </w:tc>
        <w:tc>
          <w:tcPr>
            <w:tcW w:w="1549" w:type="pct"/>
            <w:vAlign w:val="center"/>
          </w:tcPr>
          <w:p w14:paraId="72694228">
            <w:pPr>
              <w:pStyle w:val="78"/>
            </w:pPr>
            <w:r>
              <w:rPr>
                <w:rFonts w:hint="eastAsia"/>
              </w:rPr>
              <w:t>汽柴油分离塔进料换热器</w:t>
            </w:r>
          </w:p>
        </w:tc>
        <w:tc>
          <w:tcPr>
            <w:tcW w:w="2177" w:type="pct"/>
            <w:vAlign w:val="center"/>
          </w:tcPr>
          <w:p w14:paraId="4B1BDFDB">
            <w:pPr>
              <w:pStyle w:val="78"/>
              <w:rPr>
                <w:rFonts w:eastAsia="黑体" w:cs="Times New Roman"/>
              </w:rPr>
            </w:pPr>
            <w:r>
              <w:rPr>
                <w:rFonts w:eastAsia="黑体" w:cs="Times New Roman"/>
              </w:rPr>
              <w:t>BES500</w:t>
            </w:r>
            <w:r>
              <w:rPr>
                <w:rFonts w:hint="eastAsia" w:cs="Times New Roman"/>
              </w:rPr>
              <w:t>×</w:t>
            </w:r>
            <w:r>
              <w:rPr>
                <w:rFonts w:eastAsia="黑体" w:cs="Times New Roman"/>
              </w:rPr>
              <w:t>4500</w:t>
            </w:r>
          </w:p>
        </w:tc>
        <w:tc>
          <w:tcPr>
            <w:tcW w:w="847" w:type="pct"/>
            <w:vAlign w:val="center"/>
          </w:tcPr>
          <w:p w14:paraId="0767C0FC">
            <w:pPr>
              <w:pStyle w:val="78"/>
              <w:rPr>
                <w:rFonts w:eastAsia="黑体" w:cs="Times New Roman"/>
              </w:rPr>
            </w:pPr>
            <w:r>
              <w:rPr>
                <w:rFonts w:eastAsia="黑体" w:cs="Times New Roman"/>
              </w:rPr>
              <w:t>1</w:t>
            </w:r>
          </w:p>
        </w:tc>
      </w:tr>
      <w:tr w14:paraId="41BE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24E5DD9">
            <w:pPr>
              <w:pStyle w:val="78"/>
              <w:rPr>
                <w:rFonts w:eastAsia="黑体" w:cs="Times New Roman"/>
              </w:rPr>
            </w:pPr>
            <w:r>
              <w:rPr>
                <w:rFonts w:eastAsia="黑体" w:cs="Times New Roman"/>
              </w:rPr>
              <w:t>56</w:t>
            </w:r>
          </w:p>
        </w:tc>
        <w:tc>
          <w:tcPr>
            <w:tcW w:w="1549" w:type="pct"/>
            <w:vAlign w:val="center"/>
          </w:tcPr>
          <w:p w14:paraId="337305E1">
            <w:pPr>
              <w:pStyle w:val="78"/>
            </w:pPr>
            <w:r>
              <w:rPr>
                <w:rFonts w:hint="eastAsia"/>
              </w:rPr>
              <w:t>汽柴油分离塔塔顶水冷器</w:t>
            </w:r>
          </w:p>
        </w:tc>
        <w:tc>
          <w:tcPr>
            <w:tcW w:w="2177" w:type="pct"/>
            <w:vAlign w:val="center"/>
          </w:tcPr>
          <w:p w14:paraId="5EB55D7B">
            <w:pPr>
              <w:pStyle w:val="78"/>
              <w:rPr>
                <w:rFonts w:eastAsia="黑体" w:cs="Times New Roman"/>
              </w:rPr>
            </w:pPr>
            <w:r>
              <w:rPr>
                <w:rFonts w:eastAsia="黑体" w:cs="Times New Roman"/>
              </w:rPr>
              <w:t>BES500</w:t>
            </w:r>
            <w:r>
              <w:rPr>
                <w:rFonts w:hint="eastAsia" w:cs="Times New Roman"/>
              </w:rPr>
              <w:t>×</w:t>
            </w:r>
            <w:r>
              <w:rPr>
                <w:rFonts w:eastAsia="黑体" w:cs="Times New Roman"/>
              </w:rPr>
              <w:t>4500</w:t>
            </w:r>
          </w:p>
        </w:tc>
        <w:tc>
          <w:tcPr>
            <w:tcW w:w="847" w:type="pct"/>
            <w:vAlign w:val="center"/>
          </w:tcPr>
          <w:p w14:paraId="6ED0223B">
            <w:pPr>
              <w:pStyle w:val="78"/>
              <w:rPr>
                <w:rFonts w:eastAsia="黑体" w:cs="Times New Roman"/>
              </w:rPr>
            </w:pPr>
            <w:r>
              <w:rPr>
                <w:rFonts w:eastAsia="黑体" w:cs="Times New Roman"/>
              </w:rPr>
              <w:t>1</w:t>
            </w:r>
          </w:p>
        </w:tc>
      </w:tr>
      <w:tr w14:paraId="2CB3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4727AC7">
            <w:pPr>
              <w:pStyle w:val="78"/>
              <w:rPr>
                <w:rFonts w:eastAsia="黑体" w:cs="Times New Roman"/>
              </w:rPr>
            </w:pPr>
            <w:r>
              <w:rPr>
                <w:rFonts w:eastAsia="黑体" w:cs="Times New Roman"/>
              </w:rPr>
              <w:t>57</w:t>
            </w:r>
          </w:p>
        </w:tc>
        <w:tc>
          <w:tcPr>
            <w:tcW w:w="1549" w:type="pct"/>
            <w:vAlign w:val="center"/>
          </w:tcPr>
          <w:p w14:paraId="26DD004F">
            <w:pPr>
              <w:pStyle w:val="78"/>
            </w:pPr>
            <w:r>
              <w:rPr>
                <w:rFonts w:hint="eastAsia"/>
              </w:rPr>
              <w:t>柴油水冷器</w:t>
            </w:r>
          </w:p>
        </w:tc>
        <w:tc>
          <w:tcPr>
            <w:tcW w:w="2177" w:type="pct"/>
            <w:vAlign w:val="center"/>
          </w:tcPr>
          <w:p w14:paraId="07618C47">
            <w:pPr>
              <w:pStyle w:val="78"/>
              <w:rPr>
                <w:rFonts w:eastAsia="黑体" w:cs="Times New Roman"/>
              </w:rPr>
            </w:pPr>
            <w:r>
              <w:rPr>
                <w:rFonts w:eastAsia="黑体" w:cs="Times New Roman"/>
              </w:rPr>
              <w:t>BES700</w:t>
            </w:r>
            <w:r>
              <w:rPr>
                <w:rFonts w:hint="eastAsia" w:cs="Times New Roman"/>
              </w:rPr>
              <w:t>×</w:t>
            </w:r>
            <w:r>
              <w:rPr>
                <w:rFonts w:eastAsia="黑体" w:cs="Times New Roman"/>
              </w:rPr>
              <w:t>4500</w:t>
            </w:r>
          </w:p>
        </w:tc>
        <w:tc>
          <w:tcPr>
            <w:tcW w:w="847" w:type="pct"/>
            <w:vAlign w:val="center"/>
          </w:tcPr>
          <w:p w14:paraId="444F2E66">
            <w:pPr>
              <w:pStyle w:val="78"/>
              <w:rPr>
                <w:rFonts w:eastAsia="黑体" w:cs="Times New Roman"/>
              </w:rPr>
            </w:pPr>
            <w:r>
              <w:rPr>
                <w:rFonts w:eastAsia="黑体" w:cs="Times New Roman"/>
              </w:rPr>
              <w:t>2</w:t>
            </w:r>
          </w:p>
        </w:tc>
      </w:tr>
      <w:tr w14:paraId="0FCB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A77DC29">
            <w:pPr>
              <w:pStyle w:val="78"/>
              <w:rPr>
                <w:rFonts w:eastAsia="黑体" w:cs="Times New Roman"/>
              </w:rPr>
            </w:pPr>
            <w:r>
              <w:rPr>
                <w:rFonts w:eastAsia="黑体" w:cs="Times New Roman"/>
              </w:rPr>
              <w:t>58</w:t>
            </w:r>
          </w:p>
        </w:tc>
        <w:tc>
          <w:tcPr>
            <w:tcW w:w="1549" w:type="pct"/>
            <w:vAlign w:val="center"/>
          </w:tcPr>
          <w:p w14:paraId="3345C6C5">
            <w:pPr>
              <w:pStyle w:val="78"/>
            </w:pPr>
            <w:r>
              <w:rPr>
                <w:rFonts w:hint="eastAsia"/>
              </w:rPr>
              <w:t>脱碳二塔底水冷器</w:t>
            </w:r>
          </w:p>
        </w:tc>
        <w:tc>
          <w:tcPr>
            <w:tcW w:w="2177" w:type="pct"/>
            <w:vAlign w:val="center"/>
          </w:tcPr>
          <w:p w14:paraId="16E73E0C">
            <w:pPr>
              <w:pStyle w:val="78"/>
              <w:rPr>
                <w:rFonts w:eastAsia="黑体" w:cs="Times New Roman"/>
              </w:rPr>
            </w:pPr>
            <w:r>
              <w:rPr>
                <w:rFonts w:eastAsia="黑体" w:cs="Times New Roman"/>
              </w:rPr>
              <w:t>BES 900-6/25</w:t>
            </w:r>
          </w:p>
        </w:tc>
        <w:tc>
          <w:tcPr>
            <w:tcW w:w="847" w:type="pct"/>
            <w:vAlign w:val="center"/>
          </w:tcPr>
          <w:p w14:paraId="40441AF7">
            <w:pPr>
              <w:pStyle w:val="78"/>
              <w:rPr>
                <w:rFonts w:eastAsia="黑体" w:cs="Times New Roman"/>
              </w:rPr>
            </w:pPr>
            <w:r>
              <w:rPr>
                <w:rFonts w:eastAsia="黑体" w:cs="Times New Roman"/>
              </w:rPr>
              <w:t>2</w:t>
            </w:r>
          </w:p>
        </w:tc>
      </w:tr>
      <w:tr w14:paraId="5C3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5C6C511">
            <w:pPr>
              <w:pStyle w:val="78"/>
              <w:rPr>
                <w:rFonts w:eastAsia="黑体" w:cs="Times New Roman"/>
              </w:rPr>
            </w:pPr>
            <w:r>
              <w:rPr>
                <w:rFonts w:eastAsia="黑体" w:cs="Times New Roman"/>
              </w:rPr>
              <w:t>59</w:t>
            </w:r>
          </w:p>
        </w:tc>
        <w:tc>
          <w:tcPr>
            <w:tcW w:w="1549" w:type="pct"/>
            <w:vAlign w:val="center"/>
          </w:tcPr>
          <w:p w14:paraId="3582E1F6">
            <w:pPr>
              <w:pStyle w:val="78"/>
            </w:pPr>
            <w:r>
              <w:rPr>
                <w:rFonts w:hint="eastAsia"/>
              </w:rPr>
              <w:t>脱碳二塔底重沸器</w:t>
            </w:r>
          </w:p>
        </w:tc>
        <w:tc>
          <w:tcPr>
            <w:tcW w:w="2177" w:type="pct"/>
            <w:vAlign w:val="center"/>
          </w:tcPr>
          <w:p w14:paraId="79236A76">
            <w:pPr>
              <w:pStyle w:val="78"/>
              <w:rPr>
                <w:rFonts w:eastAsia="黑体" w:cs="Times New Roman"/>
              </w:rPr>
            </w:pPr>
            <w:r>
              <w:rPr>
                <w:rFonts w:eastAsia="黑体" w:cs="Times New Roman"/>
              </w:rPr>
              <w:t>BJS800-6/25</w:t>
            </w:r>
          </w:p>
        </w:tc>
        <w:tc>
          <w:tcPr>
            <w:tcW w:w="847" w:type="pct"/>
            <w:vAlign w:val="center"/>
          </w:tcPr>
          <w:p w14:paraId="5EB837BD">
            <w:pPr>
              <w:pStyle w:val="78"/>
              <w:rPr>
                <w:rFonts w:eastAsia="黑体" w:cs="Times New Roman"/>
              </w:rPr>
            </w:pPr>
            <w:r>
              <w:rPr>
                <w:rFonts w:eastAsia="黑体" w:cs="Times New Roman"/>
              </w:rPr>
              <w:t>1</w:t>
            </w:r>
          </w:p>
        </w:tc>
      </w:tr>
      <w:tr w14:paraId="2285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D962E46">
            <w:pPr>
              <w:pStyle w:val="78"/>
              <w:rPr>
                <w:rFonts w:eastAsia="黑体" w:cs="Times New Roman"/>
              </w:rPr>
            </w:pPr>
            <w:r>
              <w:rPr>
                <w:rFonts w:eastAsia="黑体" w:cs="Times New Roman"/>
              </w:rPr>
              <w:t>60</w:t>
            </w:r>
          </w:p>
        </w:tc>
        <w:tc>
          <w:tcPr>
            <w:tcW w:w="1549" w:type="pct"/>
            <w:vAlign w:val="center"/>
          </w:tcPr>
          <w:p w14:paraId="057A2300">
            <w:pPr>
              <w:pStyle w:val="78"/>
            </w:pPr>
            <w:r>
              <w:rPr>
                <w:rFonts w:hint="eastAsia"/>
              </w:rPr>
              <w:t>脱碳二塔进料换热器</w:t>
            </w:r>
          </w:p>
        </w:tc>
        <w:tc>
          <w:tcPr>
            <w:tcW w:w="2177" w:type="pct"/>
            <w:vAlign w:val="center"/>
          </w:tcPr>
          <w:p w14:paraId="399D7C4F">
            <w:pPr>
              <w:pStyle w:val="78"/>
              <w:rPr>
                <w:rFonts w:eastAsia="黑体" w:cs="Times New Roman"/>
              </w:rPr>
            </w:pPr>
            <w:r>
              <w:rPr>
                <w:rFonts w:eastAsia="黑体" w:cs="Times New Roman"/>
              </w:rPr>
              <w:t>BES600</w:t>
            </w:r>
            <w:r>
              <w:rPr>
                <w:rFonts w:hint="eastAsia" w:cs="Times New Roman"/>
              </w:rPr>
              <w:t>×</w:t>
            </w:r>
            <w:r>
              <w:rPr>
                <w:rFonts w:eastAsia="黑体" w:cs="Times New Roman"/>
              </w:rPr>
              <w:t>4500</w:t>
            </w:r>
          </w:p>
        </w:tc>
        <w:tc>
          <w:tcPr>
            <w:tcW w:w="847" w:type="pct"/>
            <w:vAlign w:val="center"/>
          </w:tcPr>
          <w:p w14:paraId="69B6BD36">
            <w:pPr>
              <w:pStyle w:val="78"/>
              <w:rPr>
                <w:rFonts w:eastAsia="黑体" w:cs="Times New Roman"/>
              </w:rPr>
            </w:pPr>
            <w:r>
              <w:rPr>
                <w:rFonts w:eastAsia="黑体" w:cs="Times New Roman"/>
              </w:rPr>
              <w:t>1</w:t>
            </w:r>
          </w:p>
        </w:tc>
      </w:tr>
      <w:tr w14:paraId="258E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CF0303D">
            <w:pPr>
              <w:pStyle w:val="78"/>
              <w:rPr>
                <w:rFonts w:eastAsia="黑体" w:cs="Times New Roman"/>
              </w:rPr>
            </w:pPr>
            <w:r>
              <w:rPr>
                <w:rFonts w:eastAsia="黑体" w:cs="Times New Roman"/>
              </w:rPr>
              <w:t>61</w:t>
            </w:r>
          </w:p>
        </w:tc>
        <w:tc>
          <w:tcPr>
            <w:tcW w:w="1549" w:type="pct"/>
            <w:vAlign w:val="center"/>
          </w:tcPr>
          <w:p w14:paraId="25778C1F">
            <w:pPr>
              <w:pStyle w:val="78"/>
            </w:pPr>
            <w:r>
              <w:rPr>
                <w:rFonts w:hint="eastAsia"/>
              </w:rPr>
              <w:t>液化塑料裂解气水冷器</w:t>
            </w:r>
          </w:p>
        </w:tc>
        <w:tc>
          <w:tcPr>
            <w:tcW w:w="2177" w:type="pct"/>
            <w:vAlign w:val="center"/>
          </w:tcPr>
          <w:p w14:paraId="764753C1">
            <w:pPr>
              <w:pStyle w:val="78"/>
              <w:rPr>
                <w:rFonts w:eastAsia="黑体" w:cs="Times New Roman"/>
              </w:rPr>
            </w:pPr>
            <w:r>
              <w:rPr>
                <w:rFonts w:eastAsia="黑体" w:cs="Times New Roman"/>
              </w:rPr>
              <w:t>BES700</w:t>
            </w:r>
            <w:r>
              <w:rPr>
                <w:rFonts w:hint="eastAsia" w:cs="Times New Roman"/>
              </w:rPr>
              <w:t>×</w:t>
            </w:r>
            <w:r>
              <w:rPr>
                <w:rFonts w:eastAsia="黑体" w:cs="Times New Roman"/>
              </w:rPr>
              <w:t>6000</w:t>
            </w:r>
          </w:p>
        </w:tc>
        <w:tc>
          <w:tcPr>
            <w:tcW w:w="847" w:type="pct"/>
            <w:vAlign w:val="center"/>
          </w:tcPr>
          <w:p w14:paraId="296512CB">
            <w:pPr>
              <w:pStyle w:val="78"/>
              <w:rPr>
                <w:rFonts w:eastAsia="黑体" w:cs="Times New Roman"/>
              </w:rPr>
            </w:pPr>
            <w:r>
              <w:rPr>
                <w:rFonts w:eastAsia="黑体" w:cs="Times New Roman"/>
              </w:rPr>
              <w:t>1</w:t>
            </w:r>
          </w:p>
        </w:tc>
      </w:tr>
      <w:tr w14:paraId="7C2D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FF59F3C">
            <w:pPr>
              <w:pStyle w:val="78"/>
              <w:rPr>
                <w:rFonts w:eastAsia="黑体" w:cs="Times New Roman"/>
              </w:rPr>
            </w:pPr>
            <w:r>
              <w:rPr>
                <w:rFonts w:eastAsia="黑体" w:cs="Times New Roman"/>
              </w:rPr>
              <w:t>62</w:t>
            </w:r>
          </w:p>
        </w:tc>
        <w:tc>
          <w:tcPr>
            <w:tcW w:w="1549" w:type="pct"/>
            <w:vAlign w:val="center"/>
          </w:tcPr>
          <w:p w14:paraId="3CEAB2C3">
            <w:pPr>
              <w:pStyle w:val="78"/>
            </w:pPr>
            <w:r>
              <w:rPr>
                <w:rFonts w:hint="eastAsia"/>
              </w:rPr>
              <w:t>汽柴油分离塔进料过热器</w:t>
            </w:r>
          </w:p>
        </w:tc>
        <w:tc>
          <w:tcPr>
            <w:tcW w:w="2177" w:type="pct"/>
            <w:vAlign w:val="center"/>
          </w:tcPr>
          <w:p w14:paraId="12D8C752">
            <w:pPr>
              <w:pStyle w:val="78"/>
              <w:rPr>
                <w:rFonts w:eastAsia="黑体" w:cs="Times New Roman"/>
              </w:rPr>
            </w:pPr>
            <w:r>
              <w:rPr>
                <w:rFonts w:eastAsia="黑体" w:cs="Times New Roman"/>
              </w:rPr>
              <w:t>BJU500</w:t>
            </w:r>
            <w:r>
              <w:rPr>
                <w:rFonts w:hint="eastAsia" w:cs="Times New Roman"/>
              </w:rPr>
              <w:t>×</w:t>
            </w:r>
            <w:r>
              <w:rPr>
                <w:rFonts w:eastAsia="黑体" w:cs="Times New Roman"/>
              </w:rPr>
              <w:t>6000</w:t>
            </w:r>
          </w:p>
        </w:tc>
        <w:tc>
          <w:tcPr>
            <w:tcW w:w="847" w:type="pct"/>
            <w:vAlign w:val="center"/>
          </w:tcPr>
          <w:p w14:paraId="21635E85">
            <w:pPr>
              <w:pStyle w:val="78"/>
              <w:rPr>
                <w:rFonts w:eastAsia="黑体" w:cs="Times New Roman"/>
              </w:rPr>
            </w:pPr>
            <w:r>
              <w:rPr>
                <w:rFonts w:eastAsia="黑体" w:cs="Times New Roman"/>
              </w:rPr>
              <w:t>1</w:t>
            </w:r>
          </w:p>
        </w:tc>
      </w:tr>
      <w:tr w14:paraId="263B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78F57CC">
            <w:pPr>
              <w:pStyle w:val="78"/>
              <w:rPr>
                <w:rFonts w:eastAsia="黑体" w:cs="Times New Roman"/>
              </w:rPr>
            </w:pPr>
            <w:r>
              <w:rPr>
                <w:rFonts w:eastAsia="黑体" w:cs="Times New Roman"/>
              </w:rPr>
              <w:t>63</w:t>
            </w:r>
          </w:p>
        </w:tc>
        <w:tc>
          <w:tcPr>
            <w:tcW w:w="1549" w:type="pct"/>
            <w:vAlign w:val="center"/>
          </w:tcPr>
          <w:p w14:paraId="2127D14D">
            <w:pPr>
              <w:pStyle w:val="78"/>
            </w:pPr>
            <w:r>
              <w:rPr>
                <w:rFonts w:hint="eastAsia"/>
              </w:rPr>
              <w:t>汽柴油分离塔顶冷却器</w:t>
            </w:r>
          </w:p>
        </w:tc>
        <w:tc>
          <w:tcPr>
            <w:tcW w:w="2177" w:type="pct"/>
            <w:vAlign w:val="center"/>
          </w:tcPr>
          <w:p w14:paraId="0F95468D">
            <w:pPr>
              <w:pStyle w:val="78"/>
              <w:rPr>
                <w:rFonts w:eastAsia="黑体" w:cs="Times New Roman"/>
              </w:rPr>
            </w:pPr>
            <w:r>
              <w:rPr>
                <w:rFonts w:eastAsia="黑体" w:cs="Times New Roman"/>
              </w:rPr>
              <w:t>BES500</w:t>
            </w:r>
            <w:r>
              <w:rPr>
                <w:rFonts w:hint="eastAsia" w:cs="Times New Roman"/>
              </w:rPr>
              <w:t>×</w:t>
            </w:r>
            <w:r>
              <w:rPr>
                <w:rFonts w:eastAsia="黑体" w:cs="Times New Roman"/>
              </w:rPr>
              <w:t>4500</w:t>
            </w:r>
          </w:p>
        </w:tc>
        <w:tc>
          <w:tcPr>
            <w:tcW w:w="847" w:type="pct"/>
            <w:vAlign w:val="center"/>
          </w:tcPr>
          <w:p w14:paraId="6CC03EF3">
            <w:pPr>
              <w:pStyle w:val="78"/>
              <w:rPr>
                <w:rFonts w:eastAsia="黑体" w:cs="Times New Roman"/>
              </w:rPr>
            </w:pPr>
            <w:r>
              <w:rPr>
                <w:rFonts w:eastAsia="黑体" w:cs="Times New Roman"/>
              </w:rPr>
              <w:t>2</w:t>
            </w:r>
          </w:p>
        </w:tc>
      </w:tr>
      <w:tr w14:paraId="41BC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2D363E2">
            <w:pPr>
              <w:pStyle w:val="78"/>
              <w:rPr>
                <w:rFonts w:eastAsia="黑体" w:cs="Times New Roman"/>
              </w:rPr>
            </w:pPr>
            <w:r>
              <w:rPr>
                <w:rFonts w:eastAsia="黑体" w:cs="Times New Roman"/>
              </w:rPr>
              <w:t>64</w:t>
            </w:r>
          </w:p>
        </w:tc>
        <w:tc>
          <w:tcPr>
            <w:tcW w:w="1549" w:type="pct"/>
            <w:vAlign w:val="center"/>
          </w:tcPr>
          <w:p w14:paraId="62ABB6F5">
            <w:pPr>
              <w:pStyle w:val="78"/>
            </w:pPr>
            <w:r>
              <w:rPr>
                <w:rFonts w:hint="eastAsia"/>
              </w:rPr>
              <w:t>水洗塔底泵</w:t>
            </w:r>
          </w:p>
        </w:tc>
        <w:tc>
          <w:tcPr>
            <w:tcW w:w="2177" w:type="pct"/>
            <w:vAlign w:val="center"/>
          </w:tcPr>
          <w:p w14:paraId="7096B762">
            <w:pPr>
              <w:pStyle w:val="78"/>
              <w:rPr>
                <w:rFonts w:eastAsia="黑体" w:cs="Times New Roman"/>
              </w:rPr>
            </w:pPr>
            <w:r>
              <w:rPr>
                <w:rFonts w:eastAsia="黑体" w:cs="Times New Roman"/>
              </w:rPr>
              <w:t>/</w:t>
            </w:r>
          </w:p>
        </w:tc>
        <w:tc>
          <w:tcPr>
            <w:tcW w:w="847" w:type="pct"/>
            <w:vAlign w:val="center"/>
          </w:tcPr>
          <w:p w14:paraId="61061765">
            <w:pPr>
              <w:pStyle w:val="78"/>
              <w:rPr>
                <w:rFonts w:eastAsia="黑体" w:cs="Times New Roman"/>
              </w:rPr>
            </w:pPr>
            <w:r>
              <w:rPr>
                <w:rFonts w:eastAsia="黑体" w:cs="Times New Roman"/>
              </w:rPr>
              <w:t>2</w:t>
            </w:r>
          </w:p>
        </w:tc>
      </w:tr>
      <w:tr w14:paraId="7582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5BB1CEE">
            <w:pPr>
              <w:pStyle w:val="78"/>
              <w:rPr>
                <w:rFonts w:eastAsia="黑体" w:cs="Times New Roman"/>
              </w:rPr>
            </w:pPr>
            <w:r>
              <w:rPr>
                <w:rFonts w:eastAsia="黑体" w:cs="Times New Roman"/>
              </w:rPr>
              <w:t>65</w:t>
            </w:r>
          </w:p>
        </w:tc>
        <w:tc>
          <w:tcPr>
            <w:tcW w:w="1549" w:type="pct"/>
            <w:vAlign w:val="center"/>
          </w:tcPr>
          <w:p w14:paraId="2651DD1C">
            <w:pPr>
              <w:pStyle w:val="78"/>
            </w:pPr>
            <w:r>
              <w:rPr>
                <w:rFonts w:hint="eastAsia"/>
              </w:rPr>
              <w:t>水洗塔顶循环泵</w:t>
            </w:r>
          </w:p>
        </w:tc>
        <w:tc>
          <w:tcPr>
            <w:tcW w:w="2177" w:type="pct"/>
            <w:vAlign w:val="center"/>
          </w:tcPr>
          <w:p w14:paraId="2D9C3E62">
            <w:pPr>
              <w:pStyle w:val="78"/>
              <w:rPr>
                <w:rFonts w:eastAsia="黑体" w:cs="Times New Roman"/>
              </w:rPr>
            </w:pPr>
            <w:r>
              <w:rPr>
                <w:rFonts w:eastAsia="黑体" w:cs="Times New Roman"/>
              </w:rPr>
              <w:t>/</w:t>
            </w:r>
          </w:p>
        </w:tc>
        <w:tc>
          <w:tcPr>
            <w:tcW w:w="847" w:type="pct"/>
            <w:vAlign w:val="center"/>
          </w:tcPr>
          <w:p w14:paraId="5E120CD1">
            <w:pPr>
              <w:pStyle w:val="78"/>
              <w:rPr>
                <w:rFonts w:eastAsia="黑体" w:cs="Times New Roman"/>
              </w:rPr>
            </w:pPr>
            <w:r>
              <w:rPr>
                <w:rFonts w:eastAsia="黑体" w:cs="Times New Roman"/>
              </w:rPr>
              <w:t>2</w:t>
            </w:r>
          </w:p>
        </w:tc>
      </w:tr>
      <w:tr w14:paraId="4C99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E179F6D">
            <w:pPr>
              <w:pStyle w:val="78"/>
              <w:rPr>
                <w:rFonts w:eastAsia="黑体" w:cs="Times New Roman"/>
              </w:rPr>
            </w:pPr>
            <w:r>
              <w:rPr>
                <w:rFonts w:eastAsia="黑体" w:cs="Times New Roman"/>
              </w:rPr>
              <w:t>66</w:t>
            </w:r>
          </w:p>
        </w:tc>
        <w:tc>
          <w:tcPr>
            <w:tcW w:w="1549" w:type="pct"/>
            <w:vAlign w:val="center"/>
          </w:tcPr>
          <w:p w14:paraId="5B4BD9DC">
            <w:pPr>
              <w:pStyle w:val="78"/>
            </w:pPr>
            <w:r>
              <w:rPr>
                <w:rFonts w:hint="eastAsia"/>
              </w:rPr>
              <w:t>反应油气水洗塔中段水抽出泵</w:t>
            </w:r>
          </w:p>
        </w:tc>
        <w:tc>
          <w:tcPr>
            <w:tcW w:w="2177" w:type="pct"/>
            <w:vAlign w:val="center"/>
          </w:tcPr>
          <w:p w14:paraId="07F1AEC8">
            <w:pPr>
              <w:pStyle w:val="78"/>
              <w:rPr>
                <w:rFonts w:eastAsia="黑体" w:cs="Times New Roman"/>
              </w:rPr>
            </w:pPr>
            <w:r>
              <w:rPr>
                <w:rFonts w:eastAsia="黑体" w:cs="Times New Roman"/>
              </w:rPr>
              <w:t>/</w:t>
            </w:r>
          </w:p>
        </w:tc>
        <w:tc>
          <w:tcPr>
            <w:tcW w:w="847" w:type="pct"/>
            <w:vAlign w:val="center"/>
          </w:tcPr>
          <w:p w14:paraId="5DCAEAAC">
            <w:pPr>
              <w:pStyle w:val="78"/>
              <w:rPr>
                <w:rFonts w:eastAsia="黑体" w:cs="Times New Roman"/>
              </w:rPr>
            </w:pPr>
            <w:r>
              <w:rPr>
                <w:rFonts w:eastAsia="黑体" w:cs="Times New Roman"/>
              </w:rPr>
              <w:t>2</w:t>
            </w:r>
          </w:p>
        </w:tc>
      </w:tr>
      <w:tr w14:paraId="0F46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FCC5B1B">
            <w:pPr>
              <w:pStyle w:val="78"/>
              <w:rPr>
                <w:rFonts w:eastAsia="黑体" w:cs="Times New Roman"/>
              </w:rPr>
            </w:pPr>
            <w:r>
              <w:rPr>
                <w:rFonts w:eastAsia="黑体" w:cs="Times New Roman"/>
              </w:rPr>
              <w:t>67</w:t>
            </w:r>
          </w:p>
        </w:tc>
        <w:tc>
          <w:tcPr>
            <w:tcW w:w="1549" w:type="pct"/>
            <w:vAlign w:val="center"/>
          </w:tcPr>
          <w:p w14:paraId="1DCFED62">
            <w:pPr>
              <w:pStyle w:val="78"/>
            </w:pPr>
            <w:r>
              <w:rPr>
                <w:rFonts w:hint="eastAsia"/>
              </w:rPr>
              <w:t>溢油泵</w:t>
            </w:r>
          </w:p>
        </w:tc>
        <w:tc>
          <w:tcPr>
            <w:tcW w:w="2177" w:type="pct"/>
            <w:vAlign w:val="center"/>
          </w:tcPr>
          <w:p w14:paraId="4CD28285">
            <w:pPr>
              <w:pStyle w:val="78"/>
              <w:rPr>
                <w:rFonts w:eastAsia="黑体" w:cs="Times New Roman"/>
              </w:rPr>
            </w:pPr>
            <w:r>
              <w:rPr>
                <w:rFonts w:eastAsia="黑体" w:cs="Times New Roman"/>
              </w:rPr>
              <w:t>/</w:t>
            </w:r>
          </w:p>
        </w:tc>
        <w:tc>
          <w:tcPr>
            <w:tcW w:w="847" w:type="pct"/>
            <w:vAlign w:val="center"/>
          </w:tcPr>
          <w:p w14:paraId="42E611D1">
            <w:pPr>
              <w:pStyle w:val="78"/>
              <w:rPr>
                <w:rFonts w:eastAsia="黑体" w:cs="Times New Roman"/>
              </w:rPr>
            </w:pPr>
            <w:r>
              <w:rPr>
                <w:rFonts w:eastAsia="黑体" w:cs="Times New Roman"/>
              </w:rPr>
              <w:t>2</w:t>
            </w:r>
          </w:p>
        </w:tc>
      </w:tr>
      <w:tr w14:paraId="10C2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758396E">
            <w:pPr>
              <w:pStyle w:val="78"/>
              <w:rPr>
                <w:rFonts w:eastAsia="黑体" w:cs="Times New Roman"/>
              </w:rPr>
            </w:pPr>
            <w:r>
              <w:rPr>
                <w:rFonts w:eastAsia="黑体" w:cs="Times New Roman"/>
              </w:rPr>
              <w:t>68</w:t>
            </w:r>
          </w:p>
        </w:tc>
        <w:tc>
          <w:tcPr>
            <w:tcW w:w="1549" w:type="pct"/>
            <w:vAlign w:val="center"/>
          </w:tcPr>
          <w:p w14:paraId="2EA000C3">
            <w:pPr>
              <w:pStyle w:val="78"/>
            </w:pPr>
            <w:r>
              <w:rPr>
                <w:rFonts w:hint="eastAsia"/>
              </w:rPr>
              <w:t>杂油泵</w:t>
            </w:r>
          </w:p>
        </w:tc>
        <w:tc>
          <w:tcPr>
            <w:tcW w:w="2177" w:type="pct"/>
            <w:vAlign w:val="center"/>
          </w:tcPr>
          <w:p w14:paraId="4B49FD79">
            <w:pPr>
              <w:pStyle w:val="78"/>
              <w:rPr>
                <w:rFonts w:eastAsia="黑体" w:cs="Times New Roman"/>
              </w:rPr>
            </w:pPr>
            <w:r>
              <w:rPr>
                <w:rFonts w:eastAsia="黑体" w:cs="Times New Roman"/>
              </w:rPr>
              <w:t>/</w:t>
            </w:r>
          </w:p>
        </w:tc>
        <w:tc>
          <w:tcPr>
            <w:tcW w:w="847" w:type="pct"/>
            <w:vAlign w:val="center"/>
          </w:tcPr>
          <w:p w14:paraId="708DF37B">
            <w:pPr>
              <w:pStyle w:val="78"/>
              <w:rPr>
                <w:rFonts w:eastAsia="黑体" w:cs="Times New Roman"/>
              </w:rPr>
            </w:pPr>
            <w:r>
              <w:rPr>
                <w:rFonts w:eastAsia="黑体" w:cs="Times New Roman"/>
              </w:rPr>
              <w:t>2</w:t>
            </w:r>
          </w:p>
        </w:tc>
      </w:tr>
      <w:tr w14:paraId="2AB4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544DFC5">
            <w:pPr>
              <w:pStyle w:val="78"/>
              <w:rPr>
                <w:rFonts w:eastAsia="黑体" w:cs="Times New Roman"/>
              </w:rPr>
            </w:pPr>
            <w:r>
              <w:rPr>
                <w:rFonts w:eastAsia="黑体" w:cs="Times New Roman"/>
              </w:rPr>
              <w:t>69</w:t>
            </w:r>
          </w:p>
        </w:tc>
        <w:tc>
          <w:tcPr>
            <w:tcW w:w="1549" w:type="pct"/>
            <w:vAlign w:val="center"/>
          </w:tcPr>
          <w:p w14:paraId="0E493B12">
            <w:pPr>
              <w:pStyle w:val="78"/>
            </w:pPr>
            <w:r>
              <w:rPr>
                <w:rFonts w:hint="eastAsia"/>
              </w:rPr>
              <w:t>卧螺滤清液泵</w:t>
            </w:r>
          </w:p>
        </w:tc>
        <w:tc>
          <w:tcPr>
            <w:tcW w:w="2177" w:type="pct"/>
            <w:vAlign w:val="center"/>
          </w:tcPr>
          <w:p w14:paraId="2A6BE55A">
            <w:pPr>
              <w:pStyle w:val="78"/>
              <w:rPr>
                <w:rFonts w:eastAsia="黑体" w:cs="Times New Roman"/>
              </w:rPr>
            </w:pPr>
            <w:r>
              <w:rPr>
                <w:rFonts w:eastAsia="黑体" w:cs="Times New Roman"/>
              </w:rPr>
              <w:t>/</w:t>
            </w:r>
          </w:p>
        </w:tc>
        <w:tc>
          <w:tcPr>
            <w:tcW w:w="847" w:type="pct"/>
            <w:vAlign w:val="center"/>
          </w:tcPr>
          <w:p w14:paraId="084A6FF0">
            <w:pPr>
              <w:pStyle w:val="78"/>
              <w:rPr>
                <w:rFonts w:eastAsia="黑体" w:cs="Times New Roman"/>
              </w:rPr>
            </w:pPr>
            <w:r>
              <w:rPr>
                <w:rFonts w:eastAsia="黑体" w:cs="Times New Roman"/>
              </w:rPr>
              <w:t>2</w:t>
            </w:r>
          </w:p>
        </w:tc>
      </w:tr>
      <w:tr w14:paraId="1B24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9FBD0E1">
            <w:pPr>
              <w:pStyle w:val="78"/>
              <w:rPr>
                <w:rFonts w:eastAsia="黑体" w:cs="Times New Roman"/>
              </w:rPr>
            </w:pPr>
            <w:r>
              <w:rPr>
                <w:rFonts w:eastAsia="黑体" w:cs="Times New Roman"/>
              </w:rPr>
              <w:t>70</w:t>
            </w:r>
          </w:p>
        </w:tc>
        <w:tc>
          <w:tcPr>
            <w:tcW w:w="1549" w:type="pct"/>
            <w:vAlign w:val="center"/>
          </w:tcPr>
          <w:p w14:paraId="4C893967">
            <w:pPr>
              <w:pStyle w:val="78"/>
            </w:pPr>
            <w:r>
              <w:rPr>
                <w:rFonts w:hint="eastAsia"/>
              </w:rPr>
              <w:t>汽柴油分离塔底泵</w:t>
            </w:r>
          </w:p>
        </w:tc>
        <w:tc>
          <w:tcPr>
            <w:tcW w:w="2177" w:type="pct"/>
            <w:vAlign w:val="center"/>
          </w:tcPr>
          <w:p w14:paraId="476C1363">
            <w:pPr>
              <w:pStyle w:val="78"/>
              <w:rPr>
                <w:rFonts w:eastAsia="黑体" w:cs="Times New Roman"/>
              </w:rPr>
            </w:pPr>
            <w:r>
              <w:rPr>
                <w:rFonts w:eastAsia="黑体" w:cs="Times New Roman"/>
              </w:rPr>
              <w:t>/</w:t>
            </w:r>
          </w:p>
        </w:tc>
        <w:tc>
          <w:tcPr>
            <w:tcW w:w="847" w:type="pct"/>
            <w:vAlign w:val="center"/>
          </w:tcPr>
          <w:p w14:paraId="1830972E">
            <w:pPr>
              <w:pStyle w:val="78"/>
              <w:rPr>
                <w:rFonts w:eastAsia="黑体" w:cs="Times New Roman"/>
              </w:rPr>
            </w:pPr>
            <w:r>
              <w:rPr>
                <w:rFonts w:eastAsia="黑体" w:cs="Times New Roman"/>
              </w:rPr>
              <w:t>2</w:t>
            </w:r>
          </w:p>
        </w:tc>
      </w:tr>
      <w:tr w14:paraId="6B86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4631C11">
            <w:pPr>
              <w:pStyle w:val="78"/>
              <w:rPr>
                <w:rFonts w:eastAsia="黑体" w:cs="Times New Roman"/>
              </w:rPr>
            </w:pPr>
            <w:r>
              <w:rPr>
                <w:rFonts w:eastAsia="黑体" w:cs="Times New Roman"/>
              </w:rPr>
              <w:t>71</w:t>
            </w:r>
          </w:p>
        </w:tc>
        <w:tc>
          <w:tcPr>
            <w:tcW w:w="1549" w:type="pct"/>
            <w:vAlign w:val="center"/>
          </w:tcPr>
          <w:p w14:paraId="4938AEA3">
            <w:pPr>
              <w:pStyle w:val="78"/>
            </w:pPr>
            <w:r>
              <w:rPr>
                <w:rFonts w:hint="eastAsia"/>
              </w:rPr>
              <w:t>汽柴油分离塔塔顶回流泵</w:t>
            </w:r>
          </w:p>
        </w:tc>
        <w:tc>
          <w:tcPr>
            <w:tcW w:w="2177" w:type="pct"/>
            <w:vAlign w:val="center"/>
          </w:tcPr>
          <w:p w14:paraId="1E9083BA">
            <w:pPr>
              <w:pStyle w:val="78"/>
              <w:rPr>
                <w:rFonts w:eastAsia="黑体" w:cs="Times New Roman"/>
              </w:rPr>
            </w:pPr>
            <w:r>
              <w:rPr>
                <w:rFonts w:eastAsia="黑体" w:cs="Times New Roman"/>
              </w:rPr>
              <w:t>/</w:t>
            </w:r>
          </w:p>
        </w:tc>
        <w:tc>
          <w:tcPr>
            <w:tcW w:w="847" w:type="pct"/>
            <w:vAlign w:val="center"/>
          </w:tcPr>
          <w:p w14:paraId="291A2840">
            <w:pPr>
              <w:pStyle w:val="78"/>
              <w:rPr>
                <w:rFonts w:eastAsia="黑体" w:cs="Times New Roman"/>
              </w:rPr>
            </w:pPr>
            <w:r>
              <w:rPr>
                <w:rFonts w:eastAsia="黑体" w:cs="Times New Roman"/>
              </w:rPr>
              <w:t>2</w:t>
            </w:r>
          </w:p>
        </w:tc>
      </w:tr>
      <w:tr w14:paraId="5321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0C47EEC">
            <w:pPr>
              <w:pStyle w:val="78"/>
              <w:rPr>
                <w:rFonts w:eastAsia="黑体" w:cs="Times New Roman"/>
              </w:rPr>
            </w:pPr>
            <w:r>
              <w:rPr>
                <w:rFonts w:eastAsia="黑体" w:cs="Times New Roman"/>
              </w:rPr>
              <w:t>72</w:t>
            </w:r>
          </w:p>
        </w:tc>
        <w:tc>
          <w:tcPr>
            <w:tcW w:w="1549" w:type="pct"/>
            <w:vAlign w:val="center"/>
          </w:tcPr>
          <w:p w14:paraId="7D45E90A">
            <w:pPr>
              <w:pStyle w:val="78"/>
            </w:pPr>
            <w:r>
              <w:rPr>
                <w:rFonts w:hint="eastAsia"/>
              </w:rPr>
              <w:t>燃烧油泵</w:t>
            </w:r>
          </w:p>
        </w:tc>
        <w:tc>
          <w:tcPr>
            <w:tcW w:w="2177" w:type="pct"/>
            <w:vAlign w:val="center"/>
          </w:tcPr>
          <w:p w14:paraId="7E0A2582">
            <w:pPr>
              <w:pStyle w:val="78"/>
              <w:rPr>
                <w:rFonts w:eastAsia="黑体" w:cs="Times New Roman"/>
              </w:rPr>
            </w:pPr>
            <w:r>
              <w:rPr>
                <w:rFonts w:eastAsia="黑体" w:cs="Times New Roman"/>
              </w:rPr>
              <w:t>/</w:t>
            </w:r>
          </w:p>
        </w:tc>
        <w:tc>
          <w:tcPr>
            <w:tcW w:w="847" w:type="pct"/>
            <w:vAlign w:val="center"/>
          </w:tcPr>
          <w:p w14:paraId="664DD640">
            <w:pPr>
              <w:pStyle w:val="78"/>
              <w:rPr>
                <w:rFonts w:eastAsia="黑体" w:cs="Times New Roman"/>
              </w:rPr>
            </w:pPr>
            <w:r>
              <w:rPr>
                <w:rFonts w:eastAsia="黑体" w:cs="Times New Roman"/>
              </w:rPr>
              <w:t>2</w:t>
            </w:r>
          </w:p>
        </w:tc>
      </w:tr>
      <w:tr w14:paraId="6F16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B3AD57A">
            <w:pPr>
              <w:pStyle w:val="78"/>
              <w:rPr>
                <w:rFonts w:eastAsia="黑体" w:cs="Times New Roman"/>
              </w:rPr>
            </w:pPr>
            <w:r>
              <w:rPr>
                <w:rFonts w:eastAsia="黑体" w:cs="Times New Roman"/>
              </w:rPr>
              <w:t>73</w:t>
            </w:r>
          </w:p>
        </w:tc>
        <w:tc>
          <w:tcPr>
            <w:tcW w:w="1549" w:type="pct"/>
            <w:vAlign w:val="center"/>
          </w:tcPr>
          <w:p w14:paraId="5B1C779E">
            <w:pPr>
              <w:pStyle w:val="78"/>
            </w:pPr>
            <w:r>
              <w:rPr>
                <w:rFonts w:hint="eastAsia"/>
              </w:rPr>
              <w:t>柴油装车泵</w:t>
            </w:r>
          </w:p>
        </w:tc>
        <w:tc>
          <w:tcPr>
            <w:tcW w:w="2177" w:type="pct"/>
            <w:vAlign w:val="center"/>
          </w:tcPr>
          <w:p w14:paraId="6E25E17B">
            <w:pPr>
              <w:pStyle w:val="78"/>
              <w:rPr>
                <w:rFonts w:eastAsia="黑体" w:cs="Times New Roman"/>
              </w:rPr>
            </w:pPr>
            <w:r>
              <w:rPr>
                <w:rFonts w:eastAsia="黑体" w:cs="Times New Roman"/>
              </w:rPr>
              <w:t>/</w:t>
            </w:r>
          </w:p>
        </w:tc>
        <w:tc>
          <w:tcPr>
            <w:tcW w:w="847" w:type="pct"/>
            <w:vAlign w:val="center"/>
          </w:tcPr>
          <w:p w14:paraId="3E4819E7">
            <w:pPr>
              <w:pStyle w:val="78"/>
              <w:rPr>
                <w:rFonts w:eastAsia="黑体" w:cs="Times New Roman"/>
              </w:rPr>
            </w:pPr>
            <w:r>
              <w:rPr>
                <w:rFonts w:eastAsia="黑体" w:cs="Times New Roman"/>
              </w:rPr>
              <w:t>1</w:t>
            </w:r>
          </w:p>
        </w:tc>
      </w:tr>
      <w:tr w14:paraId="0101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0423337">
            <w:pPr>
              <w:pStyle w:val="78"/>
              <w:rPr>
                <w:rFonts w:eastAsia="黑体" w:cs="Times New Roman"/>
              </w:rPr>
            </w:pPr>
            <w:r>
              <w:rPr>
                <w:rFonts w:eastAsia="黑体" w:cs="Times New Roman"/>
              </w:rPr>
              <w:t>74</w:t>
            </w:r>
          </w:p>
        </w:tc>
        <w:tc>
          <w:tcPr>
            <w:tcW w:w="1549" w:type="pct"/>
            <w:vAlign w:val="center"/>
          </w:tcPr>
          <w:p w14:paraId="16B3A86A">
            <w:pPr>
              <w:pStyle w:val="78"/>
            </w:pPr>
            <w:r>
              <w:rPr>
                <w:rFonts w:hint="eastAsia"/>
              </w:rPr>
              <w:t>气压机入口凝液泵</w:t>
            </w:r>
          </w:p>
        </w:tc>
        <w:tc>
          <w:tcPr>
            <w:tcW w:w="2177" w:type="pct"/>
            <w:vAlign w:val="center"/>
          </w:tcPr>
          <w:p w14:paraId="05509F69">
            <w:pPr>
              <w:pStyle w:val="78"/>
              <w:rPr>
                <w:rFonts w:eastAsia="黑体" w:cs="Times New Roman"/>
              </w:rPr>
            </w:pPr>
            <w:r>
              <w:rPr>
                <w:rFonts w:eastAsia="黑体" w:cs="Times New Roman"/>
              </w:rPr>
              <w:t>/</w:t>
            </w:r>
          </w:p>
        </w:tc>
        <w:tc>
          <w:tcPr>
            <w:tcW w:w="847" w:type="pct"/>
            <w:vAlign w:val="center"/>
          </w:tcPr>
          <w:p w14:paraId="01003BC4">
            <w:pPr>
              <w:pStyle w:val="78"/>
              <w:rPr>
                <w:rFonts w:eastAsia="黑体" w:cs="Times New Roman"/>
              </w:rPr>
            </w:pPr>
            <w:r>
              <w:rPr>
                <w:rFonts w:eastAsia="黑体" w:cs="Times New Roman"/>
              </w:rPr>
              <w:t>2</w:t>
            </w:r>
          </w:p>
        </w:tc>
      </w:tr>
      <w:tr w14:paraId="1247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18B2561">
            <w:pPr>
              <w:pStyle w:val="78"/>
              <w:rPr>
                <w:rFonts w:eastAsia="黑体" w:cs="Times New Roman"/>
              </w:rPr>
            </w:pPr>
            <w:r>
              <w:rPr>
                <w:rFonts w:eastAsia="黑体" w:cs="Times New Roman"/>
              </w:rPr>
              <w:t>75</w:t>
            </w:r>
          </w:p>
        </w:tc>
        <w:tc>
          <w:tcPr>
            <w:tcW w:w="1549" w:type="pct"/>
            <w:vAlign w:val="center"/>
          </w:tcPr>
          <w:p w14:paraId="4225B4F1">
            <w:pPr>
              <w:pStyle w:val="78"/>
            </w:pPr>
            <w:r>
              <w:rPr>
                <w:rFonts w:hint="eastAsia"/>
              </w:rPr>
              <w:t>气压机级间凝液泵</w:t>
            </w:r>
            <w:r>
              <w:rPr>
                <w:rFonts w:cs="Times New Roman"/>
              </w:rPr>
              <w:t>I</w:t>
            </w:r>
          </w:p>
        </w:tc>
        <w:tc>
          <w:tcPr>
            <w:tcW w:w="2177" w:type="pct"/>
            <w:vAlign w:val="center"/>
          </w:tcPr>
          <w:p w14:paraId="3B9B63AC">
            <w:pPr>
              <w:pStyle w:val="78"/>
              <w:rPr>
                <w:rFonts w:eastAsia="黑体" w:cs="Times New Roman"/>
              </w:rPr>
            </w:pPr>
            <w:r>
              <w:rPr>
                <w:rFonts w:eastAsia="黑体" w:cs="Times New Roman"/>
              </w:rPr>
              <w:t>/</w:t>
            </w:r>
          </w:p>
        </w:tc>
        <w:tc>
          <w:tcPr>
            <w:tcW w:w="847" w:type="pct"/>
            <w:vAlign w:val="center"/>
          </w:tcPr>
          <w:p w14:paraId="534B7EAC">
            <w:pPr>
              <w:pStyle w:val="78"/>
              <w:rPr>
                <w:rFonts w:eastAsia="黑体" w:cs="Times New Roman"/>
              </w:rPr>
            </w:pPr>
            <w:r>
              <w:rPr>
                <w:rFonts w:eastAsia="黑体" w:cs="Times New Roman"/>
              </w:rPr>
              <w:t>2</w:t>
            </w:r>
          </w:p>
        </w:tc>
      </w:tr>
      <w:tr w14:paraId="4D9C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8558E03">
            <w:pPr>
              <w:pStyle w:val="78"/>
              <w:rPr>
                <w:rFonts w:eastAsia="黑体" w:cs="Times New Roman"/>
              </w:rPr>
            </w:pPr>
            <w:r>
              <w:rPr>
                <w:rFonts w:eastAsia="黑体" w:cs="Times New Roman"/>
              </w:rPr>
              <w:t>76</w:t>
            </w:r>
          </w:p>
        </w:tc>
        <w:tc>
          <w:tcPr>
            <w:tcW w:w="1549" w:type="pct"/>
            <w:vAlign w:val="center"/>
          </w:tcPr>
          <w:p w14:paraId="6535F582">
            <w:pPr>
              <w:pStyle w:val="78"/>
            </w:pPr>
            <w:r>
              <w:rPr>
                <w:rFonts w:hint="eastAsia"/>
              </w:rPr>
              <w:t>气压机级间凝液泵</w:t>
            </w:r>
            <w:r>
              <w:rPr>
                <w:rFonts w:cs="Times New Roman"/>
              </w:rPr>
              <w:t>II</w:t>
            </w:r>
          </w:p>
        </w:tc>
        <w:tc>
          <w:tcPr>
            <w:tcW w:w="2177" w:type="pct"/>
            <w:vAlign w:val="center"/>
          </w:tcPr>
          <w:p w14:paraId="6218760F">
            <w:pPr>
              <w:pStyle w:val="78"/>
              <w:rPr>
                <w:rFonts w:eastAsia="黑体" w:cs="Times New Roman"/>
              </w:rPr>
            </w:pPr>
            <w:r>
              <w:rPr>
                <w:rFonts w:eastAsia="黑体" w:cs="Times New Roman"/>
              </w:rPr>
              <w:t>/</w:t>
            </w:r>
          </w:p>
        </w:tc>
        <w:tc>
          <w:tcPr>
            <w:tcW w:w="847" w:type="pct"/>
            <w:vAlign w:val="center"/>
          </w:tcPr>
          <w:p w14:paraId="5F7604A0">
            <w:pPr>
              <w:pStyle w:val="78"/>
              <w:rPr>
                <w:rFonts w:eastAsia="黑体" w:cs="Times New Roman"/>
              </w:rPr>
            </w:pPr>
            <w:r>
              <w:rPr>
                <w:rFonts w:eastAsia="黑体" w:cs="Times New Roman"/>
              </w:rPr>
              <w:t>2</w:t>
            </w:r>
          </w:p>
        </w:tc>
      </w:tr>
      <w:tr w14:paraId="5F4E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030F885">
            <w:pPr>
              <w:pStyle w:val="78"/>
              <w:rPr>
                <w:rFonts w:eastAsia="黑体" w:cs="Times New Roman"/>
              </w:rPr>
            </w:pPr>
            <w:r>
              <w:rPr>
                <w:rFonts w:eastAsia="黑体" w:cs="Times New Roman"/>
              </w:rPr>
              <w:t>77</w:t>
            </w:r>
          </w:p>
        </w:tc>
        <w:tc>
          <w:tcPr>
            <w:tcW w:w="1549" w:type="pct"/>
            <w:vAlign w:val="center"/>
          </w:tcPr>
          <w:p w14:paraId="71BAA423">
            <w:pPr>
              <w:pStyle w:val="78"/>
            </w:pPr>
            <w:r>
              <w:rPr>
                <w:rFonts w:hint="eastAsia"/>
              </w:rPr>
              <w:t>气压机出口凝液泵</w:t>
            </w:r>
          </w:p>
        </w:tc>
        <w:tc>
          <w:tcPr>
            <w:tcW w:w="2177" w:type="pct"/>
            <w:vAlign w:val="center"/>
          </w:tcPr>
          <w:p w14:paraId="2037B7CC">
            <w:pPr>
              <w:pStyle w:val="78"/>
              <w:rPr>
                <w:rFonts w:eastAsia="黑体" w:cs="Times New Roman"/>
              </w:rPr>
            </w:pPr>
            <w:r>
              <w:rPr>
                <w:rFonts w:eastAsia="黑体" w:cs="Times New Roman"/>
              </w:rPr>
              <w:t>/</w:t>
            </w:r>
          </w:p>
        </w:tc>
        <w:tc>
          <w:tcPr>
            <w:tcW w:w="847" w:type="pct"/>
            <w:vAlign w:val="center"/>
          </w:tcPr>
          <w:p w14:paraId="1492D053">
            <w:pPr>
              <w:pStyle w:val="78"/>
              <w:rPr>
                <w:rFonts w:eastAsia="黑体" w:cs="Times New Roman"/>
              </w:rPr>
            </w:pPr>
            <w:r>
              <w:rPr>
                <w:rFonts w:eastAsia="黑体" w:cs="Times New Roman"/>
              </w:rPr>
              <w:t>2</w:t>
            </w:r>
          </w:p>
        </w:tc>
      </w:tr>
      <w:tr w14:paraId="7795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8E95DAF">
            <w:pPr>
              <w:pStyle w:val="78"/>
              <w:rPr>
                <w:rFonts w:eastAsia="黑体" w:cs="Times New Roman"/>
              </w:rPr>
            </w:pPr>
            <w:r>
              <w:rPr>
                <w:rFonts w:eastAsia="黑体" w:cs="Times New Roman"/>
              </w:rPr>
              <w:t>78</w:t>
            </w:r>
          </w:p>
        </w:tc>
        <w:tc>
          <w:tcPr>
            <w:tcW w:w="1549" w:type="pct"/>
            <w:vAlign w:val="center"/>
          </w:tcPr>
          <w:p w14:paraId="5BBBF91C">
            <w:pPr>
              <w:pStyle w:val="78"/>
            </w:pPr>
            <w:r>
              <w:rPr>
                <w:rFonts w:hint="eastAsia"/>
              </w:rPr>
              <w:t>吸收塔底油泵</w:t>
            </w:r>
          </w:p>
        </w:tc>
        <w:tc>
          <w:tcPr>
            <w:tcW w:w="2177" w:type="pct"/>
            <w:vAlign w:val="center"/>
          </w:tcPr>
          <w:p w14:paraId="55508EA6">
            <w:pPr>
              <w:pStyle w:val="78"/>
              <w:rPr>
                <w:rFonts w:eastAsia="黑体" w:cs="Times New Roman"/>
              </w:rPr>
            </w:pPr>
            <w:r>
              <w:rPr>
                <w:rFonts w:eastAsia="黑体" w:cs="Times New Roman"/>
              </w:rPr>
              <w:t>/</w:t>
            </w:r>
          </w:p>
        </w:tc>
        <w:tc>
          <w:tcPr>
            <w:tcW w:w="847" w:type="pct"/>
            <w:vAlign w:val="center"/>
          </w:tcPr>
          <w:p w14:paraId="0E7D4A3A">
            <w:pPr>
              <w:pStyle w:val="78"/>
              <w:rPr>
                <w:rFonts w:eastAsia="黑体" w:cs="Times New Roman"/>
              </w:rPr>
            </w:pPr>
            <w:r>
              <w:rPr>
                <w:rFonts w:eastAsia="黑体" w:cs="Times New Roman"/>
              </w:rPr>
              <w:t>2</w:t>
            </w:r>
          </w:p>
        </w:tc>
      </w:tr>
      <w:tr w14:paraId="1198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7441D90">
            <w:pPr>
              <w:pStyle w:val="78"/>
              <w:rPr>
                <w:rFonts w:eastAsia="黑体" w:cs="Times New Roman"/>
              </w:rPr>
            </w:pPr>
            <w:r>
              <w:rPr>
                <w:rFonts w:eastAsia="黑体" w:cs="Times New Roman"/>
              </w:rPr>
              <w:t>79</w:t>
            </w:r>
          </w:p>
        </w:tc>
        <w:tc>
          <w:tcPr>
            <w:tcW w:w="1549" w:type="pct"/>
            <w:vAlign w:val="center"/>
          </w:tcPr>
          <w:p w14:paraId="4B2EF474">
            <w:pPr>
              <w:pStyle w:val="78"/>
            </w:pPr>
            <w:r>
              <w:rPr>
                <w:rFonts w:hint="eastAsia"/>
              </w:rPr>
              <w:t>塑料裂解气凝液泵</w:t>
            </w:r>
          </w:p>
        </w:tc>
        <w:tc>
          <w:tcPr>
            <w:tcW w:w="2177" w:type="pct"/>
            <w:vAlign w:val="center"/>
          </w:tcPr>
          <w:p w14:paraId="6364E97E">
            <w:pPr>
              <w:pStyle w:val="78"/>
              <w:rPr>
                <w:rFonts w:eastAsia="黑体" w:cs="Times New Roman"/>
              </w:rPr>
            </w:pPr>
            <w:r>
              <w:rPr>
                <w:rFonts w:eastAsia="黑体" w:cs="Times New Roman"/>
              </w:rPr>
              <w:t>/</w:t>
            </w:r>
          </w:p>
        </w:tc>
        <w:tc>
          <w:tcPr>
            <w:tcW w:w="847" w:type="pct"/>
            <w:vAlign w:val="center"/>
          </w:tcPr>
          <w:p w14:paraId="315E816F">
            <w:pPr>
              <w:pStyle w:val="78"/>
              <w:rPr>
                <w:rFonts w:eastAsia="黑体" w:cs="Times New Roman"/>
              </w:rPr>
            </w:pPr>
            <w:r>
              <w:rPr>
                <w:rFonts w:eastAsia="黑体" w:cs="Times New Roman"/>
              </w:rPr>
              <w:t>2</w:t>
            </w:r>
          </w:p>
        </w:tc>
      </w:tr>
      <w:tr w14:paraId="0F9B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8DE7D42">
            <w:pPr>
              <w:pStyle w:val="78"/>
              <w:rPr>
                <w:rFonts w:eastAsia="黑体" w:cs="Times New Roman"/>
              </w:rPr>
            </w:pPr>
            <w:r>
              <w:rPr>
                <w:rFonts w:eastAsia="黑体" w:cs="Times New Roman"/>
              </w:rPr>
              <w:t>80</w:t>
            </w:r>
          </w:p>
        </w:tc>
        <w:tc>
          <w:tcPr>
            <w:tcW w:w="1549" w:type="pct"/>
            <w:vAlign w:val="center"/>
          </w:tcPr>
          <w:p w14:paraId="2A77FF7B">
            <w:pPr>
              <w:pStyle w:val="78"/>
            </w:pPr>
            <w:r>
              <w:rPr>
                <w:rFonts w:hint="eastAsia"/>
              </w:rPr>
              <w:t>吸收塔一中段油泵</w:t>
            </w:r>
          </w:p>
        </w:tc>
        <w:tc>
          <w:tcPr>
            <w:tcW w:w="2177" w:type="pct"/>
            <w:vAlign w:val="center"/>
          </w:tcPr>
          <w:p w14:paraId="5890D57E">
            <w:pPr>
              <w:pStyle w:val="78"/>
              <w:rPr>
                <w:rFonts w:eastAsia="黑体" w:cs="Times New Roman"/>
              </w:rPr>
            </w:pPr>
            <w:r>
              <w:rPr>
                <w:rFonts w:eastAsia="黑体" w:cs="Times New Roman"/>
              </w:rPr>
              <w:t>/</w:t>
            </w:r>
          </w:p>
        </w:tc>
        <w:tc>
          <w:tcPr>
            <w:tcW w:w="847" w:type="pct"/>
            <w:vAlign w:val="center"/>
          </w:tcPr>
          <w:p w14:paraId="475B2B60">
            <w:pPr>
              <w:pStyle w:val="78"/>
              <w:rPr>
                <w:rFonts w:eastAsia="黑体" w:cs="Times New Roman"/>
              </w:rPr>
            </w:pPr>
            <w:r>
              <w:rPr>
                <w:rFonts w:eastAsia="黑体" w:cs="Times New Roman"/>
              </w:rPr>
              <w:t>2</w:t>
            </w:r>
          </w:p>
        </w:tc>
      </w:tr>
      <w:tr w14:paraId="5B81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6D0699A">
            <w:pPr>
              <w:pStyle w:val="78"/>
              <w:rPr>
                <w:rFonts w:eastAsia="黑体" w:cs="Times New Roman"/>
              </w:rPr>
            </w:pPr>
            <w:r>
              <w:rPr>
                <w:rFonts w:eastAsia="黑体" w:cs="Times New Roman"/>
              </w:rPr>
              <w:t>81</w:t>
            </w:r>
          </w:p>
        </w:tc>
        <w:tc>
          <w:tcPr>
            <w:tcW w:w="1549" w:type="pct"/>
            <w:vAlign w:val="center"/>
          </w:tcPr>
          <w:p w14:paraId="64702A9C">
            <w:pPr>
              <w:pStyle w:val="78"/>
            </w:pPr>
            <w:r>
              <w:rPr>
                <w:rFonts w:hint="eastAsia"/>
              </w:rPr>
              <w:t>吸收塔二中段油泵</w:t>
            </w:r>
          </w:p>
        </w:tc>
        <w:tc>
          <w:tcPr>
            <w:tcW w:w="2177" w:type="pct"/>
            <w:vAlign w:val="center"/>
          </w:tcPr>
          <w:p w14:paraId="3E1F9191">
            <w:pPr>
              <w:pStyle w:val="78"/>
              <w:rPr>
                <w:rFonts w:eastAsia="黑体" w:cs="Times New Roman"/>
              </w:rPr>
            </w:pPr>
            <w:r>
              <w:rPr>
                <w:rFonts w:eastAsia="黑体" w:cs="Times New Roman"/>
              </w:rPr>
              <w:t>/</w:t>
            </w:r>
          </w:p>
        </w:tc>
        <w:tc>
          <w:tcPr>
            <w:tcW w:w="847" w:type="pct"/>
            <w:vAlign w:val="center"/>
          </w:tcPr>
          <w:p w14:paraId="5C203AEB">
            <w:pPr>
              <w:pStyle w:val="78"/>
              <w:rPr>
                <w:rFonts w:eastAsia="黑体" w:cs="Times New Roman"/>
              </w:rPr>
            </w:pPr>
            <w:r>
              <w:rPr>
                <w:rFonts w:eastAsia="黑体" w:cs="Times New Roman"/>
              </w:rPr>
              <w:t>1</w:t>
            </w:r>
          </w:p>
        </w:tc>
      </w:tr>
      <w:tr w14:paraId="4AA6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8CE0B24">
            <w:pPr>
              <w:pStyle w:val="78"/>
              <w:rPr>
                <w:rFonts w:eastAsia="黑体" w:cs="Times New Roman"/>
              </w:rPr>
            </w:pPr>
            <w:r>
              <w:rPr>
                <w:rFonts w:eastAsia="黑体" w:cs="Times New Roman"/>
              </w:rPr>
              <w:t>82</w:t>
            </w:r>
          </w:p>
        </w:tc>
        <w:tc>
          <w:tcPr>
            <w:tcW w:w="1549" w:type="pct"/>
            <w:vAlign w:val="center"/>
          </w:tcPr>
          <w:p w14:paraId="638E1155">
            <w:pPr>
              <w:pStyle w:val="78"/>
            </w:pPr>
            <w:r>
              <w:rPr>
                <w:rFonts w:hint="eastAsia"/>
              </w:rPr>
              <w:t>吸收塔三中段油泵</w:t>
            </w:r>
          </w:p>
        </w:tc>
        <w:tc>
          <w:tcPr>
            <w:tcW w:w="2177" w:type="pct"/>
            <w:vAlign w:val="center"/>
          </w:tcPr>
          <w:p w14:paraId="5C3BDEFE">
            <w:pPr>
              <w:pStyle w:val="78"/>
              <w:rPr>
                <w:rFonts w:eastAsia="黑体" w:cs="Times New Roman"/>
              </w:rPr>
            </w:pPr>
            <w:r>
              <w:rPr>
                <w:rFonts w:eastAsia="黑体" w:cs="Times New Roman"/>
              </w:rPr>
              <w:t>/</w:t>
            </w:r>
          </w:p>
        </w:tc>
        <w:tc>
          <w:tcPr>
            <w:tcW w:w="847" w:type="pct"/>
            <w:vAlign w:val="center"/>
          </w:tcPr>
          <w:p w14:paraId="7FE68C70">
            <w:pPr>
              <w:pStyle w:val="78"/>
              <w:rPr>
                <w:rFonts w:eastAsia="黑体" w:cs="Times New Roman"/>
              </w:rPr>
            </w:pPr>
            <w:r>
              <w:rPr>
                <w:rFonts w:eastAsia="黑体" w:cs="Times New Roman"/>
              </w:rPr>
              <w:t>2</w:t>
            </w:r>
          </w:p>
        </w:tc>
      </w:tr>
      <w:tr w14:paraId="712A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569D813">
            <w:pPr>
              <w:pStyle w:val="78"/>
              <w:rPr>
                <w:rFonts w:eastAsia="黑体" w:cs="Times New Roman"/>
              </w:rPr>
            </w:pPr>
            <w:r>
              <w:rPr>
                <w:rFonts w:eastAsia="黑体" w:cs="Times New Roman"/>
              </w:rPr>
              <w:t>83</w:t>
            </w:r>
          </w:p>
        </w:tc>
        <w:tc>
          <w:tcPr>
            <w:tcW w:w="1549" w:type="pct"/>
            <w:vAlign w:val="center"/>
          </w:tcPr>
          <w:p w14:paraId="78933A19">
            <w:pPr>
              <w:pStyle w:val="78"/>
            </w:pPr>
            <w:r>
              <w:rPr>
                <w:rFonts w:hint="eastAsia"/>
              </w:rPr>
              <w:t>吸收塔四中段油泵</w:t>
            </w:r>
          </w:p>
        </w:tc>
        <w:tc>
          <w:tcPr>
            <w:tcW w:w="2177" w:type="pct"/>
            <w:vAlign w:val="center"/>
          </w:tcPr>
          <w:p w14:paraId="4328D22F">
            <w:pPr>
              <w:pStyle w:val="78"/>
              <w:rPr>
                <w:rFonts w:eastAsia="黑体" w:cs="Times New Roman"/>
              </w:rPr>
            </w:pPr>
            <w:r>
              <w:rPr>
                <w:rFonts w:eastAsia="黑体" w:cs="Times New Roman"/>
              </w:rPr>
              <w:t>/</w:t>
            </w:r>
          </w:p>
        </w:tc>
        <w:tc>
          <w:tcPr>
            <w:tcW w:w="847" w:type="pct"/>
            <w:vAlign w:val="center"/>
          </w:tcPr>
          <w:p w14:paraId="10142DB8">
            <w:pPr>
              <w:pStyle w:val="78"/>
              <w:rPr>
                <w:rFonts w:eastAsia="黑体" w:cs="Times New Roman"/>
              </w:rPr>
            </w:pPr>
            <w:r>
              <w:rPr>
                <w:rFonts w:eastAsia="黑体" w:cs="Times New Roman"/>
              </w:rPr>
              <w:t>1</w:t>
            </w:r>
          </w:p>
        </w:tc>
      </w:tr>
      <w:tr w14:paraId="4D7C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A7F865A">
            <w:pPr>
              <w:pStyle w:val="78"/>
              <w:rPr>
                <w:rFonts w:eastAsia="黑体" w:cs="Times New Roman"/>
              </w:rPr>
            </w:pPr>
            <w:r>
              <w:rPr>
                <w:rFonts w:eastAsia="黑体" w:cs="Times New Roman"/>
              </w:rPr>
              <w:t>84</w:t>
            </w:r>
          </w:p>
        </w:tc>
        <w:tc>
          <w:tcPr>
            <w:tcW w:w="1549" w:type="pct"/>
            <w:vAlign w:val="center"/>
          </w:tcPr>
          <w:p w14:paraId="5951F300">
            <w:pPr>
              <w:pStyle w:val="78"/>
            </w:pPr>
            <w:r>
              <w:rPr>
                <w:rFonts w:hint="eastAsia"/>
              </w:rPr>
              <w:t>解吸塔底油泵</w:t>
            </w:r>
          </w:p>
        </w:tc>
        <w:tc>
          <w:tcPr>
            <w:tcW w:w="2177" w:type="pct"/>
            <w:vAlign w:val="center"/>
          </w:tcPr>
          <w:p w14:paraId="37E42BB4">
            <w:pPr>
              <w:pStyle w:val="78"/>
              <w:rPr>
                <w:rFonts w:eastAsia="黑体" w:cs="Times New Roman"/>
              </w:rPr>
            </w:pPr>
            <w:r>
              <w:rPr>
                <w:rFonts w:eastAsia="黑体" w:cs="Times New Roman"/>
              </w:rPr>
              <w:t>/</w:t>
            </w:r>
          </w:p>
        </w:tc>
        <w:tc>
          <w:tcPr>
            <w:tcW w:w="847" w:type="pct"/>
            <w:vAlign w:val="center"/>
          </w:tcPr>
          <w:p w14:paraId="476D7706">
            <w:pPr>
              <w:pStyle w:val="78"/>
              <w:rPr>
                <w:rFonts w:eastAsia="黑体" w:cs="Times New Roman"/>
              </w:rPr>
            </w:pPr>
            <w:r>
              <w:rPr>
                <w:rFonts w:eastAsia="黑体" w:cs="Times New Roman"/>
              </w:rPr>
              <w:t>2</w:t>
            </w:r>
          </w:p>
        </w:tc>
      </w:tr>
      <w:tr w14:paraId="342D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AB84534">
            <w:pPr>
              <w:pStyle w:val="78"/>
              <w:rPr>
                <w:rFonts w:eastAsia="黑体" w:cs="Times New Roman"/>
              </w:rPr>
            </w:pPr>
            <w:r>
              <w:rPr>
                <w:rFonts w:eastAsia="黑体" w:cs="Times New Roman"/>
              </w:rPr>
              <w:t>85</w:t>
            </w:r>
          </w:p>
        </w:tc>
        <w:tc>
          <w:tcPr>
            <w:tcW w:w="1549" w:type="pct"/>
            <w:vAlign w:val="center"/>
          </w:tcPr>
          <w:p w14:paraId="7A439BBA">
            <w:pPr>
              <w:pStyle w:val="78"/>
            </w:pPr>
            <w:r>
              <w:rPr>
                <w:rFonts w:hint="eastAsia"/>
              </w:rPr>
              <w:t>稳定塔顶回流泵</w:t>
            </w:r>
          </w:p>
        </w:tc>
        <w:tc>
          <w:tcPr>
            <w:tcW w:w="2177" w:type="pct"/>
            <w:vAlign w:val="center"/>
          </w:tcPr>
          <w:p w14:paraId="0EBA257C">
            <w:pPr>
              <w:pStyle w:val="78"/>
              <w:rPr>
                <w:rFonts w:eastAsia="黑体" w:cs="Times New Roman"/>
              </w:rPr>
            </w:pPr>
            <w:r>
              <w:rPr>
                <w:rFonts w:eastAsia="黑体" w:cs="Times New Roman"/>
              </w:rPr>
              <w:t>/</w:t>
            </w:r>
          </w:p>
        </w:tc>
        <w:tc>
          <w:tcPr>
            <w:tcW w:w="847" w:type="pct"/>
            <w:vAlign w:val="center"/>
          </w:tcPr>
          <w:p w14:paraId="163CC3B7">
            <w:pPr>
              <w:pStyle w:val="78"/>
              <w:rPr>
                <w:rFonts w:eastAsia="黑体" w:cs="Times New Roman"/>
              </w:rPr>
            </w:pPr>
            <w:r>
              <w:rPr>
                <w:rFonts w:eastAsia="黑体" w:cs="Times New Roman"/>
              </w:rPr>
              <w:t>2</w:t>
            </w:r>
          </w:p>
        </w:tc>
      </w:tr>
      <w:tr w14:paraId="3C22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EDC6637">
            <w:pPr>
              <w:pStyle w:val="78"/>
              <w:rPr>
                <w:rFonts w:eastAsia="黑体" w:cs="Times New Roman"/>
              </w:rPr>
            </w:pPr>
            <w:r>
              <w:rPr>
                <w:rFonts w:eastAsia="黑体" w:cs="Times New Roman"/>
              </w:rPr>
              <w:t>86</w:t>
            </w:r>
          </w:p>
        </w:tc>
        <w:tc>
          <w:tcPr>
            <w:tcW w:w="1549" w:type="pct"/>
            <w:vAlign w:val="center"/>
          </w:tcPr>
          <w:p w14:paraId="284A26CC">
            <w:pPr>
              <w:pStyle w:val="78"/>
            </w:pPr>
            <w:r>
              <w:rPr>
                <w:rFonts w:hint="eastAsia"/>
              </w:rPr>
              <w:t>稳定塔底泵</w:t>
            </w:r>
          </w:p>
        </w:tc>
        <w:tc>
          <w:tcPr>
            <w:tcW w:w="2177" w:type="pct"/>
            <w:vAlign w:val="center"/>
          </w:tcPr>
          <w:p w14:paraId="3FBF1948">
            <w:pPr>
              <w:pStyle w:val="78"/>
              <w:rPr>
                <w:rFonts w:eastAsia="黑体" w:cs="Times New Roman"/>
              </w:rPr>
            </w:pPr>
            <w:r>
              <w:rPr>
                <w:rFonts w:eastAsia="黑体" w:cs="Times New Roman"/>
              </w:rPr>
              <w:t>/</w:t>
            </w:r>
          </w:p>
        </w:tc>
        <w:tc>
          <w:tcPr>
            <w:tcW w:w="847" w:type="pct"/>
            <w:vAlign w:val="center"/>
          </w:tcPr>
          <w:p w14:paraId="2139A956">
            <w:pPr>
              <w:pStyle w:val="78"/>
              <w:rPr>
                <w:rFonts w:eastAsia="黑体" w:cs="Times New Roman"/>
              </w:rPr>
            </w:pPr>
            <w:r>
              <w:rPr>
                <w:rFonts w:eastAsia="黑体" w:cs="Times New Roman"/>
              </w:rPr>
              <w:t>2</w:t>
            </w:r>
          </w:p>
        </w:tc>
      </w:tr>
      <w:tr w14:paraId="254F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37F9CF2">
            <w:pPr>
              <w:pStyle w:val="78"/>
              <w:rPr>
                <w:rFonts w:eastAsia="黑体" w:cs="Times New Roman"/>
              </w:rPr>
            </w:pPr>
            <w:r>
              <w:rPr>
                <w:rFonts w:eastAsia="黑体" w:cs="Times New Roman"/>
              </w:rPr>
              <w:t>87</w:t>
            </w:r>
          </w:p>
        </w:tc>
        <w:tc>
          <w:tcPr>
            <w:tcW w:w="1549" w:type="pct"/>
            <w:vAlign w:val="center"/>
          </w:tcPr>
          <w:p w14:paraId="51B49634">
            <w:pPr>
              <w:pStyle w:val="78"/>
            </w:pPr>
            <w:r>
              <w:rPr>
                <w:rFonts w:hint="eastAsia"/>
              </w:rPr>
              <w:t>脱碳二塔顶回流泵</w:t>
            </w:r>
          </w:p>
        </w:tc>
        <w:tc>
          <w:tcPr>
            <w:tcW w:w="2177" w:type="pct"/>
            <w:vAlign w:val="center"/>
          </w:tcPr>
          <w:p w14:paraId="17F31BC4">
            <w:pPr>
              <w:pStyle w:val="78"/>
              <w:rPr>
                <w:rFonts w:eastAsia="黑体" w:cs="Times New Roman"/>
              </w:rPr>
            </w:pPr>
            <w:r>
              <w:rPr>
                <w:rFonts w:eastAsia="黑体" w:cs="Times New Roman"/>
              </w:rPr>
              <w:t>/</w:t>
            </w:r>
          </w:p>
        </w:tc>
        <w:tc>
          <w:tcPr>
            <w:tcW w:w="847" w:type="pct"/>
            <w:vAlign w:val="center"/>
          </w:tcPr>
          <w:p w14:paraId="647CDDA1">
            <w:pPr>
              <w:pStyle w:val="78"/>
              <w:rPr>
                <w:rFonts w:eastAsia="黑体" w:cs="Times New Roman"/>
              </w:rPr>
            </w:pPr>
            <w:r>
              <w:rPr>
                <w:rFonts w:eastAsia="黑体" w:cs="Times New Roman"/>
              </w:rPr>
              <w:t>2</w:t>
            </w:r>
          </w:p>
        </w:tc>
      </w:tr>
      <w:tr w14:paraId="40F4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276DE64">
            <w:pPr>
              <w:pStyle w:val="78"/>
              <w:rPr>
                <w:rFonts w:eastAsia="黑体" w:cs="Times New Roman"/>
              </w:rPr>
            </w:pPr>
            <w:r>
              <w:rPr>
                <w:rFonts w:eastAsia="黑体" w:cs="Times New Roman"/>
              </w:rPr>
              <w:t>88</w:t>
            </w:r>
          </w:p>
        </w:tc>
        <w:tc>
          <w:tcPr>
            <w:tcW w:w="1549" w:type="pct"/>
            <w:vAlign w:val="center"/>
          </w:tcPr>
          <w:p w14:paraId="553EA90C">
            <w:pPr>
              <w:pStyle w:val="78"/>
            </w:pPr>
            <w:r>
              <w:rPr>
                <w:rFonts w:hint="eastAsia"/>
              </w:rPr>
              <w:t>污油泵</w:t>
            </w:r>
          </w:p>
        </w:tc>
        <w:tc>
          <w:tcPr>
            <w:tcW w:w="2177" w:type="pct"/>
            <w:vAlign w:val="center"/>
          </w:tcPr>
          <w:p w14:paraId="5FE821FA">
            <w:pPr>
              <w:pStyle w:val="78"/>
              <w:rPr>
                <w:rFonts w:eastAsia="黑体" w:cs="Times New Roman"/>
              </w:rPr>
            </w:pPr>
            <w:r>
              <w:rPr>
                <w:rFonts w:eastAsia="黑体" w:cs="Times New Roman"/>
              </w:rPr>
              <w:t>/</w:t>
            </w:r>
          </w:p>
        </w:tc>
        <w:tc>
          <w:tcPr>
            <w:tcW w:w="847" w:type="pct"/>
            <w:vAlign w:val="center"/>
          </w:tcPr>
          <w:p w14:paraId="676C4DE2">
            <w:pPr>
              <w:pStyle w:val="78"/>
              <w:rPr>
                <w:rFonts w:eastAsia="黑体" w:cs="Times New Roman"/>
              </w:rPr>
            </w:pPr>
            <w:r>
              <w:rPr>
                <w:rFonts w:eastAsia="黑体" w:cs="Times New Roman"/>
              </w:rPr>
              <w:t>1</w:t>
            </w:r>
          </w:p>
        </w:tc>
      </w:tr>
      <w:tr w14:paraId="3A90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81D893E">
            <w:pPr>
              <w:pStyle w:val="78"/>
              <w:rPr>
                <w:rFonts w:eastAsia="黑体" w:cs="Times New Roman"/>
              </w:rPr>
            </w:pPr>
            <w:r>
              <w:rPr>
                <w:rFonts w:eastAsia="黑体" w:cs="Times New Roman"/>
              </w:rPr>
              <w:t>89</w:t>
            </w:r>
          </w:p>
        </w:tc>
        <w:tc>
          <w:tcPr>
            <w:tcW w:w="1549" w:type="pct"/>
            <w:vAlign w:val="center"/>
          </w:tcPr>
          <w:p w14:paraId="7026B882">
            <w:pPr>
              <w:pStyle w:val="78"/>
            </w:pPr>
            <w:r>
              <w:rPr>
                <w:rFonts w:hint="eastAsia"/>
              </w:rPr>
              <w:t>碱液泵</w:t>
            </w:r>
          </w:p>
        </w:tc>
        <w:tc>
          <w:tcPr>
            <w:tcW w:w="2177" w:type="pct"/>
            <w:vAlign w:val="center"/>
          </w:tcPr>
          <w:p w14:paraId="18813AC8">
            <w:pPr>
              <w:pStyle w:val="78"/>
              <w:rPr>
                <w:rFonts w:eastAsia="黑体" w:cs="Times New Roman"/>
              </w:rPr>
            </w:pPr>
            <w:r>
              <w:rPr>
                <w:rFonts w:eastAsia="黑体" w:cs="Times New Roman"/>
              </w:rPr>
              <w:t>/</w:t>
            </w:r>
          </w:p>
        </w:tc>
        <w:tc>
          <w:tcPr>
            <w:tcW w:w="847" w:type="pct"/>
            <w:vAlign w:val="center"/>
          </w:tcPr>
          <w:p w14:paraId="30B8BF55">
            <w:pPr>
              <w:pStyle w:val="78"/>
              <w:rPr>
                <w:rFonts w:eastAsia="黑体" w:cs="Times New Roman"/>
              </w:rPr>
            </w:pPr>
            <w:r>
              <w:rPr>
                <w:rFonts w:eastAsia="黑体" w:cs="Times New Roman"/>
              </w:rPr>
              <w:t>2</w:t>
            </w:r>
          </w:p>
        </w:tc>
      </w:tr>
      <w:tr w14:paraId="194F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5058DD1">
            <w:pPr>
              <w:pStyle w:val="78"/>
              <w:rPr>
                <w:rFonts w:eastAsia="黑体" w:cs="Times New Roman"/>
              </w:rPr>
            </w:pPr>
            <w:r>
              <w:rPr>
                <w:rFonts w:eastAsia="黑体" w:cs="Times New Roman"/>
              </w:rPr>
              <w:t>90</w:t>
            </w:r>
          </w:p>
        </w:tc>
        <w:tc>
          <w:tcPr>
            <w:tcW w:w="1549" w:type="pct"/>
            <w:vAlign w:val="center"/>
          </w:tcPr>
          <w:p w14:paraId="211E8583">
            <w:pPr>
              <w:pStyle w:val="78"/>
            </w:pPr>
            <w:r>
              <w:rPr>
                <w:rFonts w:hint="eastAsia"/>
              </w:rPr>
              <w:t>液碱卸车泵</w:t>
            </w:r>
          </w:p>
        </w:tc>
        <w:tc>
          <w:tcPr>
            <w:tcW w:w="2177" w:type="pct"/>
            <w:vAlign w:val="center"/>
          </w:tcPr>
          <w:p w14:paraId="2AF4AC5C">
            <w:pPr>
              <w:pStyle w:val="78"/>
              <w:rPr>
                <w:rFonts w:eastAsia="黑体" w:cs="Times New Roman"/>
              </w:rPr>
            </w:pPr>
            <w:r>
              <w:rPr>
                <w:rFonts w:eastAsia="黑体" w:cs="Times New Roman"/>
              </w:rPr>
              <w:t>/</w:t>
            </w:r>
          </w:p>
        </w:tc>
        <w:tc>
          <w:tcPr>
            <w:tcW w:w="847" w:type="pct"/>
            <w:vAlign w:val="center"/>
          </w:tcPr>
          <w:p w14:paraId="078520FD">
            <w:pPr>
              <w:pStyle w:val="78"/>
              <w:rPr>
                <w:rFonts w:eastAsia="黑体" w:cs="Times New Roman"/>
              </w:rPr>
            </w:pPr>
            <w:r>
              <w:rPr>
                <w:rFonts w:eastAsia="黑体" w:cs="Times New Roman"/>
              </w:rPr>
              <w:t>1</w:t>
            </w:r>
          </w:p>
        </w:tc>
      </w:tr>
      <w:tr w14:paraId="41E5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FBF12F8">
            <w:pPr>
              <w:pStyle w:val="78"/>
              <w:rPr>
                <w:rFonts w:eastAsia="黑体" w:cs="Times New Roman"/>
              </w:rPr>
            </w:pPr>
            <w:r>
              <w:rPr>
                <w:rFonts w:eastAsia="黑体" w:cs="Times New Roman"/>
              </w:rPr>
              <w:t>91</w:t>
            </w:r>
          </w:p>
        </w:tc>
        <w:tc>
          <w:tcPr>
            <w:tcW w:w="1549" w:type="pct"/>
            <w:vAlign w:val="center"/>
          </w:tcPr>
          <w:p w14:paraId="30476493">
            <w:pPr>
              <w:pStyle w:val="78"/>
            </w:pPr>
            <w:r>
              <w:rPr>
                <w:rFonts w:hint="eastAsia"/>
              </w:rPr>
              <w:t>液环真空泵</w:t>
            </w:r>
          </w:p>
        </w:tc>
        <w:tc>
          <w:tcPr>
            <w:tcW w:w="2177" w:type="pct"/>
            <w:vAlign w:val="center"/>
          </w:tcPr>
          <w:p w14:paraId="3DEA22E2">
            <w:pPr>
              <w:pStyle w:val="78"/>
              <w:rPr>
                <w:rFonts w:eastAsia="黑体" w:cs="Times New Roman"/>
              </w:rPr>
            </w:pPr>
            <w:r>
              <w:rPr>
                <w:rFonts w:eastAsia="黑体" w:cs="Times New Roman"/>
              </w:rPr>
              <w:t>/</w:t>
            </w:r>
          </w:p>
        </w:tc>
        <w:tc>
          <w:tcPr>
            <w:tcW w:w="847" w:type="pct"/>
            <w:vAlign w:val="center"/>
          </w:tcPr>
          <w:p w14:paraId="5A491CE1">
            <w:pPr>
              <w:pStyle w:val="78"/>
              <w:rPr>
                <w:rFonts w:eastAsia="黑体" w:cs="Times New Roman"/>
              </w:rPr>
            </w:pPr>
            <w:r>
              <w:rPr>
                <w:rFonts w:eastAsia="黑体" w:cs="Times New Roman"/>
              </w:rPr>
              <w:t>1</w:t>
            </w:r>
          </w:p>
        </w:tc>
      </w:tr>
      <w:tr w14:paraId="6B94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769F423">
            <w:pPr>
              <w:pStyle w:val="78"/>
              <w:rPr>
                <w:rFonts w:eastAsia="黑体" w:cs="Times New Roman"/>
              </w:rPr>
            </w:pPr>
            <w:r>
              <w:rPr>
                <w:rFonts w:eastAsia="黑体" w:cs="Times New Roman"/>
              </w:rPr>
              <w:t>92</w:t>
            </w:r>
          </w:p>
        </w:tc>
        <w:tc>
          <w:tcPr>
            <w:tcW w:w="1549" w:type="pct"/>
            <w:vAlign w:val="center"/>
          </w:tcPr>
          <w:p w14:paraId="26C79AEA">
            <w:pPr>
              <w:pStyle w:val="78"/>
            </w:pPr>
            <w:r>
              <w:rPr>
                <w:rFonts w:hint="eastAsia"/>
              </w:rPr>
              <w:t>主风机</w:t>
            </w:r>
          </w:p>
        </w:tc>
        <w:tc>
          <w:tcPr>
            <w:tcW w:w="2177" w:type="pct"/>
            <w:vAlign w:val="center"/>
          </w:tcPr>
          <w:p w14:paraId="528EBF53">
            <w:pPr>
              <w:pStyle w:val="78"/>
              <w:rPr>
                <w:rFonts w:eastAsia="黑体" w:cs="Times New Roman"/>
              </w:rPr>
            </w:pPr>
            <w:r>
              <w:rPr>
                <w:rFonts w:eastAsia="黑体" w:cs="Times New Roman"/>
              </w:rPr>
              <w:t>800m</w:t>
            </w:r>
            <w:r>
              <w:rPr>
                <w:rFonts w:eastAsia="黑体" w:cs="Times New Roman"/>
                <w:vertAlign w:val="superscript"/>
              </w:rPr>
              <w:t>3</w:t>
            </w:r>
            <w:r>
              <w:rPr>
                <w:rFonts w:eastAsia="黑体" w:cs="Times New Roman"/>
              </w:rPr>
              <w:t>n/min</w:t>
            </w:r>
            <w:r>
              <w:rPr>
                <w:rFonts w:hint="eastAsia" w:cs="Times New Roman"/>
              </w:rPr>
              <w:t>（干基）</w:t>
            </w:r>
          </w:p>
        </w:tc>
        <w:tc>
          <w:tcPr>
            <w:tcW w:w="847" w:type="pct"/>
            <w:vAlign w:val="center"/>
          </w:tcPr>
          <w:p w14:paraId="494EB575">
            <w:pPr>
              <w:pStyle w:val="78"/>
              <w:rPr>
                <w:rFonts w:eastAsia="黑体" w:cs="Times New Roman"/>
              </w:rPr>
            </w:pPr>
            <w:r>
              <w:rPr>
                <w:rFonts w:eastAsia="黑体" w:cs="Times New Roman"/>
              </w:rPr>
              <w:t>1</w:t>
            </w:r>
          </w:p>
        </w:tc>
      </w:tr>
      <w:tr w14:paraId="63C7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EE8A3F3">
            <w:pPr>
              <w:pStyle w:val="78"/>
              <w:rPr>
                <w:rFonts w:eastAsia="黑体" w:cs="Times New Roman"/>
              </w:rPr>
            </w:pPr>
            <w:r>
              <w:rPr>
                <w:rFonts w:eastAsia="黑体" w:cs="Times New Roman"/>
              </w:rPr>
              <w:t>93</w:t>
            </w:r>
          </w:p>
        </w:tc>
        <w:tc>
          <w:tcPr>
            <w:tcW w:w="1549" w:type="pct"/>
            <w:vAlign w:val="center"/>
          </w:tcPr>
          <w:p w14:paraId="2DE673A0">
            <w:pPr>
              <w:pStyle w:val="78"/>
            </w:pPr>
            <w:r>
              <w:rPr>
                <w:rFonts w:hint="eastAsia"/>
              </w:rPr>
              <w:t>富气压缩机</w:t>
            </w:r>
          </w:p>
        </w:tc>
        <w:tc>
          <w:tcPr>
            <w:tcW w:w="2177" w:type="pct"/>
            <w:vAlign w:val="center"/>
          </w:tcPr>
          <w:p w14:paraId="7CEE8C80">
            <w:pPr>
              <w:pStyle w:val="78"/>
              <w:rPr>
                <w:rFonts w:eastAsia="黑体" w:cs="Times New Roman"/>
              </w:rPr>
            </w:pPr>
            <w:r>
              <w:rPr>
                <w:rFonts w:eastAsia="黑体" w:cs="Times New Roman"/>
              </w:rPr>
              <w:t>284m</w:t>
            </w:r>
            <w:r>
              <w:rPr>
                <w:rFonts w:eastAsia="黑体" w:cs="Times New Roman"/>
                <w:vertAlign w:val="superscript"/>
              </w:rPr>
              <w:t>3</w:t>
            </w:r>
            <w:r>
              <w:rPr>
                <w:rFonts w:eastAsia="黑体" w:cs="Times New Roman"/>
              </w:rPr>
              <w:t>n/min</w:t>
            </w:r>
          </w:p>
        </w:tc>
        <w:tc>
          <w:tcPr>
            <w:tcW w:w="847" w:type="pct"/>
            <w:vAlign w:val="center"/>
          </w:tcPr>
          <w:p w14:paraId="6691005C">
            <w:pPr>
              <w:pStyle w:val="78"/>
              <w:rPr>
                <w:rFonts w:eastAsia="黑体" w:cs="Times New Roman"/>
              </w:rPr>
            </w:pPr>
            <w:r>
              <w:rPr>
                <w:rFonts w:eastAsia="黑体" w:cs="Times New Roman"/>
              </w:rPr>
              <w:t>1</w:t>
            </w:r>
          </w:p>
        </w:tc>
      </w:tr>
      <w:tr w14:paraId="7923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0F6A32A">
            <w:pPr>
              <w:pStyle w:val="78"/>
              <w:rPr>
                <w:rFonts w:eastAsia="黑体" w:cs="Times New Roman"/>
              </w:rPr>
            </w:pPr>
            <w:r>
              <w:rPr>
                <w:rFonts w:eastAsia="黑体" w:cs="Times New Roman"/>
              </w:rPr>
              <w:t>94</w:t>
            </w:r>
          </w:p>
        </w:tc>
        <w:tc>
          <w:tcPr>
            <w:tcW w:w="1549" w:type="pct"/>
            <w:vAlign w:val="center"/>
          </w:tcPr>
          <w:p w14:paraId="10DE3F07">
            <w:pPr>
              <w:pStyle w:val="78"/>
            </w:pPr>
            <w:r>
              <w:rPr>
                <w:rFonts w:hint="eastAsia"/>
              </w:rPr>
              <w:t>增压机</w:t>
            </w:r>
          </w:p>
        </w:tc>
        <w:tc>
          <w:tcPr>
            <w:tcW w:w="2177" w:type="pct"/>
            <w:vAlign w:val="center"/>
          </w:tcPr>
          <w:p w14:paraId="3924AEEF">
            <w:pPr>
              <w:pStyle w:val="78"/>
              <w:rPr>
                <w:rFonts w:eastAsia="黑体" w:cs="Times New Roman"/>
              </w:rPr>
            </w:pPr>
            <w:r>
              <w:rPr>
                <w:rFonts w:eastAsia="黑体" w:cs="Times New Roman"/>
              </w:rPr>
              <w:t>110Nm</w:t>
            </w:r>
            <w:r>
              <w:rPr>
                <w:rFonts w:eastAsia="黑体" w:cs="Times New Roman"/>
                <w:vertAlign w:val="superscript"/>
              </w:rPr>
              <w:t>3</w:t>
            </w:r>
            <w:r>
              <w:rPr>
                <w:rFonts w:eastAsia="黑体" w:cs="Times New Roman"/>
              </w:rPr>
              <w:t>/min</w:t>
            </w:r>
          </w:p>
        </w:tc>
        <w:tc>
          <w:tcPr>
            <w:tcW w:w="847" w:type="pct"/>
            <w:vAlign w:val="center"/>
          </w:tcPr>
          <w:p w14:paraId="4F57DF6D">
            <w:pPr>
              <w:pStyle w:val="78"/>
              <w:rPr>
                <w:rFonts w:eastAsia="黑体" w:cs="Times New Roman"/>
              </w:rPr>
            </w:pPr>
            <w:r>
              <w:rPr>
                <w:rFonts w:eastAsia="黑体" w:cs="Times New Roman"/>
              </w:rPr>
              <w:t>1</w:t>
            </w:r>
          </w:p>
        </w:tc>
      </w:tr>
      <w:tr w14:paraId="3AF2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7FF1117">
            <w:pPr>
              <w:pStyle w:val="78"/>
              <w:rPr>
                <w:rFonts w:eastAsia="黑体" w:cs="Times New Roman"/>
              </w:rPr>
            </w:pPr>
            <w:r>
              <w:rPr>
                <w:rFonts w:eastAsia="黑体" w:cs="Times New Roman"/>
              </w:rPr>
              <w:t>95</w:t>
            </w:r>
          </w:p>
        </w:tc>
        <w:tc>
          <w:tcPr>
            <w:tcW w:w="1549" w:type="pct"/>
            <w:vAlign w:val="center"/>
          </w:tcPr>
          <w:p w14:paraId="6F3F7898">
            <w:pPr>
              <w:pStyle w:val="78"/>
            </w:pPr>
            <w:r>
              <w:rPr>
                <w:rFonts w:hint="eastAsia"/>
              </w:rPr>
              <w:t>辅助燃烧室</w:t>
            </w:r>
          </w:p>
        </w:tc>
        <w:tc>
          <w:tcPr>
            <w:tcW w:w="2177" w:type="pct"/>
            <w:vAlign w:val="center"/>
          </w:tcPr>
          <w:p w14:paraId="710245DE">
            <w:pPr>
              <w:pStyle w:val="78"/>
              <w:rPr>
                <w:rFonts w:eastAsia="黑体" w:cs="Times New Roman"/>
              </w:rPr>
            </w:pPr>
            <w:r>
              <w:rPr>
                <w:rFonts w:eastAsia="黑体" w:cs="Times New Roman"/>
              </w:rPr>
              <w:t>/</w:t>
            </w:r>
          </w:p>
        </w:tc>
        <w:tc>
          <w:tcPr>
            <w:tcW w:w="847" w:type="pct"/>
            <w:vAlign w:val="center"/>
          </w:tcPr>
          <w:p w14:paraId="7F3F5027">
            <w:pPr>
              <w:pStyle w:val="78"/>
              <w:rPr>
                <w:rFonts w:eastAsia="黑体" w:cs="Times New Roman"/>
              </w:rPr>
            </w:pPr>
            <w:r>
              <w:rPr>
                <w:rFonts w:eastAsia="黑体" w:cs="Times New Roman"/>
              </w:rPr>
              <w:t>1</w:t>
            </w:r>
          </w:p>
        </w:tc>
      </w:tr>
      <w:tr w14:paraId="25E3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3B2574C">
            <w:pPr>
              <w:pStyle w:val="78"/>
              <w:rPr>
                <w:rFonts w:eastAsia="黑体" w:cs="Times New Roman"/>
              </w:rPr>
            </w:pPr>
            <w:r>
              <w:rPr>
                <w:rFonts w:eastAsia="黑体" w:cs="Times New Roman"/>
              </w:rPr>
              <w:t>96</w:t>
            </w:r>
          </w:p>
        </w:tc>
        <w:tc>
          <w:tcPr>
            <w:tcW w:w="1549" w:type="pct"/>
            <w:vAlign w:val="center"/>
          </w:tcPr>
          <w:p w14:paraId="3BCBB336">
            <w:pPr>
              <w:pStyle w:val="78"/>
            </w:pPr>
            <w:r>
              <w:rPr>
                <w:rFonts w:hint="eastAsia"/>
              </w:rPr>
              <w:t>余热锅炉</w:t>
            </w:r>
          </w:p>
        </w:tc>
        <w:tc>
          <w:tcPr>
            <w:tcW w:w="2177" w:type="pct"/>
            <w:vAlign w:val="center"/>
          </w:tcPr>
          <w:p w14:paraId="10A6E5BA">
            <w:pPr>
              <w:pStyle w:val="78"/>
            </w:pPr>
            <w:r>
              <w:rPr>
                <w:rFonts w:hint="eastAsia"/>
              </w:rPr>
              <w:t>产饱和蒸汽</w:t>
            </w:r>
            <w:r>
              <w:rPr>
                <w:rFonts w:cs="Times New Roman"/>
              </w:rPr>
              <w:t>10t/h</w:t>
            </w:r>
            <w:r>
              <w:rPr>
                <w:rFonts w:hint="eastAsia"/>
              </w:rPr>
              <w:t>，过热蒸汽量</w:t>
            </w:r>
            <w:r>
              <w:rPr>
                <w:rFonts w:cs="Times New Roman"/>
              </w:rPr>
              <w:t>25t/h</w:t>
            </w:r>
          </w:p>
        </w:tc>
        <w:tc>
          <w:tcPr>
            <w:tcW w:w="847" w:type="pct"/>
            <w:vAlign w:val="center"/>
          </w:tcPr>
          <w:p w14:paraId="6DC7D281">
            <w:pPr>
              <w:pStyle w:val="78"/>
              <w:rPr>
                <w:rFonts w:eastAsia="黑体" w:cs="Times New Roman"/>
              </w:rPr>
            </w:pPr>
            <w:r>
              <w:rPr>
                <w:rFonts w:eastAsia="黑体" w:cs="Times New Roman"/>
              </w:rPr>
              <w:t>1</w:t>
            </w:r>
          </w:p>
        </w:tc>
      </w:tr>
      <w:tr w14:paraId="6F20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7742B45">
            <w:pPr>
              <w:pStyle w:val="78"/>
              <w:rPr>
                <w:rFonts w:eastAsia="黑体" w:cs="Times New Roman"/>
              </w:rPr>
            </w:pPr>
            <w:r>
              <w:rPr>
                <w:rFonts w:eastAsia="黑体" w:cs="Times New Roman"/>
              </w:rPr>
              <w:t>97</w:t>
            </w:r>
          </w:p>
        </w:tc>
        <w:tc>
          <w:tcPr>
            <w:tcW w:w="1549" w:type="pct"/>
            <w:vAlign w:val="center"/>
          </w:tcPr>
          <w:p w14:paraId="2EACC6D7">
            <w:pPr>
              <w:pStyle w:val="78"/>
            </w:pPr>
            <w:r>
              <w:rPr>
                <w:rFonts w:hint="eastAsia"/>
              </w:rPr>
              <w:t>冷催化剂罐顶小型旋风分离器</w:t>
            </w:r>
          </w:p>
        </w:tc>
        <w:tc>
          <w:tcPr>
            <w:tcW w:w="2177" w:type="pct"/>
            <w:vAlign w:val="center"/>
          </w:tcPr>
          <w:p w14:paraId="3554F89A">
            <w:pPr>
              <w:pStyle w:val="78"/>
              <w:rPr>
                <w:rFonts w:eastAsia="黑体" w:cs="Times New Roman"/>
              </w:rPr>
            </w:pPr>
            <w:r>
              <w:rPr>
                <w:rFonts w:eastAsia="黑体" w:cs="Times New Roman"/>
              </w:rPr>
              <w:t>/</w:t>
            </w:r>
          </w:p>
        </w:tc>
        <w:tc>
          <w:tcPr>
            <w:tcW w:w="847" w:type="pct"/>
            <w:vAlign w:val="center"/>
          </w:tcPr>
          <w:p w14:paraId="17D20543">
            <w:pPr>
              <w:pStyle w:val="78"/>
              <w:rPr>
                <w:rFonts w:eastAsia="黑体" w:cs="Times New Roman"/>
              </w:rPr>
            </w:pPr>
            <w:r>
              <w:rPr>
                <w:rFonts w:eastAsia="黑体" w:cs="Times New Roman"/>
              </w:rPr>
              <w:t>1</w:t>
            </w:r>
          </w:p>
        </w:tc>
      </w:tr>
      <w:tr w14:paraId="7A83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520A9774">
            <w:pPr>
              <w:pStyle w:val="78"/>
              <w:rPr>
                <w:rFonts w:eastAsia="黑体" w:cs="Times New Roman"/>
              </w:rPr>
            </w:pPr>
            <w:r>
              <w:rPr>
                <w:rFonts w:eastAsia="黑体" w:cs="Times New Roman"/>
              </w:rPr>
              <w:t>98</w:t>
            </w:r>
          </w:p>
        </w:tc>
        <w:tc>
          <w:tcPr>
            <w:tcW w:w="1549" w:type="pct"/>
            <w:vAlign w:val="center"/>
          </w:tcPr>
          <w:p w14:paraId="7B612F41">
            <w:pPr>
              <w:pStyle w:val="78"/>
            </w:pPr>
            <w:r>
              <w:rPr>
                <w:rFonts w:hint="eastAsia"/>
              </w:rPr>
              <w:t>热催化剂罐顶小型旋风分离器</w:t>
            </w:r>
          </w:p>
        </w:tc>
        <w:tc>
          <w:tcPr>
            <w:tcW w:w="2177" w:type="pct"/>
            <w:vAlign w:val="center"/>
          </w:tcPr>
          <w:p w14:paraId="5A5EC2F4">
            <w:pPr>
              <w:pStyle w:val="78"/>
              <w:rPr>
                <w:rFonts w:eastAsia="黑体" w:cs="Times New Roman"/>
              </w:rPr>
            </w:pPr>
            <w:r>
              <w:rPr>
                <w:rFonts w:eastAsia="黑体" w:cs="Times New Roman"/>
              </w:rPr>
              <w:t>/</w:t>
            </w:r>
          </w:p>
        </w:tc>
        <w:tc>
          <w:tcPr>
            <w:tcW w:w="847" w:type="pct"/>
            <w:vAlign w:val="center"/>
          </w:tcPr>
          <w:p w14:paraId="0069EBAD">
            <w:pPr>
              <w:pStyle w:val="78"/>
              <w:rPr>
                <w:rFonts w:eastAsia="黑体" w:cs="Times New Roman"/>
              </w:rPr>
            </w:pPr>
            <w:r>
              <w:rPr>
                <w:rFonts w:eastAsia="黑体" w:cs="Times New Roman"/>
              </w:rPr>
              <w:t>1</w:t>
            </w:r>
          </w:p>
        </w:tc>
      </w:tr>
      <w:tr w14:paraId="1C05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FD475F5">
            <w:pPr>
              <w:pStyle w:val="78"/>
              <w:rPr>
                <w:rFonts w:eastAsia="黑体" w:cs="Times New Roman"/>
              </w:rPr>
            </w:pPr>
            <w:r>
              <w:rPr>
                <w:rFonts w:eastAsia="黑体" w:cs="Times New Roman"/>
              </w:rPr>
              <w:t>99</w:t>
            </w:r>
          </w:p>
        </w:tc>
        <w:tc>
          <w:tcPr>
            <w:tcW w:w="1549" w:type="pct"/>
            <w:vAlign w:val="center"/>
          </w:tcPr>
          <w:p w14:paraId="64BDEBED">
            <w:pPr>
              <w:pStyle w:val="78"/>
            </w:pPr>
            <w:r>
              <w:rPr>
                <w:rFonts w:hint="eastAsia"/>
              </w:rPr>
              <w:t>制冷机组撬装</w:t>
            </w:r>
          </w:p>
        </w:tc>
        <w:tc>
          <w:tcPr>
            <w:tcW w:w="2177" w:type="pct"/>
            <w:vAlign w:val="center"/>
          </w:tcPr>
          <w:p w14:paraId="6510DE94">
            <w:pPr>
              <w:pStyle w:val="78"/>
              <w:rPr>
                <w:rFonts w:eastAsia="黑体" w:cs="Times New Roman"/>
              </w:rPr>
            </w:pPr>
            <w:r>
              <w:rPr>
                <w:rFonts w:eastAsia="黑体" w:cs="Times New Roman"/>
              </w:rPr>
              <w:t>/</w:t>
            </w:r>
          </w:p>
        </w:tc>
        <w:tc>
          <w:tcPr>
            <w:tcW w:w="847" w:type="pct"/>
            <w:vAlign w:val="center"/>
          </w:tcPr>
          <w:p w14:paraId="5337BACB">
            <w:pPr>
              <w:pStyle w:val="78"/>
              <w:rPr>
                <w:rFonts w:eastAsia="黑体" w:cs="Times New Roman"/>
              </w:rPr>
            </w:pPr>
            <w:r>
              <w:rPr>
                <w:rFonts w:eastAsia="黑体" w:cs="Times New Roman"/>
              </w:rPr>
              <w:t>1</w:t>
            </w:r>
          </w:p>
        </w:tc>
      </w:tr>
      <w:tr w14:paraId="5D1C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5C51755">
            <w:pPr>
              <w:pStyle w:val="78"/>
              <w:rPr>
                <w:rFonts w:eastAsia="黑体" w:cs="Times New Roman"/>
              </w:rPr>
            </w:pPr>
            <w:r>
              <w:rPr>
                <w:rFonts w:eastAsia="黑体" w:cs="Times New Roman"/>
              </w:rPr>
              <w:t>100</w:t>
            </w:r>
          </w:p>
        </w:tc>
        <w:tc>
          <w:tcPr>
            <w:tcW w:w="1549" w:type="pct"/>
            <w:vAlign w:val="center"/>
          </w:tcPr>
          <w:p w14:paraId="151CDB51">
            <w:pPr>
              <w:pStyle w:val="78"/>
            </w:pPr>
            <w:r>
              <w:rPr>
                <w:rFonts w:hint="eastAsia"/>
              </w:rPr>
              <w:t>沸腾床撬装</w:t>
            </w:r>
          </w:p>
        </w:tc>
        <w:tc>
          <w:tcPr>
            <w:tcW w:w="2177" w:type="pct"/>
            <w:vAlign w:val="center"/>
          </w:tcPr>
          <w:p w14:paraId="0F167830">
            <w:pPr>
              <w:pStyle w:val="78"/>
              <w:rPr>
                <w:rFonts w:eastAsia="黑体" w:cs="Times New Roman"/>
              </w:rPr>
            </w:pPr>
            <w:r>
              <w:rPr>
                <w:rFonts w:eastAsia="黑体" w:cs="Times New Roman"/>
              </w:rPr>
              <w:t>/</w:t>
            </w:r>
          </w:p>
        </w:tc>
        <w:tc>
          <w:tcPr>
            <w:tcW w:w="847" w:type="pct"/>
            <w:vAlign w:val="center"/>
          </w:tcPr>
          <w:p w14:paraId="6C0D8108">
            <w:pPr>
              <w:pStyle w:val="78"/>
              <w:rPr>
                <w:rFonts w:eastAsia="黑体" w:cs="Times New Roman"/>
              </w:rPr>
            </w:pPr>
            <w:r>
              <w:rPr>
                <w:rFonts w:eastAsia="黑体" w:cs="Times New Roman"/>
              </w:rPr>
              <w:t>1</w:t>
            </w:r>
          </w:p>
        </w:tc>
      </w:tr>
      <w:tr w14:paraId="044A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175B22AA">
            <w:pPr>
              <w:pStyle w:val="78"/>
              <w:rPr>
                <w:rFonts w:eastAsia="黑体" w:cs="Times New Roman"/>
              </w:rPr>
            </w:pPr>
            <w:r>
              <w:rPr>
                <w:rFonts w:eastAsia="黑体" w:cs="Times New Roman"/>
              </w:rPr>
              <w:t>101</w:t>
            </w:r>
          </w:p>
        </w:tc>
        <w:tc>
          <w:tcPr>
            <w:tcW w:w="1549" w:type="pct"/>
            <w:vAlign w:val="center"/>
          </w:tcPr>
          <w:p w14:paraId="1E4D9732">
            <w:pPr>
              <w:pStyle w:val="78"/>
            </w:pPr>
            <w:r>
              <w:rPr>
                <w:rFonts w:hint="eastAsia"/>
              </w:rPr>
              <w:t>二级</w:t>
            </w:r>
            <w:r>
              <w:rPr>
                <w:rFonts w:cs="Times New Roman"/>
              </w:rPr>
              <w:t>SNAR</w:t>
            </w:r>
            <w:r>
              <w:rPr>
                <w:rFonts w:hint="eastAsia"/>
              </w:rPr>
              <w:t>脱硝</w:t>
            </w:r>
          </w:p>
        </w:tc>
        <w:tc>
          <w:tcPr>
            <w:tcW w:w="2177" w:type="pct"/>
            <w:vAlign w:val="center"/>
          </w:tcPr>
          <w:p w14:paraId="21AE1EED">
            <w:pPr>
              <w:pStyle w:val="78"/>
              <w:rPr>
                <w:rFonts w:eastAsia="黑体" w:cs="Times New Roman"/>
              </w:rPr>
            </w:pPr>
            <w:r>
              <w:rPr>
                <w:rFonts w:eastAsia="黑体" w:cs="Times New Roman"/>
              </w:rPr>
              <w:t>/</w:t>
            </w:r>
          </w:p>
        </w:tc>
        <w:tc>
          <w:tcPr>
            <w:tcW w:w="847" w:type="pct"/>
            <w:vAlign w:val="center"/>
          </w:tcPr>
          <w:p w14:paraId="2FE521B2">
            <w:pPr>
              <w:pStyle w:val="78"/>
              <w:rPr>
                <w:rFonts w:eastAsia="黑体" w:cs="Times New Roman"/>
              </w:rPr>
            </w:pPr>
            <w:r>
              <w:rPr>
                <w:rFonts w:eastAsia="黑体" w:cs="Times New Roman"/>
              </w:rPr>
              <w:t>1</w:t>
            </w:r>
          </w:p>
        </w:tc>
      </w:tr>
      <w:tr w14:paraId="740E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385C0C47">
            <w:pPr>
              <w:pStyle w:val="78"/>
              <w:rPr>
                <w:rFonts w:eastAsia="黑体" w:cs="Times New Roman"/>
              </w:rPr>
            </w:pPr>
            <w:r>
              <w:rPr>
                <w:rFonts w:eastAsia="黑体" w:cs="Times New Roman"/>
              </w:rPr>
              <w:t>102</w:t>
            </w:r>
          </w:p>
        </w:tc>
        <w:tc>
          <w:tcPr>
            <w:tcW w:w="1549" w:type="pct"/>
            <w:vAlign w:val="center"/>
          </w:tcPr>
          <w:p w14:paraId="3E4FE2A0">
            <w:pPr>
              <w:pStyle w:val="78"/>
              <w:rPr>
                <w:rFonts w:eastAsia="黑体" w:cs="Times New Roman"/>
              </w:rPr>
            </w:pPr>
            <w:r>
              <w:rPr>
                <w:rFonts w:eastAsia="黑体" w:cs="Times New Roman"/>
              </w:rPr>
              <w:t>SCR</w:t>
            </w:r>
            <w:r>
              <w:rPr>
                <w:rFonts w:hint="eastAsia" w:cs="Times New Roman"/>
              </w:rPr>
              <w:t>脱硝（预留位置）</w:t>
            </w:r>
          </w:p>
        </w:tc>
        <w:tc>
          <w:tcPr>
            <w:tcW w:w="2177" w:type="pct"/>
            <w:vAlign w:val="center"/>
          </w:tcPr>
          <w:p w14:paraId="19B5DE02">
            <w:pPr>
              <w:pStyle w:val="78"/>
              <w:rPr>
                <w:rFonts w:eastAsia="黑体" w:cs="Times New Roman"/>
              </w:rPr>
            </w:pPr>
            <w:r>
              <w:rPr>
                <w:rFonts w:eastAsia="黑体" w:cs="Times New Roman"/>
              </w:rPr>
              <w:t>/</w:t>
            </w:r>
          </w:p>
        </w:tc>
        <w:tc>
          <w:tcPr>
            <w:tcW w:w="847" w:type="pct"/>
            <w:vAlign w:val="center"/>
          </w:tcPr>
          <w:p w14:paraId="7112A9F2">
            <w:pPr>
              <w:pStyle w:val="78"/>
              <w:rPr>
                <w:rFonts w:eastAsia="黑体" w:cs="Times New Roman"/>
              </w:rPr>
            </w:pPr>
            <w:r>
              <w:rPr>
                <w:rFonts w:eastAsia="黑体" w:cs="Times New Roman"/>
              </w:rPr>
              <w:t>1</w:t>
            </w:r>
          </w:p>
        </w:tc>
      </w:tr>
      <w:tr w14:paraId="2253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70BA1E3C">
            <w:pPr>
              <w:pStyle w:val="78"/>
              <w:rPr>
                <w:rFonts w:eastAsia="黑体" w:cs="Times New Roman"/>
              </w:rPr>
            </w:pPr>
            <w:r>
              <w:rPr>
                <w:rFonts w:eastAsia="黑体" w:cs="Times New Roman"/>
              </w:rPr>
              <w:t>103</w:t>
            </w:r>
          </w:p>
        </w:tc>
        <w:tc>
          <w:tcPr>
            <w:tcW w:w="1549" w:type="pct"/>
            <w:vAlign w:val="center"/>
          </w:tcPr>
          <w:p w14:paraId="2F26C4D5">
            <w:pPr>
              <w:pStyle w:val="78"/>
            </w:pPr>
            <w:r>
              <w:rPr>
                <w:rFonts w:hint="eastAsia"/>
              </w:rPr>
              <w:t>活性炭喷射撬装</w:t>
            </w:r>
          </w:p>
        </w:tc>
        <w:tc>
          <w:tcPr>
            <w:tcW w:w="2177" w:type="pct"/>
            <w:vAlign w:val="center"/>
          </w:tcPr>
          <w:p w14:paraId="7D59DB8B">
            <w:pPr>
              <w:pStyle w:val="78"/>
              <w:rPr>
                <w:rFonts w:eastAsia="黑体" w:cs="Times New Roman"/>
              </w:rPr>
            </w:pPr>
            <w:r>
              <w:rPr>
                <w:rFonts w:eastAsia="黑体" w:cs="Times New Roman"/>
              </w:rPr>
              <w:t>/</w:t>
            </w:r>
          </w:p>
        </w:tc>
        <w:tc>
          <w:tcPr>
            <w:tcW w:w="847" w:type="pct"/>
            <w:vAlign w:val="center"/>
          </w:tcPr>
          <w:p w14:paraId="7B485E3A">
            <w:pPr>
              <w:pStyle w:val="78"/>
              <w:rPr>
                <w:rFonts w:eastAsia="黑体" w:cs="Times New Roman"/>
              </w:rPr>
            </w:pPr>
            <w:r>
              <w:rPr>
                <w:rFonts w:eastAsia="黑体" w:cs="Times New Roman"/>
              </w:rPr>
              <w:t>1</w:t>
            </w:r>
          </w:p>
        </w:tc>
      </w:tr>
      <w:tr w14:paraId="78DA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02C48938">
            <w:pPr>
              <w:pStyle w:val="78"/>
              <w:rPr>
                <w:rFonts w:eastAsia="黑体" w:cs="Times New Roman"/>
              </w:rPr>
            </w:pPr>
            <w:r>
              <w:rPr>
                <w:rFonts w:eastAsia="黑体" w:cs="Times New Roman"/>
              </w:rPr>
              <w:t>104</w:t>
            </w:r>
          </w:p>
        </w:tc>
        <w:tc>
          <w:tcPr>
            <w:tcW w:w="1549" w:type="pct"/>
            <w:vAlign w:val="center"/>
          </w:tcPr>
          <w:p w14:paraId="48D0DAF2">
            <w:pPr>
              <w:pStyle w:val="78"/>
            </w:pPr>
            <w:r>
              <w:rPr>
                <w:rFonts w:hint="eastAsia"/>
              </w:rPr>
              <w:t>布袋除尘器</w:t>
            </w:r>
          </w:p>
        </w:tc>
        <w:tc>
          <w:tcPr>
            <w:tcW w:w="2177" w:type="pct"/>
            <w:vAlign w:val="center"/>
          </w:tcPr>
          <w:p w14:paraId="0F6C5933">
            <w:pPr>
              <w:pStyle w:val="78"/>
              <w:rPr>
                <w:rFonts w:eastAsia="黑体" w:cs="Times New Roman"/>
              </w:rPr>
            </w:pPr>
            <w:r>
              <w:rPr>
                <w:rFonts w:eastAsia="黑体" w:cs="Times New Roman"/>
              </w:rPr>
              <w:t>/</w:t>
            </w:r>
          </w:p>
        </w:tc>
        <w:tc>
          <w:tcPr>
            <w:tcW w:w="847" w:type="pct"/>
            <w:vAlign w:val="center"/>
          </w:tcPr>
          <w:p w14:paraId="4AA6B77E">
            <w:pPr>
              <w:pStyle w:val="78"/>
              <w:rPr>
                <w:rFonts w:eastAsia="黑体" w:cs="Times New Roman"/>
              </w:rPr>
            </w:pPr>
            <w:r>
              <w:rPr>
                <w:rFonts w:eastAsia="黑体" w:cs="Times New Roman"/>
              </w:rPr>
              <w:t>1</w:t>
            </w:r>
          </w:p>
        </w:tc>
      </w:tr>
      <w:tr w14:paraId="62D5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67AD085A">
            <w:pPr>
              <w:pStyle w:val="78"/>
              <w:rPr>
                <w:rFonts w:eastAsia="黑体" w:cs="Times New Roman"/>
              </w:rPr>
            </w:pPr>
            <w:r>
              <w:rPr>
                <w:rFonts w:eastAsia="黑体" w:cs="Times New Roman"/>
              </w:rPr>
              <w:t>105</w:t>
            </w:r>
          </w:p>
        </w:tc>
        <w:tc>
          <w:tcPr>
            <w:tcW w:w="1549" w:type="pct"/>
            <w:vAlign w:val="center"/>
          </w:tcPr>
          <w:p w14:paraId="74264114">
            <w:pPr>
              <w:pStyle w:val="78"/>
            </w:pPr>
            <w:r>
              <w:rPr>
                <w:rFonts w:hint="eastAsia"/>
              </w:rPr>
              <w:t>原料压送撬装</w:t>
            </w:r>
          </w:p>
        </w:tc>
        <w:tc>
          <w:tcPr>
            <w:tcW w:w="2177" w:type="pct"/>
            <w:vAlign w:val="center"/>
          </w:tcPr>
          <w:p w14:paraId="7A9B9B0B">
            <w:pPr>
              <w:pStyle w:val="78"/>
              <w:rPr>
                <w:rFonts w:eastAsia="黑体" w:cs="Times New Roman"/>
              </w:rPr>
            </w:pPr>
            <w:r>
              <w:rPr>
                <w:rFonts w:eastAsia="黑体" w:cs="Times New Roman"/>
              </w:rPr>
              <w:t>/</w:t>
            </w:r>
          </w:p>
        </w:tc>
        <w:tc>
          <w:tcPr>
            <w:tcW w:w="847" w:type="pct"/>
            <w:vAlign w:val="center"/>
          </w:tcPr>
          <w:p w14:paraId="3E97DBB9">
            <w:pPr>
              <w:pStyle w:val="78"/>
              <w:rPr>
                <w:rFonts w:eastAsia="黑体" w:cs="Times New Roman"/>
              </w:rPr>
            </w:pPr>
            <w:r>
              <w:rPr>
                <w:rFonts w:eastAsia="黑体" w:cs="Times New Roman"/>
              </w:rPr>
              <w:t>1</w:t>
            </w:r>
          </w:p>
        </w:tc>
      </w:tr>
      <w:tr w14:paraId="1839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7" w:type="pct"/>
            <w:vAlign w:val="center"/>
          </w:tcPr>
          <w:p w14:paraId="25B5F5F7">
            <w:pPr>
              <w:pStyle w:val="78"/>
              <w:rPr>
                <w:rFonts w:eastAsia="黑体" w:cs="Times New Roman"/>
              </w:rPr>
            </w:pPr>
            <w:r>
              <w:rPr>
                <w:rFonts w:eastAsia="黑体" w:cs="Times New Roman"/>
              </w:rPr>
              <w:t>106</w:t>
            </w:r>
          </w:p>
        </w:tc>
        <w:tc>
          <w:tcPr>
            <w:tcW w:w="1549" w:type="pct"/>
            <w:vAlign w:val="center"/>
          </w:tcPr>
          <w:p w14:paraId="50A9C28C">
            <w:pPr>
              <w:pStyle w:val="78"/>
            </w:pPr>
            <w:r>
              <w:rPr>
                <w:rFonts w:hint="eastAsia"/>
              </w:rPr>
              <w:t>原料料仓</w:t>
            </w:r>
          </w:p>
        </w:tc>
        <w:tc>
          <w:tcPr>
            <w:tcW w:w="2177" w:type="pct"/>
            <w:vAlign w:val="center"/>
          </w:tcPr>
          <w:p w14:paraId="1B994915">
            <w:pPr>
              <w:pStyle w:val="78"/>
              <w:rPr>
                <w:rFonts w:eastAsia="黑体" w:cs="Times New Roman"/>
              </w:rPr>
            </w:pPr>
            <w:r>
              <w:rPr>
                <w:rFonts w:eastAsia="黑体" w:cs="Times New Roman"/>
              </w:rPr>
              <w:t>600m</w:t>
            </w:r>
            <w:r>
              <w:rPr>
                <w:rFonts w:eastAsia="黑体" w:cs="Times New Roman"/>
                <w:vertAlign w:val="superscript"/>
              </w:rPr>
              <w:t>3</w:t>
            </w:r>
          </w:p>
        </w:tc>
        <w:tc>
          <w:tcPr>
            <w:tcW w:w="847" w:type="pct"/>
            <w:vAlign w:val="center"/>
          </w:tcPr>
          <w:p w14:paraId="62956466">
            <w:pPr>
              <w:pStyle w:val="78"/>
              <w:rPr>
                <w:rFonts w:eastAsia="黑体" w:cs="Times New Roman"/>
              </w:rPr>
            </w:pPr>
            <w:r>
              <w:rPr>
                <w:rFonts w:eastAsia="黑体" w:cs="Times New Roman"/>
              </w:rPr>
              <w:t>8</w:t>
            </w:r>
          </w:p>
        </w:tc>
      </w:tr>
    </w:tbl>
    <w:p w14:paraId="002C4A85">
      <w:pPr>
        <w:rPr>
          <w:rFonts w:hint="eastAsia"/>
        </w:rPr>
      </w:pPr>
    </w:p>
    <w:p w14:paraId="2F1E1377">
      <w:pPr>
        <w:pStyle w:val="4"/>
      </w:pPr>
      <w:bookmarkStart w:id="70" w:name="_Toc210915275"/>
      <w:bookmarkStart w:id="71" w:name="_Toc200527736"/>
      <w:r>
        <w:t>现场排查方法</w:t>
      </w:r>
      <w:bookmarkEnd w:id="70"/>
      <w:bookmarkEnd w:id="71"/>
    </w:p>
    <w:p w14:paraId="09FA01AA">
      <w:pPr>
        <w:pStyle w:val="3"/>
        <w:ind w:firstLine="480"/>
      </w:pPr>
      <w:r>
        <w:t>公司结合生产实际开展排查，排查技术要点参考《土壤污染隐患排查技术指南（试行）》（2021年第1号），重点排查：</w:t>
      </w:r>
    </w:p>
    <w:p w14:paraId="7EB68C28">
      <w:pPr>
        <w:pStyle w:val="3"/>
        <w:ind w:firstLine="480"/>
      </w:pPr>
      <w:r>
        <w:t>（1）重点场所和重点设施设备是否具有基本的防渗漏、流失、扬散的土壤污染预防功能（如具有腐蚀控制及防护的钢制储罐；设施能防止雨水进入，或者能及时有效排出雨水），以及有关预防土壤污染管理制度建立和执行情况。</w:t>
      </w:r>
    </w:p>
    <w:p w14:paraId="2189E556">
      <w:pPr>
        <w:pStyle w:val="3"/>
        <w:ind w:firstLine="480"/>
      </w:pPr>
      <w:r>
        <w:t>（2）在发生渗漏、流失、扬散的情况下，是否具有防止污染物进入土壤的设施，包括普通阻隔设施、防滴漏设施（如原料桶采用托盘盛放），以及防渗阻隔系统等。</w:t>
      </w:r>
    </w:p>
    <w:p w14:paraId="2E9E5EC5">
      <w:pPr>
        <w:pStyle w:val="3"/>
        <w:ind w:firstLine="480"/>
      </w:pPr>
      <w:r>
        <w:t>（3）是否有能有效、及时发现并处理泄漏、渗漏或者土壤污染的设施或者措施。如泄漏检测设施、土壤和地下水环境定期监测、应急措施和应急物资储备等。普通阻隔设施需要更严格的管理措施，防渗阻隔系统需要定期检测防渗性能。</w:t>
      </w:r>
    </w:p>
    <w:p w14:paraId="33EE0340">
      <w:pPr>
        <w:pStyle w:val="3"/>
        <w:ind w:firstLine="480"/>
      </w:pPr>
    </w:p>
    <w:p w14:paraId="66F0D989">
      <w:pPr>
        <w:pStyle w:val="3"/>
        <w:ind w:firstLine="480"/>
        <w:sectPr>
          <w:pgSz w:w="11906" w:h="16838"/>
          <w:pgMar w:top="1440" w:right="1800" w:bottom="1440" w:left="1800" w:header="851" w:footer="992" w:gutter="0"/>
          <w:cols w:space="425" w:num="1"/>
          <w:docGrid w:type="lines" w:linePitch="312" w:charSpace="0"/>
        </w:sectPr>
      </w:pPr>
    </w:p>
    <w:p w14:paraId="052F1005">
      <w:pPr>
        <w:pStyle w:val="2"/>
      </w:pPr>
      <w:bookmarkStart w:id="72" w:name="_Toc200527737"/>
      <w:bookmarkStart w:id="73" w:name="_Toc210915276"/>
      <w:r>
        <w:t>土壤污染隐患排查</w:t>
      </w:r>
      <w:bookmarkEnd w:id="72"/>
      <w:bookmarkEnd w:id="73"/>
    </w:p>
    <w:p w14:paraId="4200271A">
      <w:pPr>
        <w:pStyle w:val="4"/>
      </w:pPr>
      <w:bookmarkStart w:id="74" w:name="_Toc200527738"/>
      <w:bookmarkStart w:id="75" w:name="_Toc210915277"/>
      <w:r>
        <w:t>重点场所、重点设施设备隐患排查</w:t>
      </w:r>
      <w:bookmarkEnd w:id="74"/>
      <w:bookmarkEnd w:id="75"/>
    </w:p>
    <w:p w14:paraId="3823E749">
      <w:pPr>
        <w:pStyle w:val="3"/>
        <w:ind w:firstLine="480"/>
      </w:pPr>
      <w:r>
        <w:t>根据《土壤污染隐患排查技术指南（试行）》（2021年第1号）附录A中的技术要点，公司组织相关人员对厂区内土壤污染隐患进行了排查，根据排查结果查漏补缺并进行整改、优化。</w:t>
      </w:r>
    </w:p>
    <w:p w14:paraId="246477C6">
      <w:pPr>
        <w:pStyle w:val="5"/>
        <w:rPr>
          <w:color w:val="auto"/>
        </w:rPr>
      </w:pPr>
      <w:r>
        <w:rPr>
          <w:color w:val="auto"/>
        </w:rPr>
        <w:t>液体储存区</w:t>
      </w:r>
    </w:p>
    <w:p w14:paraId="14FCCE11">
      <w:pPr>
        <w:pStyle w:val="3"/>
        <w:ind w:firstLine="480"/>
      </w:pPr>
      <w:r>
        <w:t>根据识别确定，公司涉及的液体储存场所为</w:t>
      </w:r>
      <w:r>
        <w:rPr>
          <w:rFonts w:hint="eastAsia"/>
        </w:rPr>
        <w:t>球罐组、初期雨水收集池，</w:t>
      </w:r>
      <w:r>
        <w:t>根据调查，</w:t>
      </w:r>
      <w:r>
        <w:rPr>
          <w:rFonts w:hint="eastAsia"/>
        </w:rPr>
        <w:t>原料仓库的破乳剂随到随用，不暂存，废塑料均为固体，</w:t>
      </w:r>
      <w:r>
        <w:t>整齐的存放于</w:t>
      </w:r>
      <w:r>
        <w:rPr>
          <w:rFonts w:hint="eastAsia"/>
        </w:rPr>
        <w:t>原料仓库</w:t>
      </w:r>
      <w:r>
        <w:t>，且</w:t>
      </w:r>
      <w:r>
        <w:rPr>
          <w:rFonts w:hint="eastAsia"/>
        </w:rPr>
        <w:t>原料仓库</w:t>
      </w:r>
      <w:r>
        <w:t>地面做了合理的防渗措施，因此</w:t>
      </w:r>
      <w:r>
        <w:rPr>
          <w:rFonts w:hint="eastAsia"/>
        </w:rPr>
        <w:t>原料仓库</w:t>
      </w:r>
      <w:r>
        <w:t>合理。</w:t>
      </w:r>
      <w:r>
        <w:rPr>
          <w:rFonts w:hint="eastAsia"/>
        </w:rPr>
        <w:t>主要分析球罐组、初期雨水收集池、除盐水站加药间、原料仓库及生产污水池。</w:t>
      </w:r>
    </w:p>
    <w:p w14:paraId="2F0A2460">
      <w:pPr>
        <w:pStyle w:val="3"/>
        <w:ind w:firstLine="480"/>
        <w:sectPr>
          <w:pgSz w:w="11906" w:h="16838"/>
          <w:pgMar w:top="1440" w:right="1800" w:bottom="1440" w:left="1800" w:header="851" w:footer="992" w:gutter="0"/>
          <w:cols w:space="425" w:num="1"/>
          <w:docGrid w:type="lines" w:linePitch="312" w:charSpace="0"/>
        </w:sectPr>
      </w:pPr>
    </w:p>
    <w:p w14:paraId="7598A694">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4.1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液体储存隐患排查一览表</w:t>
      </w:r>
    </w:p>
    <w:tbl>
      <w:tblPr>
        <w:tblStyle w:val="42"/>
        <w:tblW w:w="14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90"/>
        <w:gridCol w:w="1276"/>
        <w:gridCol w:w="2551"/>
        <w:gridCol w:w="4107"/>
        <w:gridCol w:w="2692"/>
        <w:gridCol w:w="906"/>
        <w:gridCol w:w="1134"/>
      </w:tblGrid>
      <w:tr w14:paraId="02C8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4CF7EB4F">
            <w:pPr>
              <w:pStyle w:val="78"/>
              <w:rPr>
                <w:b/>
              </w:rPr>
            </w:pPr>
            <w:r>
              <w:rPr>
                <w:b/>
              </w:rPr>
              <w:t>序号</w:t>
            </w:r>
          </w:p>
        </w:tc>
        <w:tc>
          <w:tcPr>
            <w:tcW w:w="990" w:type="dxa"/>
            <w:vAlign w:val="center"/>
          </w:tcPr>
          <w:p w14:paraId="5E0B0725">
            <w:pPr>
              <w:pStyle w:val="78"/>
              <w:rPr>
                <w:b/>
              </w:rPr>
            </w:pPr>
            <w:r>
              <w:rPr>
                <w:b/>
              </w:rPr>
              <w:t>涉及工业活动</w:t>
            </w:r>
          </w:p>
        </w:tc>
        <w:tc>
          <w:tcPr>
            <w:tcW w:w="1276" w:type="dxa"/>
            <w:vAlign w:val="center"/>
          </w:tcPr>
          <w:p w14:paraId="681E0149">
            <w:pPr>
              <w:pStyle w:val="78"/>
              <w:rPr>
                <w:b/>
              </w:rPr>
            </w:pPr>
            <w:r>
              <w:rPr>
                <w:b/>
              </w:rPr>
              <w:t>重点场所或者重点设施设备</w:t>
            </w:r>
          </w:p>
        </w:tc>
        <w:tc>
          <w:tcPr>
            <w:tcW w:w="2551" w:type="dxa"/>
            <w:vAlign w:val="center"/>
          </w:tcPr>
          <w:p w14:paraId="62244E78">
            <w:pPr>
              <w:pStyle w:val="78"/>
              <w:rPr>
                <w:b/>
              </w:rPr>
            </w:pPr>
            <w:r>
              <w:rPr>
                <w:b/>
              </w:rPr>
              <w:t>现状情况</w:t>
            </w:r>
          </w:p>
        </w:tc>
        <w:tc>
          <w:tcPr>
            <w:tcW w:w="4107" w:type="dxa"/>
            <w:vAlign w:val="center"/>
          </w:tcPr>
          <w:p w14:paraId="25E34296">
            <w:pPr>
              <w:pStyle w:val="78"/>
              <w:rPr>
                <w:b/>
              </w:rPr>
            </w:pPr>
            <w:r>
              <w:rPr>
                <w:b/>
              </w:rPr>
              <w:t>照片</w:t>
            </w:r>
          </w:p>
        </w:tc>
        <w:tc>
          <w:tcPr>
            <w:tcW w:w="2692" w:type="dxa"/>
            <w:vAlign w:val="center"/>
          </w:tcPr>
          <w:p w14:paraId="1A7E4B09">
            <w:pPr>
              <w:pStyle w:val="78"/>
              <w:rPr>
                <w:b/>
              </w:rPr>
            </w:pPr>
            <w:r>
              <w:rPr>
                <w:b/>
              </w:rPr>
              <w:t>预防设施及措施推荐性组合</w:t>
            </w:r>
          </w:p>
        </w:tc>
        <w:tc>
          <w:tcPr>
            <w:tcW w:w="906" w:type="dxa"/>
            <w:vAlign w:val="center"/>
          </w:tcPr>
          <w:p w14:paraId="7A116A3D">
            <w:pPr>
              <w:pStyle w:val="78"/>
              <w:rPr>
                <w:b/>
              </w:rPr>
            </w:pPr>
            <w:r>
              <w:rPr>
                <w:b/>
              </w:rPr>
              <w:t>合理性分析</w:t>
            </w:r>
          </w:p>
        </w:tc>
        <w:tc>
          <w:tcPr>
            <w:tcW w:w="1134" w:type="dxa"/>
            <w:vAlign w:val="center"/>
          </w:tcPr>
          <w:p w14:paraId="09259B6D">
            <w:pPr>
              <w:pStyle w:val="78"/>
              <w:rPr>
                <w:b/>
              </w:rPr>
            </w:pPr>
            <w:r>
              <w:rPr>
                <w:b/>
              </w:rPr>
              <w:t>优化及整改建议</w:t>
            </w:r>
          </w:p>
        </w:tc>
      </w:tr>
      <w:tr w14:paraId="4712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5C7450BA">
            <w:pPr>
              <w:pStyle w:val="78"/>
            </w:pPr>
            <w:r>
              <w:rPr>
                <w:rFonts w:hint="eastAsia"/>
              </w:rPr>
              <w:t>1</w:t>
            </w:r>
          </w:p>
        </w:tc>
        <w:tc>
          <w:tcPr>
            <w:tcW w:w="990" w:type="dxa"/>
            <w:vAlign w:val="center"/>
          </w:tcPr>
          <w:p w14:paraId="7549CFB4">
            <w:pPr>
              <w:pStyle w:val="78"/>
            </w:pPr>
            <w:r>
              <w:rPr>
                <w:rFonts w:hint="eastAsia"/>
              </w:rPr>
              <w:t>装卸、储存</w:t>
            </w:r>
          </w:p>
        </w:tc>
        <w:tc>
          <w:tcPr>
            <w:tcW w:w="1276" w:type="dxa"/>
            <w:vAlign w:val="center"/>
          </w:tcPr>
          <w:p w14:paraId="2BB21EF5">
            <w:pPr>
              <w:pStyle w:val="78"/>
            </w:pPr>
            <w:r>
              <w:rPr>
                <w:rFonts w:hint="eastAsia"/>
              </w:rPr>
              <w:t>球罐组</w:t>
            </w:r>
          </w:p>
        </w:tc>
        <w:tc>
          <w:tcPr>
            <w:tcW w:w="2551" w:type="dxa"/>
            <w:vAlign w:val="center"/>
          </w:tcPr>
          <w:p w14:paraId="07E050B2">
            <w:pPr>
              <w:pStyle w:val="78"/>
              <w:jc w:val="left"/>
            </w:pPr>
            <w:r>
              <w:rPr>
                <w:rFonts w:hint="eastAsia"/>
              </w:rPr>
              <w:t>(1)单层钢制储罐；</w:t>
            </w:r>
          </w:p>
          <w:p w14:paraId="78E7A7A0">
            <w:pPr>
              <w:pStyle w:val="78"/>
              <w:jc w:val="left"/>
            </w:pPr>
            <w:r>
              <w:rPr>
                <w:rFonts w:hint="eastAsia"/>
              </w:rPr>
              <w:t>(2)球罐区四周设有6</w:t>
            </w:r>
            <w:r>
              <w:t>0</w:t>
            </w:r>
            <w:r>
              <w:rPr>
                <w:rFonts w:hint="eastAsia"/>
              </w:rPr>
              <w:t>cm高围堰；</w:t>
            </w:r>
          </w:p>
          <w:p w14:paraId="67F68E4E">
            <w:pPr>
              <w:pStyle w:val="78"/>
              <w:ind w:left="210" w:hanging="210" w:hangingChars="100"/>
              <w:jc w:val="left"/>
            </w:pPr>
            <w:r>
              <w:rPr>
                <w:rFonts w:hint="eastAsia"/>
              </w:rPr>
              <w:t>(3)</w:t>
            </w:r>
            <w:r>
              <w:t>定期针对“应对泄漏事件”进行演练；</w:t>
            </w:r>
          </w:p>
          <w:p w14:paraId="27B24CD3">
            <w:pPr>
              <w:pStyle w:val="78"/>
              <w:ind w:left="210" w:hanging="210" w:hangingChars="100"/>
              <w:jc w:val="left"/>
            </w:pPr>
            <w:r>
              <w:rPr>
                <w:rFonts w:hint="eastAsia"/>
              </w:rPr>
              <w:t>(</w:t>
            </w:r>
            <w:r>
              <w:t>4</w:t>
            </w:r>
            <w:r>
              <w:rPr>
                <w:rFonts w:hint="eastAsia"/>
              </w:rPr>
              <w:t>)厂内配备吸油棉等足够的应急物资；</w:t>
            </w:r>
          </w:p>
          <w:p w14:paraId="2ABB0B6C">
            <w:pPr>
              <w:pStyle w:val="78"/>
              <w:ind w:left="210" w:hanging="210" w:hangingChars="100"/>
              <w:jc w:val="left"/>
            </w:pPr>
            <w:r>
              <w:rPr>
                <w:rFonts w:hint="eastAsia"/>
              </w:rPr>
              <w:t>(</w:t>
            </w:r>
            <w:r>
              <w:t>5</w:t>
            </w:r>
            <w:r>
              <w:rPr>
                <w:rFonts w:hint="eastAsia"/>
              </w:rPr>
              <w:t>)</w:t>
            </w:r>
            <w:r>
              <w:t>该区域设有专人负责，并定期进行培训</w:t>
            </w:r>
          </w:p>
          <w:p w14:paraId="6B5A6C80">
            <w:pPr>
              <w:pStyle w:val="78"/>
              <w:ind w:left="210" w:hanging="210" w:hangingChars="100"/>
              <w:jc w:val="left"/>
            </w:pPr>
            <w:r>
              <w:rPr>
                <w:rFonts w:hint="eastAsia"/>
              </w:rPr>
              <w:t>(</w:t>
            </w:r>
            <w:r>
              <w:t>6</w:t>
            </w:r>
            <w:r>
              <w:rPr>
                <w:rFonts w:hint="eastAsia"/>
              </w:rPr>
              <w:t>)</w:t>
            </w:r>
            <w:r>
              <w:t>人员</w:t>
            </w:r>
            <w:r>
              <w:rPr>
                <w:rFonts w:hint="eastAsia"/>
              </w:rPr>
              <w:t>定期</w:t>
            </w:r>
            <w:r>
              <w:t>做日常检查，检查时观察外壁是否有泄漏现象；日常维护。</w:t>
            </w:r>
          </w:p>
        </w:tc>
        <w:tc>
          <w:tcPr>
            <w:tcW w:w="4107" w:type="dxa"/>
            <w:vAlign w:val="center"/>
          </w:tcPr>
          <w:p w14:paraId="5E9ECBCB">
            <w:pPr>
              <w:pStyle w:val="78"/>
            </w:pPr>
            <w:r>
              <w:drawing>
                <wp:inline distT="0" distB="0" distL="0" distR="0">
                  <wp:extent cx="2159635" cy="1453515"/>
                  <wp:effectExtent l="0" t="0" r="0" b="0"/>
                  <wp:docPr id="7669135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13580" name="图片 10"/>
                          <pic:cNvPicPr>
                            <a:picLocks noChangeAspect="1" noChangeArrowheads="1"/>
                          </pic:cNvPicPr>
                        </pic:nvPicPr>
                        <pic:blipFill>
                          <a:blip r:embed="rId39"/>
                          <a:srcRect/>
                          <a:stretch>
                            <a:fillRect/>
                          </a:stretch>
                        </pic:blipFill>
                        <pic:spPr>
                          <a:xfrm>
                            <a:off x="0" y="0"/>
                            <a:ext cx="2160000" cy="1453714"/>
                          </a:xfrm>
                          <a:prstGeom prst="rect">
                            <a:avLst/>
                          </a:prstGeom>
                          <a:noFill/>
                        </pic:spPr>
                      </pic:pic>
                    </a:graphicData>
                  </a:graphic>
                </wp:inline>
              </w:drawing>
            </w:r>
          </w:p>
          <w:p w14:paraId="2781F6C5">
            <w:pPr>
              <w:pStyle w:val="78"/>
            </w:pPr>
            <w:r>
              <w:rPr>
                <w:rFonts w:hint="eastAsia"/>
              </w:rPr>
              <w:t>球罐区</w:t>
            </w:r>
          </w:p>
          <w:p w14:paraId="2D4F6962">
            <w:pPr>
              <w:pStyle w:val="78"/>
            </w:pPr>
            <w:r>
              <w:drawing>
                <wp:inline distT="0" distB="0" distL="0" distR="0">
                  <wp:extent cx="2159635" cy="1436370"/>
                  <wp:effectExtent l="0" t="0" r="0" b="0"/>
                  <wp:docPr id="2936751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5162" name="图片 17"/>
                          <pic:cNvPicPr>
                            <a:picLocks noChangeAspect="1" noChangeArrowheads="1"/>
                          </pic:cNvPicPr>
                        </pic:nvPicPr>
                        <pic:blipFill>
                          <a:blip r:embed="rId40"/>
                          <a:srcRect b="11231"/>
                          <a:stretch>
                            <a:fillRect/>
                          </a:stretch>
                        </pic:blipFill>
                        <pic:spPr>
                          <a:xfrm>
                            <a:off x="0" y="0"/>
                            <a:ext cx="2160000" cy="1436820"/>
                          </a:xfrm>
                          <a:prstGeom prst="rect">
                            <a:avLst/>
                          </a:prstGeom>
                          <a:noFill/>
                          <a:ln>
                            <a:noFill/>
                          </a:ln>
                        </pic:spPr>
                      </pic:pic>
                    </a:graphicData>
                  </a:graphic>
                </wp:inline>
              </w:drawing>
            </w:r>
          </w:p>
          <w:p w14:paraId="07015FFE">
            <w:pPr>
              <w:pStyle w:val="78"/>
            </w:pPr>
            <w:r>
              <w:rPr>
                <w:rFonts w:hint="eastAsia"/>
              </w:rPr>
              <w:t>球罐区围堰</w:t>
            </w:r>
          </w:p>
        </w:tc>
        <w:tc>
          <w:tcPr>
            <w:tcW w:w="2692" w:type="dxa"/>
            <w:vAlign w:val="center"/>
          </w:tcPr>
          <w:p w14:paraId="6E3194A4">
            <w:pPr>
              <w:pStyle w:val="78"/>
              <w:ind w:left="210" w:hanging="210" w:hangingChars="100"/>
              <w:jc w:val="left"/>
            </w:pPr>
            <w:r>
              <w:t>(</w:t>
            </w:r>
            <w:r>
              <w:rPr>
                <w:rFonts w:hint="eastAsia"/>
              </w:rPr>
              <w:t>1</w:t>
            </w:r>
            <w:r>
              <w:t>)</w:t>
            </w:r>
            <w:r>
              <w:rPr>
                <w:rFonts w:hint="eastAsia"/>
              </w:rPr>
              <w:t>普通阻隔设施；</w:t>
            </w:r>
          </w:p>
          <w:p w14:paraId="36B9582A">
            <w:pPr>
              <w:pStyle w:val="78"/>
              <w:ind w:left="210" w:hanging="210" w:hangingChars="100"/>
              <w:jc w:val="left"/>
            </w:pPr>
            <w:r>
              <w:rPr>
                <w:rFonts w:hint="eastAsia"/>
              </w:rPr>
              <w:t>(</w:t>
            </w:r>
            <w:r>
              <w:t>2)</w:t>
            </w:r>
            <w:r>
              <w:rPr>
                <w:rFonts w:hint="eastAsia"/>
              </w:rPr>
              <w:t>目视检查外壁是否有泄漏迹象；</w:t>
            </w:r>
          </w:p>
          <w:p w14:paraId="5ACC3F8E">
            <w:pPr>
              <w:pStyle w:val="78"/>
              <w:ind w:left="210" w:hanging="210" w:hangingChars="100"/>
              <w:jc w:val="left"/>
            </w:pPr>
            <w:r>
              <w:rPr>
                <w:rFonts w:hint="eastAsia"/>
              </w:rPr>
              <w:t>(</w:t>
            </w:r>
            <w:r>
              <w:t>3)</w:t>
            </w:r>
            <w:r>
              <w:rPr>
                <w:rFonts w:hint="eastAsia"/>
              </w:rPr>
              <w:t>有效应对泄漏事件（包括完善工作程序，定期开展巡查、检修以预防泄漏事件发生；明确责任人员，开展人员培训；保持充足事故应急物资。确保能及时处理泄漏或者泄漏隐患；处理受污染的土壤等）。</w:t>
            </w:r>
          </w:p>
        </w:tc>
        <w:tc>
          <w:tcPr>
            <w:tcW w:w="906" w:type="dxa"/>
            <w:vAlign w:val="center"/>
          </w:tcPr>
          <w:p w14:paraId="68AF11D6">
            <w:pPr>
              <w:pStyle w:val="78"/>
            </w:pPr>
            <w:r>
              <w:rPr>
                <w:rFonts w:hint="eastAsia"/>
              </w:rPr>
              <w:t>措施合理</w:t>
            </w:r>
          </w:p>
        </w:tc>
        <w:tc>
          <w:tcPr>
            <w:tcW w:w="1134" w:type="dxa"/>
            <w:vAlign w:val="center"/>
          </w:tcPr>
          <w:p w14:paraId="1F4C241F">
            <w:pPr>
              <w:pStyle w:val="78"/>
            </w:pPr>
            <w:r>
              <w:rPr>
                <w:rFonts w:hint="eastAsia"/>
              </w:rPr>
              <w:t>继续保持无需整改</w:t>
            </w:r>
          </w:p>
        </w:tc>
      </w:tr>
      <w:tr w14:paraId="1E8A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2D408E07">
            <w:pPr>
              <w:pStyle w:val="78"/>
            </w:pPr>
            <w:r>
              <w:rPr>
                <w:rFonts w:hint="eastAsia"/>
              </w:rPr>
              <w:t>2</w:t>
            </w:r>
          </w:p>
        </w:tc>
        <w:tc>
          <w:tcPr>
            <w:tcW w:w="990" w:type="dxa"/>
            <w:vAlign w:val="center"/>
          </w:tcPr>
          <w:p w14:paraId="20955DBD">
            <w:pPr>
              <w:pStyle w:val="78"/>
            </w:pPr>
            <w:r>
              <w:rPr>
                <w:rFonts w:hint="eastAsia"/>
              </w:rPr>
              <w:t>初期雨水收集池</w:t>
            </w:r>
          </w:p>
        </w:tc>
        <w:tc>
          <w:tcPr>
            <w:tcW w:w="1276" w:type="dxa"/>
            <w:vAlign w:val="center"/>
          </w:tcPr>
          <w:p w14:paraId="1D39E22C">
            <w:pPr>
              <w:pStyle w:val="78"/>
            </w:pPr>
            <w:r>
              <w:rPr>
                <w:rFonts w:hint="eastAsia"/>
              </w:rPr>
              <w:t>初期雨水池</w:t>
            </w:r>
          </w:p>
        </w:tc>
        <w:tc>
          <w:tcPr>
            <w:tcW w:w="2551" w:type="dxa"/>
            <w:vAlign w:val="center"/>
          </w:tcPr>
          <w:p w14:paraId="595147B4">
            <w:pPr>
              <w:pStyle w:val="78"/>
              <w:ind w:left="210" w:hanging="210" w:hangingChars="100"/>
              <w:jc w:val="left"/>
            </w:pPr>
            <w:r>
              <w:rPr>
                <w:rFonts w:hint="eastAsia"/>
              </w:rPr>
              <w:t>(1)</w:t>
            </w:r>
            <w:r>
              <w:t>地下</w:t>
            </w:r>
            <w:r>
              <w:rPr>
                <w:rFonts w:hint="eastAsia"/>
              </w:rPr>
              <w:t>防渗</w:t>
            </w:r>
            <w:r>
              <w:t>池体，无防腐，微量积泥；</w:t>
            </w:r>
          </w:p>
          <w:p w14:paraId="5B1FD38E">
            <w:pPr>
              <w:pStyle w:val="78"/>
              <w:ind w:left="210" w:hanging="210" w:hangingChars="100"/>
              <w:jc w:val="left"/>
            </w:pPr>
            <w:r>
              <w:rPr>
                <w:rFonts w:hint="eastAsia"/>
              </w:rPr>
              <w:t>(2)</w:t>
            </w:r>
            <w:r>
              <w:t>定期查看初期雨水池，对积泥部分进行清理；</w:t>
            </w:r>
          </w:p>
          <w:p w14:paraId="50A6628A">
            <w:pPr>
              <w:pStyle w:val="78"/>
              <w:ind w:left="210" w:hanging="210" w:hangingChars="100"/>
              <w:jc w:val="left"/>
            </w:pPr>
            <w:r>
              <w:rPr>
                <w:rFonts w:hint="eastAsia"/>
              </w:rPr>
              <w:t>(3)</w:t>
            </w:r>
            <w:r>
              <w:t>初期雨水池设置有</w:t>
            </w:r>
            <w:r>
              <w:rPr>
                <w:rFonts w:hint="eastAsia"/>
              </w:rPr>
              <w:t>自动溢流井</w:t>
            </w:r>
            <w:r>
              <w:t>，定期对其进行维护保养。</w:t>
            </w:r>
          </w:p>
        </w:tc>
        <w:tc>
          <w:tcPr>
            <w:tcW w:w="4107" w:type="dxa"/>
            <w:vAlign w:val="center"/>
          </w:tcPr>
          <w:p w14:paraId="5F951AAA">
            <w:pPr>
              <w:pStyle w:val="78"/>
            </w:pPr>
            <w:r>
              <w:drawing>
                <wp:inline distT="0" distB="0" distL="0" distR="0">
                  <wp:extent cx="2159635" cy="1409065"/>
                  <wp:effectExtent l="0" t="0" r="0" b="635"/>
                  <wp:docPr id="12215563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56301" name="图片 18"/>
                          <pic:cNvPicPr>
                            <a:picLocks noChangeAspect="1" noChangeArrowheads="1"/>
                          </pic:cNvPicPr>
                        </pic:nvPicPr>
                        <pic:blipFill>
                          <a:blip r:embed="rId41"/>
                          <a:srcRect b="12956"/>
                          <a:stretch>
                            <a:fillRect/>
                          </a:stretch>
                        </pic:blipFill>
                        <pic:spPr>
                          <a:xfrm>
                            <a:off x="0" y="0"/>
                            <a:ext cx="2160000" cy="1409620"/>
                          </a:xfrm>
                          <a:prstGeom prst="rect">
                            <a:avLst/>
                          </a:prstGeom>
                          <a:noFill/>
                          <a:ln>
                            <a:noFill/>
                          </a:ln>
                        </pic:spPr>
                      </pic:pic>
                    </a:graphicData>
                  </a:graphic>
                </wp:inline>
              </w:drawing>
            </w:r>
          </w:p>
          <w:p w14:paraId="7D27E1F6">
            <w:pPr>
              <w:pStyle w:val="78"/>
            </w:pPr>
            <w:r>
              <w:rPr>
                <w:rFonts w:hint="eastAsia"/>
              </w:rPr>
              <w:t>初期雨水收集池</w:t>
            </w:r>
          </w:p>
          <w:p w14:paraId="730A74C5">
            <w:pPr>
              <w:pStyle w:val="78"/>
            </w:pPr>
            <w:r>
              <w:drawing>
                <wp:inline distT="0" distB="0" distL="0" distR="0">
                  <wp:extent cx="2159635" cy="1397000"/>
                  <wp:effectExtent l="0" t="0" r="0" b="0"/>
                  <wp:docPr id="6454992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99208" name="图片 19"/>
                          <pic:cNvPicPr>
                            <a:picLocks noChangeAspect="1" noChangeArrowheads="1"/>
                          </pic:cNvPicPr>
                        </pic:nvPicPr>
                        <pic:blipFill>
                          <a:blip r:embed="rId42"/>
                          <a:srcRect t="5896"/>
                          <a:stretch>
                            <a:fillRect/>
                          </a:stretch>
                        </pic:blipFill>
                        <pic:spPr>
                          <a:xfrm>
                            <a:off x="0" y="0"/>
                            <a:ext cx="2164480" cy="1400614"/>
                          </a:xfrm>
                          <a:prstGeom prst="rect">
                            <a:avLst/>
                          </a:prstGeom>
                          <a:noFill/>
                          <a:ln>
                            <a:noFill/>
                          </a:ln>
                        </pic:spPr>
                      </pic:pic>
                    </a:graphicData>
                  </a:graphic>
                </wp:inline>
              </w:drawing>
            </w:r>
          </w:p>
          <w:p w14:paraId="1A1F1696">
            <w:pPr>
              <w:pStyle w:val="78"/>
            </w:pPr>
            <w:r>
              <w:rPr>
                <w:rFonts w:hint="eastAsia"/>
              </w:rPr>
              <w:t>自动溢流井</w:t>
            </w:r>
          </w:p>
        </w:tc>
        <w:tc>
          <w:tcPr>
            <w:tcW w:w="2692" w:type="dxa"/>
            <w:vAlign w:val="center"/>
          </w:tcPr>
          <w:p w14:paraId="07155E4C">
            <w:pPr>
              <w:pStyle w:val="78"/>
              <w:ind w:left="210" w:hanging="210" w:hangingChars="100"/>
              <w:jc w:val="left"/>
            </w:pPr>
            <w:r>
              <w:t>(1)定期检查泄漏检测设施，确保正常；</w:t>
            </w:r>
          </w:p>
          <w:p w14:paraId="0B929369">
            <w:pPr>
              <w:pStyle w:val="78"/>
              <w:jc w:val="left"/>
            </w:pPr>
            <w:r>
              <w:t>(2)日常目视检查</w:t>
            </w:r>
            <w:r>
              <w:rPr>
                <w:rFonts w:hint="eastAsia"/>
              </w:rPr>
              <w:t>；</w:t>
            </w:r>
          </w:p>
          <w:p w14:paraId="35B232CA">
            <w:pPr>
              <w:pStyle w:val="78"/>
              <w:jc w:val="left"/>
            </w:pPr>
            <w:r>
              <w:t>(3)日常维护。</w:t>
            </w:r>
          </w:p>
        </w:tc>
        <w:tc>
          <w:tcPr>
            <w:tcW w:w="906" w:type="dxa"/>
            <w:vAlign w:val="center"/>
          </w:tcPr>
          <w:p w14:paraId="10532F00">
            <w:pPr>
              <w:pStyle w:val="78"/>
            </w:pPr>
            <w:r>
              <w:rPr>
                <w:rFonts w:hint="eastAsia"/>
              </w:rPr>
              <w:t>措施合理</w:t>
            </w:r>
          </w:p>
        </w:tc>
        <w:tc>
          <w:tcPr>
            <w:tcW w:w="1134" w:type="dxa"/>
            <w:vAlign w:val="center"/>
          </w:tcPr>
          <w:p w14:paraId="623ECEA4">
            <w:pPr>
              <w:pStyle w:val="78"/>
            </w:pPr>
            <w:r>
              <w:rPr>
                <w:rFonts w:hint="eastAsia"/>
              </w:rPr>
              <w:t>继续保持无需整改</w:t>
            </w:r>
          </w:p>
        </w:tc>
      </w:tr>
      <w:tr w14:paraId="7469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3CA78ABF">
            <w:pPr>
              <w:pStyle w:val="78"/>
            </w:pPr>
            <w:r>
              <w:rPr>
                <w:rFonts w:hint="eastAsia"/>
              </w:rPr>
              <w:t>3</w:t>
            </w:r>
          </w:p>
        </w:tc>
        <w:tc>
          <w:tcPr>
            <w:tcW w:w="990" w:type="dxa"/>
            <w:vAlign w:val="center"/>
          </w:tcPr>
          <w:p w14:paraId="02829217">
            <w:pPr>
              <w:pStyle w:val="78"/>
            </w:pPr>
            <w:r>
              <w:t>供药、装卸、储存</w:t>
            </w:r>
          </w:p>
        </w:tc>
        <w:tc>
          <w:tcPr>
            <w:tcW w:w="1276" w:type="dxa"/>
            <w:vAlign w:val="center"/>
          </w:tcPr>
          <w:p w14:paraId="662B2185">
            <w:pPr>
              <w:pStyle w:val="78"/>
            </w:pPr>
            <w:r>
              <w:rPr>
                <w:rFonts w:hint="eastAsia"/>
              </w:rPr>
              <w:t>除盐水站加药间</w:t>
            </w:r>
          </w:p>
        </w:tc>
        <w:tc>
          <w:tcPr>
            <w:tcW w:w="2551" w:type="dxa"/>
            <w:vAlign w:val="center"/>
          </w:tcPr>
          <w:p w14:paraId="258B9671">
            <w:pPr>
              <w:pStyle w:val="78"/>
              <w:ind w:left="210" w:hanging="210" w:hangingChars="100"/>
              <w:jc w:val="left"/>
            </w:pPr>
            <w:r>
              <w:rPr>
                <w:rFonts w:hint="eastAsia"/>
              </w:rPr>
              <w:t>(1)除盐水站加药间分两间，酸碱物质分来存放；</w:t>
            </w:r>
          </w:p>
          <w:p w14:paraId="4458131D">
            <w:pPr>
              <w:pStyle w:val="78"/>
              <w:ind w:left="210" w:hanging="210" w:hangingChars="100"/>
              <w:jc w:val="left"/>
            </w:pPr>
            <w:r>
              <w:rPr>
                <w:rFonts w:hint="eastAsia"/>
              </w:rPr>
              <w:t>(2)药品使用原包装储存，均置于防渗托盘之上，且加药间设有围堰；</w:t>
            </w:r>
          </w:p>
          <w:p w14:paraId="16237B69">
            <w:pPr>
              <w:pStyle w:val="78"/>
              <w:jc w:val="left"/>
            </w:pPr>
            <w:r>
              <w:rPr>
                <w:rFonts w:hint="eastAsia"/>
              </w:rPr>
              <w:t>(3)地面已做防腐措施；</w:t>
            </w:r>
          </w:p>
          <w:p w14:paraId="45A1F879">
            <w:pPr>
              <w:pStyle w:val="78"/>
              <w:ind w:left="210" w:hanging="210" w:hangingChars="100"/>
              <w:jc w:val="left"/>
            </w:pPr>
            <w:r>
              <w:rPr>
                <w:rFonts w:hint="eastAsia"/>
              </w:rPr>
              <w:t>(4)</w:t>
            </w:r>
            <w:r>
              <w:t>该区域设有专人负责，并定期进行培训；</w:t>
            </w:r>
          </w:p>
          <w:p w14:paraId="66E5F984">
            <w:pPr>
              <w:pStyle w:val="78"/>
              <w:ind w:left="210" w:hanging="210" w:hangingChars="100"/>
              <w:jc w:val="left"/>
            </w:pPr>
            <w:r>
              <w:rPr>
                <w:rFonts w:hint="eastAsia"/>
              </w:rPr>
              <w:t>(5)</w:t>
            </w:r>
            <w:r>
              <w:t>定期针对“应对泄漏事件”进行演练；</w:t>
            </w:r>
          </w:p>
          <w:p w14:paraId="1FB1C8C2">
            <w:pPr>
              <w:pStyle w:val="78"/>
              <w:ind w:left="210" w:hanging="210" w:hangingChars="100"/>
              <w:jc w:val="left"/>
            </w:pPr>
            <w:r>
              <w:rPr>
                <w:rFonts w:hint="eastAsia"/>
              </w:rPr>
              <w:t>(6)</w:t>
            </w:r>
            <w:r>
              <w:t>人员</w:t>
            </w:r>
            <w:r>
              <w:rPr>
                <w:rFonts w:hint="eastAsia"/>
              </w:rPr>
              <w:t>定期</w:t>
            </w:r>
            <w:r>
              <w:t>做日常检查。</w:t>
            </w:r>
          </w:p>
        </w:tc>
        <w:tc>
          <w:tcPr>
            <w:tcW w:w="4107" w:type="dxa"/>
            <w:vAlign w:val="center"/>
          </w:tcPr>
          <w:p w14:paraId="2623606B">
            <w:pPr>
              <w:pStyle w:val="78"/>
            </w:pPr>
            <w:r>
              <w:drawing>
                <wp:inline distT="0" distB="0" distL="0" distR="0">
                  <wp:extent cx="2159000" cy="1357630"/>
                  <wp:effectExtent l="0" t="0" r="0" b="0"/>
                  <wp:docPr id="971523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2357" name="图片 27"/>
                          <pic:cNvPicPr>
                            <a:picLocks noChangeAspect="1" noChangeArrowheads="1"/>
                          </pic:cNvPicPr>
                        </pic:nvPicPr>
                        <pic:blipFill>
                          <a:blip r:embed="rId43"/>
                          <a:srcRect t="10046" b="6114"/>
                          <a:stretch>
                            <a:fillRect/>
                          </a:stretch>
                        </pic:blipFill>
                        <pic:spPr>
                          <a:xfrm>
                            <a:off x="0" y="0"/>
                            <a:ext cx="2160000" cy="1358350"/>
                          </a:xfrm>
                          <a:prstGeom prst="rect">
                            <a:avLst/>
                          </a:prstGeom>
                          <a:noFill/>
                          <a:ln>
                            <a:noFill/>
                          </a:ln>
                        </pic:spPr>
                      </pic:pic>
                    </a:graphicData>
                  </a:graphic>
                </wp:inline>
              </w:drawing>
            </w:r>
          </w:p>
          <w:p w14:paraId="40E80EEC">
            <w:pPr>
              <w:pStyle w:val="78"/>
            </w:pPr>
            <w:r>
              <w:rPr>
                <w:rFonts w:hint="eastAsia"/>
              </w:rPr>
              <w:t>除盐水站加药间1</w:t>
            </w:r>
          </w:p>
          <w:p w14:paraId="655C52D4">
            <w:pPr>
              <w:pStyle w:val="78"/>
            </w:pPr>
            <w:r>
              <w:drawing>
                <wp:inline distT="0" distB="0" distL="0" distR="0">
                  <wp:extent cx="2158365" cy="1282065"/>
                  <wp:effectExtent l="0" t="0" r="0" b="0"/>
                  <wp:docPr id="39437649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76494" name="图片 28"/>
                          <pic:cNvPicPr>
                            <a:picLocks noChangeAspect="1" noChangeArrowheads="1"/>
                          </pic:cNvPicPr>
                        </pic:nvPicPr>
                        <pic:blipFill>
                          <a:blip r:embed="rId44"/>
                          <a:srcRect t="15100" b="5700"/>
                          <a:stretch>
                            <a:fillRect/>
                          </a:stretch>
                        </pic:blipFill>
                        <pic:spPr>
                          <a:xfrm>
                            <a:off x="0" y="0"/>
                            <a:ext cx="2160000" cy="1283379"/>
                          </a:xfrm>
                          <a:prstGeom prst="rect">
                            <a:avLst/>
                          </a:prstGeom>
                          <a:noFill/>
                          <a:ln>
                            <a:noFill/>
                          </a:ln>
                        </pic:spPr>
                      </pic:pic>
                    </a:graphicData>
                  </a:graphic>
                </wp:inline>
              </w:drawing>
            </w:r>
          </w:p>
          <w:p w14:paraId="4730C2FF">
            <w:pPr>
              <w:pStyle w:val="78"/>
            </w:pPr>
            <w:r>
              <w:rPr>
                <w:rFonts w:hint="eastAsia"/>
              </w:rPr>
              <w:t>除盐水站加药间</w:t>
            </w:r>
            <w:r>
              <w:t>2</w:t>
            </w:r>
          </w:p>
          <w:p w14:paraId="750BD4AB">
            <w:pPr>
              <w:pStyle w:val="78"/>
            </w:pPr>
            <w:r>
              <w:drawing>
                <wp:inline distT="0" distB="0" distL="0" distR="0">
                  <wp:extent cx="2159000" cy="1193800"/>
                  <wp:effectExtent l="0" t="0" r="0" b="6350"/>
                  <wp:docPr id="20097373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37301" name="图片 29"/>
                          <pic:cNvPicPr>
                            <a:picLocks noChangeAspect="1" noChangeArrowheads="1"/>
                          </pic:cNvPicPr>
                        </pic:nvPicPr>
                        <pic:blipFill>
                          <a:blip r:embed="rId45"/>
                          <a:srcRect l="902" t="32090" r="9215" b="1640"/>
                          <a:stretch>
                            <a:fillRect/>
                          </a:stretch>
                        </pic:blipFill>
                        <pic:spPr>
                          <a:xfrm>
                            <a:off x="0" y="0"/>
                            <a:ext cx="2160000" cy="1194424"/>
                          </a:xfrm>
                          <a:prstGeom prst="rect">
                            <a:avLst/>
                          </a:prstGeom>
                          <a:noFill/>
                          <a:ln>
                            <a:noFill/>
                          </a:ln>
                        </pic:spPr>
                      </pic:pic>
                    </a:graphicData>
                  </a:graphic>
                </wp:inline>
              </w:drawing>
            </w:r>
          </w:p>
          <w:p w14:paraId="026F7201">
            <w:pPr>
              <w:pStyle w:val="78"/>
            </w:pPr>
            <w:r>
              <w:rPr>
                <w:rFonts w:hint="eastAsia"/>
              </w:rPr>
              <w:t>除盐水站围堰</w:t>
            </w:r>
          </w:p>
        </w:tc>
        <w:tc>
          <w:tcPr>
            <w:tcW w:w="2692" w:type="dxa"/>
            <w:vAlign w:val="center"/>
          </w:tcPr>
          <w:p w14:paraId="694C7631">
            <w:pPr>
              <w:pStyle w:val="78"/>
              <w:ind w:left="210" w:hanging="210" w:hangingChars="100"/>
              <w:jc w:val="left"/>
            </w:pPr>
            <w:r>
              <w:t>(1)液态物质：普通阻隔设施，采用合适包装，能防止雨水进入，或者</w:t>
            </w:r>
            <w:r>
              <w:rPr>
                <w:rFonts w:hint="eastAsia"/>
              </w:rPr>
              <w:t>及时</w:t>
            </w:r>
            <w:r>
              <w:t>有效排出雨水，渗漏、流失的液体能得到有效收集并定期清理</w:t>
            </w:r>
            <w:r>
              <w:rPr>
                <w:rFonts w:hint="eastAsia"/>
              </w:rPr>
              <w:t>；</w:t>
            </w:r>
          </w:p>
          <w:p w14:paraId="08753455">
            <w:pPr>
              <w:pStyle w:val="78"/>
              <w:ind w:left="210" w:hanging="210" w:hangingChars="100"/>
              <w:jc w:val="left"/>
            </w:pPr>
            <w:r>
              <w:rPr>
                <w:rFonts w:hint="eastAsia"/>
              </w:rPr>
              <w:t>(2)</w:t>
            </w:r>
            <w:r>
              <w:t>固态物质：普通阻隔设施，采用合适包装，日常目视检查，有效应对泄漏事件</w:t>
            </w:r>
            <w:r>
              <w:rPr>
                <w:rFonts w:hint="eastAsia"/>
              </w:rPr>
              <w:t>。</w:t>
            </w:r>
          </w:p>
        </w:tc>
        <w:tc>
          <w:tcPr>
            <w:tcW w:w="906" w:type="dxa"/>
            <w:vAlign w:val="center"/>
          </w:tcPr>
          <w:p w14:paraId="13655B8E">
            <w:pPr>
              <w:pStyle w:val="78"/>
            </w:pPr>
            <w:r>
              <w:rPr>
                <w:rFonts w:hint="eastAsia"/>
              </w:rPr>
              <w:t>措施合理</w:t>
            </w:r>
          </w:p>
        </w:tc>
        <w:tc>
          <w:tcPr>
            <w:tcW w:w="1134" w:type="dxa"/>
            <w:vAlign w:val="center"/>
          </w:tcPr>
          <w:p w14:paraId="3276034F">
            <w:pPr>
              <w:pStyle w:val="78"/>
            </w:pPr>
            <w:r>
              <w:rPr>
                <w:rFonts w:hint="eastAsia"/>
              </w:rPr>
              <w:t>继续保持无需整改</w:t>
            </w:r>
          </w:p>
        </w:tc>
      </w:tr>
      <w:tr w14:paraId="712F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19569807">
            <w:pPr>
              <w:pStyle w:val="78"/>
            </w:pPr>
            <w:r>
              <w:rPr>
                <w:rFonts w:hint="eastAsia"/>
              </w:rPr>
              <w:t>4</w:t>
            </w:r>
          </w:p>
        </w:tc>
        <w:tc>
          <w:tcPr>
            <w:tcW w:w="990" w:type="dxa"/>
            <w:vAlign w:val="center"/>
          </w:tcPr>
          <w:p w14:paraId="2A12FEEA">
            <w:pPr>
              <w:pStyle w:val="78"/>
            </w:pPr>
            <w:r>
              <w:rPr>
                <w:rFonts w:hint="eastAsia"/>
              </w:rPr>
              <w:t>装卸、储存</w:t>
            </w:r>
          </w:p>
        </w:tc>
        <w:tc>
          <w:tcPr>
            <w:tcW w:w="1276" w:type="dxa"/>
            <w:vAlign w:val="center"/>
          </w:tcPr>
          <w:p w14:paraId="35CA1D97">
            <w:pPr>
              <w:pStyle w:val="78"/>
            </w:pPr>
            <w:r>
              <w:rPr>
                <w:rFonts w:hint="eastAsia"/>
              </w:rPr>
              <w:t>化学品仓库</w:t>
            </w:r>
          </w:p>
        </w:tc>
        <w:tc>
          <w:tcPr>
            <w:tcW w:w="2551" w:type="dxa"/>
            <w:vAlign w:val="center"/>
          </w:tcPr>
          <w:p w14:paraId="5E5AE94F">
            <w:pPr>
              <w:pStyle w:val="78"/>
              <w:ind w:left="210" w:hanging="210" w:hangingChars="100"/>
              <w:jc w:val="left"/>
            </w:pPr>
            <w:r>
              <w:rPr>
                <w:rFonts w:hint="eastAsia"/>
              </w:rPr>
              <w:t>(1)</w:t>
            </w:r>
            <w:r>
              <w:t>化学品存放于室内仓库中，防雨</w:t>
            </w:r>
            <w:r>
              <w:rPr>
                <w:rFonts w:hint="eastAsia"/>
              </w:rPr>
              <w:t>防风防晒</w:t>
            </w:r>
            <w:r>
              <w:t>；</w:t>
            </w:r>
          </w:p>
          <w:p w14:paraId="7DA6ACC0">
            <w:pPr>
              <w:pStyle w:val="78"/>
              <w:jc w:val="left"/>
            </w:pPr>
            <w:r>
              <w:rPr>
                <w:rFonts w:hint="eastAsia"/>
              </w:rPr>
              <w:t>(2)四周设有收集沟</w:t>
            </w:r>
          </w:p>
          <w:p w14:paraId="78200153">
            <w:pPr>
              <w:pStyle w:val="78"/>
              <w:ind w:left="210" w:hanging="210" w:hangingChars="100"/>
              <w:jc w:val="left"/>
            </w:pPr>
            <w:r>
              <w:rPr>
                <w:rFonts w:hint="eastAsia"/>
              </w:rPr>
              <w:t>(3)</w:t>
            </w:r>
            <w:r>
              <w:t>定期针对“应对泄漏事件”进 行演练；</w:t>
            </w:r>
          </w:p>
          <w:p w14:paraId="25DE07BE">
            <w:pPr>
              <w:pStyle w:val="78"/>
              <w:ind w:left="210" w:hanging="210" w:hangingChars="100"/>
              <w:jc w:val="left"/>
            </w:pPr>
            <w:r>
              <w:rPr>
                <w:rFonts w:hint="eastAsia"/>
              </w:rPr>
              <w:t>(4)</w:t>
            </w:r>
            <w:r>
              <w:t>人员定期做日常检查，</w:t>
            </w:r>
            <w:r>
              <w:rPr>
                <w:rFonts w:hint="eastAsia"/>
              </w:rPr>
              <w:t>定期</w:t>
            </w:r>
            <w:r>
              <w:t>对化学品进行盘点。</w:t>
            </w:r>
          </w:p>
        </w:tc>
        <w:tc>
          <w:tcPr>
            <w:tcW w:w="4107" w:type="dxa"/>
            <w:vAlign w:val="center"/>
          </w:tcPr>
          <w:p w14:paraId="7677D3D8">
            <w:pPr>
              <w:pStyle w:val="78"/>
            </w:pPr>
            <w:r>
              <w:drawing>
                <wp:inline distT="0" distB="0" distL="0" distR="0">
                  <wp:extent cx="2159000" cy="1419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
                          <a:srcRect b="11364"/>
                          <a:stretch>
                            <a:fillRect/>
                          </a:stretch>
                        </pic:blipFill>
                        <pic:spPr>
                          <a:xfrm>
                            <a:off x="0" y="0"/>
                            <a:ext cx="2160000" cy="1419715"/>
                          </a:xfrm>
                          <a:prstGeom prst="rect">
                            <a:avLst/>
                          </a:prstGeom>
                          <a:ln>
                            <a:noFill/>
                          </a:ln>
                        </pic:spPr>
                      </pic:pic>
                    </a:graphicData>
                  </a:graphic>
                </wp:inline>
              </w:drawing>
            </w:r>
          </w:p>
          <w:p w14:paraId="51DBCE5A">
            <w:pPr>
              <w:pStyle w:val="78"/>
            </w:pPr>
            <w:r>
              <w:rPr>
                <w:rFonts w:hint="eastAsia"/>
              </w:rPr>
              <w:t>化学品仓库及收集沟</w:t>
            </w:r>
          </w:p>
        </w:tc>
        <w:tc>
          <w:tcPr>
            <w:tcW w:w="2692" w:type="dxa"/>
            <w:vAlign w:val="center"/>
          </w:tcPr>
          <w:p w14:paraId="788833B9">
            <w:pPr>
              <w:pStyle w:val="78"/>
            </w:pPr>
            <w:r>
              <w:t>固态物质：普通阻隔设施，采用合适包装，日常目视检查，有效应对泄漏事件</w:t>
            </w:r>
            <w:r>
              <w:rPr>
                <w:rFonts w:hint="eastAsia"/>
              </w:rPr>
              <w:t>。</w:t>
            </w:r>
          </w:p>
        </w:tc>
        <w:tc>
          <w:tcPr>
            <w:tcW w:w="906" w:type="dxa"/>
            <w:vAlign w:val="center"/>
          </w:tcPr>
          <w:p w14:paraId="1C354907">
            <w:pPr>
              <w:pStyle w:val="78"/>
            </w:pPr>
            <w:r>
              <w:rPr>
                <w:rFonts w:hint="eastAsia"/>
              </w:rPr>
              <w:t>措施合理</w:t>
            </w:r>
          </w:p>
        </w:tc>
        <w:tc>
          <w:tcPr>
            <w:tcW w:w="1134" w:type="dxa"/>
            <w:vAlign w:val="center"/>
          </w:tcPr>
          <w:p w14:paraId="433F5F18">
            <w:pPr>
              <w:pStyle w:val="78"/>
            </w:pPr>
            <w:r>
              <w:rPr>
                <w:rFonts w:hint="eastAsia"/>
              </w:rPr>
              <w:t>继续保持无需整改</w:t>
            </w:r>
          </w:p>
        </w:tc>
      </w:tr>
      <w:tr w14:paraId="5DD5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351D3EAC">
            <w:pPr>
              <w:pStyle w:val="78"/>
            </w:pPr>
            <w:r>
              <w:t>5</w:t>
            </w:r>
          </w:p>
        </w:tc>
        <w:tc>
          <w:tcPr>
            <w:tcW w:w="990" w:type="dxa"/>
            <w:vAlign w:val="center"/>
          </w:tcPr>
          <w:p w14:paraId="3DFA1192">
            <w:pPr>
              <w:pStyle w:val="78"/>
            </w:pPr>
            <w:r>
              <w:rPr>
                <w:rFonts w:hint="eastAsia"/>
              </w:rPr>
              <w:t>装卸、储存</w:t>
            </w:r>
          </w:p>
        </w:tc>
        <w:tc>
          <w:tcPr>
            <w:tcW w:w="1276" w:type="dxa"/>
            <w:vAlign w:val="center"/>
          </w:tcPr>
          <w:p w14:paraId="3D80D3A6">
            <w:pPr>
              <w:pStyle w:val="78"/>
            </w:pPr>
            <w:r>
              <w:rPr>
                <w:rFonts w:hint="eastAsia"/>
              </w:rPr>
              <w:t>危废库(液体储罐)</w:t>
            </w:r>
          </w:p>
        </w:tc>
        <w:tc>
          <w:tcPr>
            <w:tcW w:w="2551" w:type="dxa"/>
            <w:vAlign w:val="center"/>
          </w:tcPr>
          <w:p w14:paraId="4CE23353">
            <w:pPr>
              <w:pStyle w:val="78"/>
              <w:ind w:left="210" w:hanging="210" w:hangingChars="100"/>
              <w:jc w:val="left"/>
            </w:pPr>
            <w:r>
              <w:rPr>
                <w:rFonts w:hint="eastAsia"/>
              </w:rPr>
              <w:t>(1)</w:t>
            </w:r>
            <w:r>
              <w:t>单层</w:t>
            </w:r>
            <w:r>
              <w:rPr>
                <w:rFonts w:hint="eastAsia"/>
              </w:rPr>
              <w:t>铁桶储罐；</w:t>
            </w:r>
          </w:p>
          <w:p w14:paraId="4CF32A91">
            <w:pPr>
              <w:pStyle w:val="78"/>
              <w:ind w:left="210" w:hanging="210" w:hangingChars="100"/>
              <w:jc w:val="left"/>
            </w:pPr>
            <w:r>
              <w:rPr>
                <w:rFonts w:hint="eastAsia"/>
              </w:rPr>
              <w:t>(2)危废库内设有导流沟、门口设有漫坡；</w:t>
            </w:r>
          </w:p>
          <w:p w14:paraId="2C767A00">
            <w:pPr>
              <w:pStyle w:val="78"/>
              <w:ind w:left="210" w:hanging="210" w:hangingChars="100"/>
              <w:jc w:val="left"/>
            </w:pPr>
            <w:r>
              <w:rPr>
                <w:rFonts w:hint="eastAsia"/>
              </w:rPr>
              <w:t>(3)</w:t>
            </w:r>
            <w:r>
              <w:t>定期针对“应对泄漏事件”进行演练；</w:t>
            </w:r>
          </w:p>
          <w:p w14:paraId="12445755">
            <w:pPr>
              <w:pStyle w:val="78"/>
              <w:ind w:left="210" w:hanging="210" w:hangingChars="100"/>
              <w:jc w:val="left"/>
            </w:pPr>
            <w:r>
              <w:rPr>
                <w:rFonts w:hint="eastAsia"/>
              </w:rPr>
              <w:t>(4)</w:t>
            </w:r>
            <w:r>
              <w:t>人员</w:t>
            </w:r>
            <w:r>
              <w:rPr>
                <w:rFonts w:hint="eastAsia"/>
              </w:rPr>
              <w:t>定期</w:t>
            </w:r>
            <w:r>
              <w:t>日常检查，检查时观察外壁是否有泄漏现象；日常维护。</w:t>
            </w:r>
          </w:p>
        </w:tc>
        <w:tc>
          <w:tcPr>
            <w:tcW w:w="4107" w:type="dxa"/>
            <w:vAlign w:val="center"/>
          </w:tcPr>
          <w:p w14:paraId="56827943">
            <w:pPr>
              <w:pStyle w:val="78"/>
            </w:pPr>
            <w:r>
              <w:drawing>
                <wp:inline distT="0" distB="0" distL="0" distR="0">
                  <wp:extent cx="2159635" cy="1397000"/>
                  <wp:effectExtent l="0" t="0" r="0"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noChangeArrowheads="1"/>
                          </pic:cNvPicPr>
                        </pic:nvPicPr>
                        <pic:blipFill>
                          <a:blip r:embed="rId47"/>
                          <a:srcRect b="13696"/>
                          <a:stretch>
                            <a:fillRect/>
                          </a:stretch>
                        </pic:blipFill>
                        <pic:spPr>
                          <a:xfrm>
                            <a:off x="0" y="0"/>
                            <a:ext cx="2160000" cy="1397715"/>
                          </a:xfrm>
                          <a:prstGeom prst="rect">
                            <a:avLst/>
                          </a:prstGeom>
                          <a:noFill/>
                          <a:ln>
                            <a:noFill/>
                          </a:ln>
                        </pic:spPr>
                      </pic:pic>
                    </a:graphicData>
                  </a:graphic>
                </wp:inline>
              </w:drawing>
            </w:r>
          </w:p>
          <w:p w14:paraId="6672DFFF">
            <w:pPr>
              <w:pStyle w:val="78"/>
            </w:pPr>
            <w:r>
              <w:rPr>
                <w:rFonts w:hint="eastAsia"/>
              </w:rPr>
              <w:t>危废库及门口漫坡</w:t>
            </w:r>
          </w:p>
          <w:p w14:paraId="60081F9D">
            <w:pPr>
              <w:pStyle w:val="78"/>
            </w:pPr>
            <w:r>
              <w:drawing>
                <wp:inline distT="0" distB="0" distL="0" distR="0">
                  <wp:extent cx="2159635" cy="1619250"/>
                  <wp:effectExtent l="0" t="0" r="0" b="0"/>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noChangeArrowheads="1"/>
                          </pic:cNvPicPr>
                        </pic:nvPicPr>
                        <pic:blipFill>
                          <a:blip r:embed="rId48"/>
                          <a:srcRect/>
                          <a:stretch>
                            <a:fillRect/>
                          </a:stretch>
                        </pic:blipFill>
                        <pic:spPr>
                          <a:xfrm>
                            <a:off x="0" y="0"/>
                            <a:ext cx="2160000" cy="1619769"/>
                          </a:xfrm>
                          <a:prstGeom prst="rect">
                            <a:avLst/>
                          </a:prstGeom>
                          <a:noFill/>
                          <a:ln>
                            <a:noFill/>
                          </a:ln>
                        </pic:spPr>
                      </pic:pic>
                    </a:graphicData>
                  </a:graphic>
                </wp:inline>
              </w:drawing>
            </w:r>
          </w:p>
          <w:p w14:paraId="32B1AC0B">
            <w:pPr>
              <w:pStyle w:val="78"/>
            </w:pPr>
            <w:r>
              <w:rPr>
                <w:rFonts w:hint="eastAsia"/>
              </w:rPr>
              <w:t>分类贮存</w:t>
            </w:r>
          </w:p>
          <w:p w14:paraId="6521EBF3">
            <w:pPr>
              <w:pStyle w:val="78"/>
            </w:pPr>
            <w:r>
              <w:drawing>
                <wp:inline distT="0" distB="0" distL="0" distR="0">
                  <wp:extent cx="1355090" cy="2159635"/>
                  <wp:effectExtent l="0" t="2223" r="0" b="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noChangeArrowheads="1"/>
                          </pic:cNvPicPr>
                        </pic:nvPicPr>
                        <pic:blipFill>
                          <a:blip r:embed="rId49"/>
                          <a:srcRect l="25326" t="16564"/>
                          <a:stretch>
                            <a:fillRect/>
                          </a:stretch>
                        </pic:blipFill>
                        <pic:spPr>
                          <a:xfrm rot="16200000">
                            <a:off x="0" y="0"/>
                            <a:ext cx="1357778" cy="2163444"/>
                          </a:xfrm>
                          <a:prstGeom prst="rect">
                            <a:avLst/>
                          </a:prstGeom>
                          <a:noFill/>
                          <a:ln>
                            <a:noFill/>
                          </a:ln>
                        </pic:spPr>
                      </pic:pic>
                    </a:graphicData>
                  </a:graphic>
                </wp:inline>
              </w:drawing>
            </w:r>
          </w:p>
          <w:p w14:paraId="62D70B0E">
            <w:pPr>
              <w:pStyle w:val="78"/>
            </w:pPr>
            <w:r>
              <w:rPr>
                <w:rFonts w:hint="eastAsia"/>
              </w:rPr>
              <w:t>收集沟</w:t>
            </w:r>
          </w:p>
        </w:tc>
        <w:tc>
          <w:tcPr>
            <w:tcW w:w="2692" w:type="dxa"/>
            <w:vAlign w:val="center"/>
          </w:tcPr>
          <w:p w14:paraId="6ECFF43F">
            <w:pPr>
              <w:pStyle w:val="78"/>
              <w:jc w:val="left"/>
            </w:pPr>
            <w:r>
              <w:t>单层耐腐蚀非金属材质储罐，地下水或土壤气监测井，定期开展地下水或者土壤气监测</w:t>
            </w:r>
          </w:p>
        </w:tc>
        <w:tc>
          <w:tcPr>
            <w:tcW w:w="906" w:type="dxa"/>
            <w:vAlign w:val="center"/>
          </w:tcPr>
          <w:p w14:paraId="3AD9FEC3">
            <w:pPr>
              <w:pStyle w:val="78"/>
            </w:pPr>
            <w:r>
              <w:rPr>
                <w:rFonts w:hint="eastAsia"/>
              </w:rPr>
              <w:t>措施合理</w:t>
            </w:r>
          </w:p>
        </w:tc>
        <w:tc>
          <w:tcPr>
            <w:tcW w:w="1134" w:type="dxa"/>
            <w:vAlign w:val="center"/>
          </w:tcPr>
          <w:p w14:paraId="580F4BA4">
            <w:pPr>
              <w:pStyle w:val="78"/>
            </w:pPr>
            <w:r>
              <w:rPr>
                <w:rFonts w:hint="eastAsia"/>
              </w:rPr>
              <w:t>继续保持无需整改</w:t>
            </w:r>
          </w:p>
        </w:tc>
      </w:tr>
      <w:tr w14:paraId="360E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380C1AE4">
            <w:pPr>
              <w:pStyle w:val="78"/>
            </w:pPr>
            <w:r>
              <w:rPr>
                <w:rFonts w:hint="eastAsia"/>
              </w:rPr>
              <w:t>6</w:t>
            </w:r>
          </w:p>
        </w:tc>
        <w:tc>
          <w:tcPr>
            <w:tcW w:w="990" w:type="dxa"/>
            <w:vAlign w:val="center"/>
          </w:tcPr>
          <w:p w14:paraId="43706DD3">
            <w:pPr>
              <w:pStyle w:val="78"/>
            </w:pPr>
            <w:r>
              <w:rPr>
                <w:rFonts w:hint="eastAsia"/>
              </w:rPr>
              <w:t>储存</w:t>
            </w:r>
          </w:p>
        </w:tc>
        <w:tc>
          <w:tcPr>
            <w:tcW w:w="1276" w:type="dxa"/>
            <w:vAlign w:val="center"/>
          </w:tcPr>
          <w:p w14:paraId="4B321F0E">
            <w:pPr>
              <w:pStyle w:val="78"/>
            </w:pPr>
            <w:r>
              <w:rPr>
                <w:rFonts w:hint="eastAsia"/>
              </w:rPr>
              <w:t>生产污水池</w:t>
            </w:r>
          </w:p>
        </w:tc>
        <w:tc>
          <w:tcPr>
            <w:tcW w:w="2551" w:type="dxa"/>
            <w:vAlign w:val="center"/>
          </w:tcPr>
          <w:p w14:paraId="6E1411A6">
            <w:pPr>
              <w:pStyle w:val="78"/>
              <w:jc w:val="left"/>
            </w:pPr>
            <w:r>
              <w:rPr>
                <w:rFonts w:hint="eastAsia"/>
              </w:rPr>
              <w:t>(1)防渗池体，池底埋深4</w:t>
            </w:r>
            <w:r>
              <w:t>.5</w:t>
            </w:r>
            <w:r>
              <w:rPr>
                <w:rFonts w:hint="eastAsia"/>
              </w:rPr>
              <w:t>m以内。</w:t>
            </w:r>
          </w:p>
          <w:p w14:paraId="78DDF952">
            <w:pPr>
              <w:pStyle w:val="78"/>
              <w:ind w:left="210" w:hanging="210" w:hangingChars="100"/>
              <w:jc w:val="left"/>
            </w:pPr>
            <w:r>
              <w:rPr>
                <w:rFonts w:hint="eastAsia"/>
              </w:rPr>
              <w:t>(</w:t>
            </w:r>
            <w:r>
              <w:t>2</w:t>
            </w:r>
            <w:r>
              <w:rPr>
                <w:rFonts w:hint="eastAsia"/>
              </w:rPr>
              <w:t>)</w:t>
            </w:r>
            <w:r>
              <w:t>定期针对“应对泄漏事件”进行演练；</w:t>
            </w:r>
          </w:p>
          <w:p w14:paraId="5CDE2909">
            <w:pPr>
              <w:pStyle w:val="78"/>
              <w:jc w:val="left"/>
            </w:pPr>
            <w:r>
              <w:rPr>
                <w:rFonts w:hint="eastAsia"/>
              </w:rPr>
              <w:t>(</w:t>
            </w:r>
            <w:r>
              <w:t>3</w:t>
            </w:r>
            <w:r>
              <w:rPr>
                <w:rFonts w:hint="eastAsia"/>
              </w:rPr>
              <w:t>)</w:t>
            </w:r>
            <w:r>
              <w:t>人员</w:t>
            </w:r>
            <w:r>
              <w:rPr>
                <w:rFonts w:hint="eastAsia"/>
              </w:rPr>
              <w:t>定时</w:t>
            </w:r>
            <w:r>
              <w:t>做日常检查；日常维护。</w:t>
            </w:r>
          </w:p>
        </w:tc>
        <w:tc>
          <w:tcPr>
            <w:tcW w:w="4107" w:type="dxa"/>
            <w:vAlign w:val="center"/>
          </w:tcPr>
          <w:p w14:paraId="4D1AA1FB">
            <w:pPr>
              <w:pStyle w:val="78"/>
            </w:pPr>
            <w:r>
              <w:drawing>
                <wp:inline distT="0" distB="0" distL="0" distR="0">
                  <wp:extent cx="1612265" cy="2159635"/>
                  <wp:effectExtent l="0" t="6985" r="0" b="0"/>
                  <wp:docPr id="14488584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58487" name="图片 30"/>
                          <pic:cNvPicPr>
                            <a:picLocks noChangeAspect="1" noChangeArrowheads="1"/>
                          </pic:cNvPicPr>
                        </pic:nvPicPr>
                        <pic:blipFill>
                          <a:blip r:embed="rId50"/>
                          <a:srcRect l="18838" r="12505"/>
                          <a:stretch>
                            <a:fillRect/>
                          </a:stretch>
                        </pic:blipFill>
                        <pic:spPr>
                          <a:xfrm rot="5400000">
                            <a:off x="0" y="0"/>
                            <a:ext cx="1612535" cy="2160000"/>
                          </a:xfrm>
                          <a:prstGeom prst="rect">
                            <a:avLst/>
                          </a:prstGeom>
                          <a:noFill/>
                          <a:ln>
                            <a:noFill/>
                          </a:ln>
                        </pic:spPr>
                      </pic:pic>
                    </a:graphicData>
                  </a:graphic>
                </wp:inline>
              </w:drawing>
            </w:r>
          </w:p>
          <w:p w14:paraId="51D92D03">
            <w:pPr>
              <w:pStyle w:val="78"/>
            </w:pPr>
            <w:r>
              <w:rPr>
                <w:rFonts w:hint="eastAsia"/>
              </w:rPr>
              <w:t>生产污水池</w:t>
            </w:r>
          </w:p>
        </w:tc>
        <w:tc>
          <w:tcPr>
            <w:tcW w:w="2692" w:type="dxa"/>
            <w:vAlign w:val="center"/>
          </w:tcPr>
          <w:p w14:paraId="13A0B7C4">
            <w:pPr>
              <w:pStyle w:val="78"/>
              <w:jc w:val="left"/>
            </w:pPr>
            <w:r>
              <w:rPr>
                <w:rFonts w:hint="eastAsia"/>
              </w:rPr>
              <w:t>防渗池体；定期检查防渗、密封效果；日常目视检查；日常维护</w:t>
            </w:r>
          </w:p>
        </w:tc>
        <w:tc>
          <w:tcPr>
            <w:tcW w:w="906" w:type="dxa"/>
            <w:vAlign w:val="center"/>
          </w:tcPr>
          <w:p w14:paraId="17B68E5B">
            <w:pPr>
              <w:pStyle w:val="78"/>
            </w:pPr>
            <w:r>
              <w:rPr>
                <w:rFonts w:hint="eastAsia"/>
              </w:rPr>
              <w:t>措施合理</w:t>
            </w:r>
          </w:p>
        </w:tc>
        <w:tc>
          <w:tcPr>
            <w:tcW w:w="1134" w:type="dxa"/>
            <w:vAlign w:val="center"/>
          </w:tcPr>
          <w:p w14:paraId="517FFCB8">
            <w:pPr>
              <w:pStyle w:val="78"/>
            </w:pPr>
            <w:r>
              <w:rPr>
                <w:rFonts w:hint="eastAsia"/>
              </w:rPr>
              <w:t>继续保持无需整改</w:t>
            </w:r>
          </w:p>
        </w:tc>
      </w:tr>
    </w:tbl>
    <w:p w14:paraId="7CB13DF2">
      <w:pPr>
        <w:pStyle w:val="3"/>
        <w:ind w:firstLine="480"/>
      </w:pPr>
    </w:p>
    <w:p w14:paraId="33AD2DE6">
      <w:pPr>
        <w:pStyle w:val="3"/>
        <w:ind w:firstLine="480"/>
        <w:sectPr>
          <w:pgSz w:w="16838" w:h="11906" w:orient="landscape"/>
          <w:pgMar w:top="1800" w:right="1440" w:bottom="1800" w:left="1440" w:header="851" w:footer="992" w:gutter="0"/>
          <w:cols w:space="425" w:num="1"/>
          <w:docGrid w:type="lines" w:linePitch="326" w:charSpace="0"/>
        </w:sectPr>
      </w:pPr>
    </w:p>
    <w:p w14:paraId="100C84D3">
      <w:pPr>
        <w:pStyle w:val="5"/>
        <w:rPr>
          <w:color w:val="auto"/>
        </w:rPr>
      </w:pPr>
      <w:r>
        <w:rPr>
          <w:color w:val="auto"/>
        </w:rPr>
        <w:t>散状液体转运与厂内运输区</w:t>
      </w:r>
    </w:p>
    <w:p w14:paraId="484DF9DA">
      <w:pPr>
        <w:pStyle w:val="3"/>
        <w:ind w:firstLine="480"/>
      </w:pPr>
      <w:r>
        <w:t>散装液体转运与厂内运输的可分为散装液体物料装卸、管道运输、导淋、传输泵四种情况，根据比对本公司情况，涉及的为散装液体物料装卸</w:t>
      </w:r>
      <w:r>
        <w:rPr>
          <w:rFonts w:hint="eastAsia"/>
        </w:rPr>
        <w:t>、</w:t>
      </w:r>
      <w:r>
        <w:t>管道运输</w:t>
      </w:r>
      <w:r>
        <w:rPr>
          <w:rFonts w:hint="eastAsia"/>
        </w:rPr>
        <w:t>、传输泵3</w:t>
      </w:r>
      <w:r>
        <w:t>种情况。</w:t>
      </w:r>
    </w:p>
    <w:p w14:paraId="738F5C33">
      <w:pPr>
        <w:pStyle w:val="6"/>
      </w:pPr>
      <w:r>
        <w:rPr>
          <w:rFonts w:hint="eastAsia"/>
        </w:rPr>
        <w:t>散装液体物料装卸</w:t>
      </w:r>
    </w:p>
    <w:p w14:paraId="700C2372">
      <w:pPr>
        <w:pStyle w:val="3"/>
        <w:ind w:firstLine="480"/>
      </w:pPr>
      <w:r>
        <w:rPr>
          <w:rFonts w:hint="eastAsia"/>
        </w:rPr>
        <w:t>公司内</w:t>
      </w:r>
      <w:r>
        <w:t>散装液体物料装卸</w:t>
      </w:r>
      <w:r>
        <w:rPr>
          <w:rFonts w:hint="eastAsia"/>
        </w:rPr>
        <w:t>区主要为装卸车装置区，</w:t>
      </w:r>
      <w:r>
        <w:t>造成土壤污染主要有两种情况，第一种是液体物料的满溢；第二种是装卸完成后，出料口及相关配件中残余液体物料的滴漏。</w:t>
      </w:r>
      <w:r>
        <w:rPr>
          <w:rFonts w:hint="eastAsia"/>
        </w:rPr>
        <w:t>根据</w:t>
      </w:r>
      <w:r>
        <w:t>表A.2.1，</w:t>
      </w:r>
      <w:r>
        <w:rPr>
          <w:rFonts w:hint="eastAsia"/>
        </w:rPr>
        <w:t>底部装卸时需有普通阻隔设施，且能防止雨水进入，或者及时有效排出雨水；溢流保护装置；渗漏、流失的液体能得到有效收集并定期清理；自动化控制或者由熟练工操作；设置清洗的灌注和抽出说明标识牌，特别注意输送软管与装载车连接处；有效应对泄漏事件。</w:t>
      </w:r>
    </w:p>
    <w:p w14:paraId="1ACC4CEA">
      <w:pPr>
        <w:pStyle w:val="3"/>
        <w:ind w:firstLine="480"/>
      </w:pPr>
      <w:r>
        <w:t>根据调查，公司装卸过程已做好以下防护措施：</w:t>
      </w:r>
    </w:p>
    <w:p w14:paraId="2AAF802E">
      <w:pPr>
        <w:pStyle w:val="3"/>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装卸车装置</w:t>
      </w:r>
      <w:r>
        <w:t>里有设置有溢流保护装置；</w:t>
      </w:r>
    </w:p>
    <w:p w14:paraId="29D53004">
      <w:pPr>
        <w:pStyle w:val="3"/>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装卸一般选取晴天进行；</w:t>
      </w:r>
    </w:p>
    <w:p w14:paraId="729FD1FB">
      <w:pPr>
        <w:pStyle w:val="3"/>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t>装卸过程中，裸露在地面上的装卸点如管道接口处、阀门处等区域均在地下放置有托盘，用于装载滴漏的液体原料；</w:t>
      </w:r>
    </w:p>
    <w:p w14:paraId="784783CA">
      <w:pPr>
        <w:pStyle w:val="3"/>
        <w:ind w:firstLine="48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t>区域四周还随时准备有</w:t>
      </w:r>
      <w:r>
        <w:rPr>
          <w:rFonts w:hint="eastAsia"/>
        </w:rPr>
        <w:t>吸油棉</w:t>
      </w:r>
      <w:r>
        <w:t>、应急沙等应急物资；</w:t>
      </w:r>
    </w:p>
    <w:p w14:paraId="6A97D517">
      <w:pPr>
        <w:pStyle w:val="3"/>
        <w:ind w:firstLine="48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t xml:space="preserve">装卸过程配置专人看管，若随时发生泄漏等其他险情，能及时应对处理； </w:t>
      </w:r>
    </w:p>
    <w:p w14:paraId="5DD6C52C">
      <w:pPr>
        <w:pStyle w:val="3"/>
        <w:ind w:firstLine="48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t>全厂设置有事故</w:t>
      </w:r>
      <w:r>
        <w:rPr>
          <w:rFonts w:hint="eastAsia"/>
        </w:rPr>
        <w:t>水池</w:t>
      </w:r>
      <w:r>
        <w:t>、雨水</w:t>
      </w:r>
      <w:r>
        <w:rPr>
          <w:rFonts w:hint="eastAsia"/>
        </w:rPr>
        <w:t>监控池（出水闸门常闭）</w:t>
      </w:r>
      <w:r>
        <w:t>，发生泄漏到雨水管道中，亦可截住泄漏液体</w:t>
      </w:r>
      <w:r>
        <w:rPr>
          <w:rFonts w:hint="eastAsia"/>
        </w:rPr>
        <w:t>；</w:t>
      </w:r>
    </w:p>
    <w:p w14:paraId="3E058161">
      <w:pPr>
        <w:pStyle w:val="3"/>
        <w:ind w:firstLine="48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定期</w:t>
      </w:r>
      <w:r>
        <w:t>对“应对泄漏事件”进行演练</w:t>
      </w:r>
      <w:r>
        <w:rPr>
          <w:rFonts w:hint="eastAsia"/>
        </w:rPr>
        <w:t>。</w:t>
      </w:r>
    </w:p>
    <w:p w14:paraId="259E50D7">
      <w:pPr>
        <w:pStyle w:val="3"/>
        <w:ind w:firstLine="480"/>
      </w:pPr>
      <w:r>
        <w:t>企业基本做好以上土壤污染预防设施及功能，但装卸区域暂未设置清晰的灌注和抽出说明标识牌，建议整改。</w:t>
      </w:r>
    </w:p>
    <w:tbl>
      <w:tblPr>
        <w:tblStyle w:val="4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4"/>
        <w:gridCol w:w="4184"/>
      </w:tblGrid>
      <w:tr w14:paraId="5FD5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4145" w:type="dxa"/>
            <w:vAlign w:val="center"/>
          </w:tcPr>
          <w:p w14:paraId="0B49DDBE">
            <w:pPr>
              <w:pStyle w:val="78"/>
            </w:pPr>
            <w:r>
              <w:drawing>
                <wp:inline distT="0" distB="0" distL="0" distR="0">
                  <wp:extent cx="2519680" cy="1888490"/>
                  <wp:effectExtent l="0" t="0" r="0" b="0"/>
                  <wp:docPr id="16178605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60588" name="图片 13"/>
                          <pic:cNvPicPr>
                            <a:picLocks noChangeAspect="1" noChangeArrowheads="1"/>
                          </pic:cNvPicPr>
                        </pic:nvPicPr>
                        <pic:blipFill>
                          <a:blip r:embed="rId51"/>
                          <a:srcRect/>
                          <a:stretch>
                            <a:fillRect/>
                          </a:stretch>
                        </pic:blipFill>
                        <pic:spPr>
                          <a:xfrm>
                            <a:off x="0" y="0"/>
                            <a:ext cx="2520000" cy="1888635"/>
                          </a:xfrm>
                          <a:prstGeom prst="rect">
                            <a:avLst/>
                          </a:prstGeom>
                          <a:noFill/>
                          <a:ln>
                            <a:noFill/>
                          </a:ln>
                        </pic:spPr>
                      </pic:pic>
                    </a:graphicData>
                  </a:graphic>
                </wp:inline>
              </w:drawing>
            </w:r>
          </w:p>
        </w:tc>
        <w:tc>
          <w:tcPr>
            <w:tcW w:w="4151" w:type="dxa"/>
            <w:vAlign w:val="center"/>
          </w:tcPr>
          <w:p w14:paraId="2BCC834A">
            <w:pPr>
              <w:pStyle w:val="78"/>
            </w:pPr>
            <w:r>
              <w:drawing>
                <wp:inline distT="0" distB="0" distL="0" distR="0">
                  <wp:extent cx="2519680" cy="1888490"/>
                  <wp:effectExtent l="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noChangeArrowheads="1"/>
                          </pic:cNvPicPr>
                        </pic:nvPicPr>
                        <pic:blipFill>
                          <a:blip r:embed="rId52"/>
                          <a:srcRect/>
                          <a:stretch>
                            <a:fillRect/>
                          </a:stretch>
                        </pic:blipFill>
                        <pic:spPr>
                          <a:xfrm>
                            <a:off x="0" y="0"/>
                            <a:ext cx="2520000" cy="1888634"/>
                          </a:xfrm>
                          <a:prstGeom prst="rect">
                            <a:avLst/>
                          </a:prstGeom>
                          <a:noFill/>
                          <a:ln>
                            <a:noFill/>
                          </a:ln>
                        </pic:spPr>
                      </pic:pic>
                    </a:graphicData>
                  </a:graphic>
                </wp:inline>
              </w:drawing>
            </w:r>
          </w:p>
        </w:tc>
      </w:tr>
      <w:tr w14:paraId="5921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5" w:type="dxa"/>
            <w:vAlign w:val="center"/>
          </w:tcPr>
          <w:p w14:paraId="19386A42">
            <w:pPr>
              <w:pStyle w:val="78"/>
            </w:pPr>
            <w:r>
              <w:rPr>
                <w:rFonts w:hint="eastAsia"/>
              </w:rPr>
              <w:t>装卸平台</w:t>
            </w:r>
          </w:p>
        </w:tc>
        <w:tc>
          <w:tcPr>
            <w:tcW w:w="4151" w:type="dxa"/>
            <w:vAlign w:val="center"/>
          </w:tcPr>
          <w:p w14:paraId="24512C69">
            <w:pPr>
              <w:pStyle w:val="78"/>
            </w:pPr>
            <w:r>
              <w:rPr>
                <w:rFonts w:hint="eastAsia"/>
              </w:rPr>
              <w:t>截流沟与托盘</w:t>
            </w:r>
          </w:p>
        </w:tc>
      </w:tr>
      <w:tr w14:paraId="3D3C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5" w:type="dxa"/>
            <w:vAlign w:val="center"/>
          </w:tcPr>
          <w:p w14:paraId="766ED349">
            <w:pPr>
              <w:pStyle w:val="78"/>
            </w:pPr>
            <w:r>
              <w:drawing>
                <wp:inline distT="0" distB="0" distL="0" distR="0">
                  <wp:extent cx="2519680" cy="1887855"/>
                  <wp:effectExtent l="0" t="0" r="0" b="0"/>
                  <wp:docPr id="6494203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20349" name="图片 15"/>
                          <pic:cNvPicPr>
                            <a:picLocks noChangeAspect="1" noChangeArrowheads="1"/>
                          </pic:cNvPicPr>
                        </pic:nvPicPr>
                        <pic:blipFill>
                          <a:blip r:embed="rId53"/>
                          <a:srcRect/>
                          <a:stretch>
                            <a:fillRect/>
                          </a:stretch>
                        </pic:blipFill>
                        <pic:spPr>
                          <a:xfrm>
                            <a:off x="0" y="0"/>
                            <a:ext cx="2520000" cy="1888203"/>
                          </a:xfrm>
                          <a:prstGeom prst="rect">
                            <a:avLst/>
                          </a:prstGeom>
                          <a:noFill/>
                          <a:ln>
                            <a:noFill/>
                          </a:ln>
                        </pic:spPr>
                      </pic:pic>
                    </a:graphicData>
                  </a:graphic>
                </wp:inline>
              </w:drawing>
            </w:r>
          </w:p>
        </w:tc>
        <w:tc>
          <w:tcPr>
            <w:tcW w:w="4151" w:type="dxa"/>
            <w:vAlign w:val="center"/>
          </w:tcPr>
          <w:p w14:paraId="14AC9E2B">
            <w:pPr>
              <w:pStyle w:val="78"/>
            </w:pPr>
            <w:r>
              <w:drawing>
                <wp:inline distT="0" distB="0" distL="0" distR="0">
                  <wp:extent cx="2519680" cy="1888490"/>
                  <wp:effectExtent l="0" t="0" r="0" b="0"/>
                  <wp:docPr id="11456653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65385" name="图片 16"/>
                          <pic:cNvPicPr>
                            <a:picLocks noChangeAspect="1" noChangeArrowheads="1"/>
                          </pic:cNvPicPr>
                        </pic:nvPicPr>
                        <pic:blipFill>
                          <a:blip r:embed="rId54"/>
                          <a:srcRect/>
                          <a:stretch>
                            <a:fillRect/>
                          </a:stretch>
                        </pic:blipFill>
                        <pic:spPr>
                          <a:xfrm>
                            <a:off x="0" y="0"/>
                            <a:ext cx="2520000" cy="1888635"/>
                          </a:xfrm>
                          <a:prstGeom prst="rect">
                            <a:avLst/>
                          </a:prstGeom>
                          <a:noFill/>
                          <a:ln>
                            <a:noFill/>
                          </a:ln>
                        </pic:spPr>
                      </pic:pic>
                    </a:graphicData>
                  </a:graphic>
                </wp:inline>
              </w:drawing>
            </w:r>
          </w:p>
        </w:tc>
      </w:tr>
      <w:tr w14:paraId="5B3C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5" w:type="dxa"/>
            <w:vAlign w:val="center"/>
          </w:tcPr>
          <w:p w14:paraId="590CB498">
            <w:pPr>
              <w:pStyle w:val="78"/>
            </w:pPr>
            <w:r>
              <w:rPr>
                <w:rFonts w:hint="eastAsia"/>
              </w:rPr>
              <w:t>应急物资1</w:t>
            </w:r>
          </w:p>
        </w:tc>
        <w:tc>
          <w:tcPr>
            <w:tcW w:w="4151" w:type="dxa"/>
            <w:vAlign w:val="center"/>
          </w:tcPr>
          <w:p w14:paraId="5779158A">
            <w:pPr>
              <w:pStyle w:val="78"/>
            </w:pPr>
            <w:r>
              <w:rPr>
                <w:rFonts w:hint="eastAsia"/>
              </w:rPr>
              <w:t>应急物资</w:t>
            </w:r>
            <w:r>
              <w:t>2</w:t>
            </w:r>
          </w:p>
        </w:tc>
      </w:tr>
    </w:tbl>
    <w:p w14:paraId="6D20B585">
      <w:pPr>
        <w:pStyle w:val="14"/>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装卸平台照片</w:t>
      </w:r>
    </w:p>
    <w:p w14:paraId="59285ED2">
      <w:pPr>
        <w:pStyle w:val="6"/>
      </w:pPr>
      <w:r>
        <w:rPr>
          <w:rFonts w:hint="eastAsia"/>
        </w:rPr>
        <w:t>管道运输</w:t>
      </w:r>
    </w:p>
    <w:p w14:paraId="58593DBA">
      <w:pPr>
        <w:pStyle w:val="3"/>
        <w:ind w:firstLine="480"/>
      </w:pPr>
      <w:r>
        <w:rPr>
          <w:rFonts w:hint="eastAsia"/>
        </w:rPr>
        <w:t>公司的油气产品及辅料柴油、天然气等在厂内的转运均使用管道，</w:t>
      </w:r>
      <w:r>
        <w:t>经现场排查，厂区内生产过程中输送管道排查情况如下：</w:t>
      </w:r>
    </w:p>
    <w:p w14:paraId="7FF18C4D">
      <w:pPr>
        <w:pStyle w:val="3"/>
        <w:ind w:firstLine="480"/>
      </w:pPr>
    </w:p>
    <w:p w14:paraId="7BBD43B6">
      <w:pPr>
        <w:pStyle w:val="3"/>
        <w:ind w:firstLine="480"/>
        <w:sectPr>
          <w:pgSz w:w="11906" w:h="16838"/>
          <w:pgMar w:top="1440" w:right="1800" w:bottom="1440" w:left="1800" w:header="851" w:footer="992" w:gutter="0"/>
          <w:cols w:space="425" w:num="1"/>
          <w:docGrid w:type="lines" w:linePitch="312" w:charSpace="0"/>
        </w:sectPr>
      </w:pPr>
    </w:p>
    <w:p w14:paraId="509BF3D5">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4.1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管道运输隐患排查一览表</w:t>
      </w:r>
    </w:p>
    <w:tbl>
      <w:tblPr>
        <w:tblStyle w:val="42"/>
        <w:tblW w:w="13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104"/>
        <w:gridCol w:w="2935"/>
        <w:gridCol w:w="4188"/>
        <w:gridCol w:w="2786"/>
        <w:gridCol w:w="944"/>
        <w:gridCol w:w="1177"/>
      </w:tblGrid>
      <w:tr w14:paraId="1D45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51" w:type="dxa"/>
            <w:vAlign w:val="center"/>
          </w:tcPr>
          <w:p w14:paraId="05DCF990">
            <w:pPr>
              <w:pStyle w:val="78"/>
            </w:pPr>
            <w:r>
              <w:t>序号</w:t>
            </w:r>
          </w:p>
        </w:tc>
        <w:tc>
          <w:tcPr>
            <w:tcW w:w="1104" w:type="dxa"/>
            <w:vAlign w:val="center"/>
          </w:tcPr>
          <w:p w14:paraId="095ECC61">
            <w:pPr>
              <w:pStyle w:val="78"/>
            </w:pPr>
            <w:r>
              <w:rPr>
                <w:rFonts w:hint="eastAsia"/>
              </w:rPr>
              <w:t>管道名称</w:t>
            </w:r>
          </w:p>
        </w:tc>
        <w:tc>
          <w:tcPr>
            <w:tcW w:w="2935" w:type="dxa"/>
            <w:vAlign w:val="center"/>
          </w:tcPr>
          <w:p w14:paraId="14D34828">
            <w:pPr>
              <w:pStyle w:val="78"/>
            </w:pPr>
            <w:r>
              <w:t>现状情况</w:t>
            </w:r>
          </w:p>
        </w:tc>
        <w:tc>
          <w:tcPr>
            <w:tcW w:w="4188" w:type="dxa"/>
            <w:vAlign w:val="center"/>
          </w:tcPr>
          <w:p w14:paraId="0883F2BD">
            <w:pPr>
              <w:pStyle w:val="78"/>
            </w:pPr>
            <w:r>
              <w:t>照片</w:t>
            </w:r>
          </w:p>
        </w:tc>
        <w:tc>
          <w:tcPr>
            <w:tcW w:w="2786" w:type="dxa"/>
            <w:vAlign w:val="center"/>
          </w:tcPr>
          <w:p w14:paraId="4903E5B8">
            <w:pPr>
              <w:pStyle w:val="78"/>
            </w:pPr>
            <w:r>
              <w:t>预防设施及措施推荐性组合</w:t>
            </w:r>
          </w:p>
        </w:tc>
        <w:tc>
          <w:tcPr>
            <w:tcW w:w="944" w:type="dxa"/>
            <w:vAlign w:val="center"/>
          </w:tcPr>
          <w:p w14:paraId="3590B25D">
            <w:pPr>
              <w:pStyle w:val="78"/>
            </w:pPr>
            <w:r>
              <w:t>合理性分析</w:t>
            </w:r>
          </w:p>
        </w:tc>
        <w:tc>
          <w:tcPr>
            <w:tcW w:w="1177" w:type="dxa"/>
            <w:vAlign w:val="center"/>
          </w:tcPr>
          <w:p w14:paraId="0B17708E">
            <w:pPr>
              <w:pStyle w:val="78"/>
            </w:pPr>
            <w:r>
              <w:t>优化及整改建议</w:t>
            </w:r>
          </w:p>
        </w:tc>
      </w:tr>
      <w:tr w14:paraId="41DA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51" w:type="dxa"/>
            <w:vAlign w:val="center"/>
          </w:tcPr>
          <w:p w14:paraId="7214CBEA">
            <w:pPr>
              <w:pStyle w:val="78"/>
            </w:pPr>
            <w:r>
              <w:rPr>
                <w:rFonts w:hint="eastAsia"/>
              </w:rPr>
              <w:t>1</w:t>
            </w:r>
          </w:p>
        </w:tc>
        <w:tc>
          <w:tcPr>
            <w:tcW w:w="1104" w:type="dxa"/>
            <w:vAlign w:val="center"/>
          </w:tcPr>
          <w:p w14:paraId="7CC27620">
            <w:pPr>
              <w:pStyle w:val="78"/>
            </w:pPr>
            <w:r>
              <w:rPr>
                <w:rFonts w:hint="eastAsia"/>
              </w:rPr>
              <w:t>原料、产品管道</w:t>
            </w:r>
          </w:p>
        </w:tc>
        <w:tc>
          <w:tcPr>
            <w:tcW w:w="2935" w:type="dxa"/>
            <w:vAlign w:val="center"/>
          </w:tcPr>
          <w:p w14:paraId="3F23195E">
            <w:pPr>
              <w:pStyle w:val="78"/>
              <w:ind w:left="210" w:hanging="210" w:hangingChars="100"/>
              <w:jc w:val="left"/>
            </w:pPr>
            <w:r>
              <w:rPr>
                <w:rFonts w:hint="eastAsia"/>
              </w:rPr>
              <w:t>(1)物料管道均</w:t>
            </w:r>
            <w:r>
              <w:t>为地上管道，管道运输造成土壤污染主要是由于管道内、外腐蚀造成泄漏、渗漏</w:t>
            </w:r>
            <w:r>
              <w:rPr>
                <w:rFonts w:hint="eastAsia"/>
              </w:rPr>
              <w:t>；</w:t>
            </w:r>
          </w:p>
          <w:p w14:paraId="7AC80B7E">
            <w:pPr>
              <w:pStyle w:val="78"/>
              <w:ind w:left="210" w:hanging="210" w:hangingChars="100"/>
              <w:jc w:val="left"/>
            </w:pPr>
            <w:r>
              <w:rPr>
                <w:rFonts w:hint="eastAsia"/>
              </w:rPr>
              <w:t>(</w:t>
            </w:r>
            <w:r>
              <w:t>2</w:t>
            </w:r>
            <w:r>
              <w:rPr>
                <w:rFonts w:hint="eastAsia"/>
              </w:rPr>
              <w:t>)均为</w:t>
            </w:r>
            <w:r>
              <w:t>碳钢材质</w:t>
            </w:r>
            <w:r>
              <w:rPr>
                <w:rFonts w:hint="eastAsia"/>
              </w:rPr>
              <w:t>，单层管道</w:t>
            </w:r>
            <w:r>
              <w:t>，</w:t>
            </w:r>
            <w:r>
              <w:rPr>
                <w:rFonts w:hint="eastAsia"/>
              </w:rPr>
              <w:t>接口处均用焊接连接，</w:t>
            </w:r>
            <w:r>
              <w:t>外表涂有防锈涂层</w:t>
            </w:r>
            <w:r>
              <w:rPr>
                <w:rFonts w:hint="eastAsia"/>
              </w:rPr>
              <w:t>；</w:t>
            </w:r>
          </w:p>
          <w:p w14:paraId="7305455F">
            <w:pPr>
              <w:pStyle w:val="78"/>
              <w:ind w:left="210" w:hanging="210" w:hangingChars="100"/>
              <w:jc w:val="left"/>
            </w:pPr>
            <w:r>
              <w:rPr>
                <w:rFonts w:hint="eastAsia"/>
              </w:rPr>
              <w:t>(</w:t>
            </w:r>
            <w:r>
              <w:t>3)阀门、法兰等无“跑、冒、漏、滴”现象</w:t>
            </w:r>
            <w:r>
              <w:rPr>
                <w:rFonts w:hint="eastAsia"/>
              </w:rPr>
              <w:t>；</w:t>
            </w:r>
          </w:p>
          <w:p w14:paraId="46D3F4B3">
            <w:pPr>
              <w:pStyle w:val="78"/>
              <w:ind w:left="210" w:hanging="210" w:hangingChars="100"/>
              <w:jc w:val="left"/>
            </w:pPr>
            <w:r>
              <w:t>(4)日常巡查</w:t>
            </w:r>
            <w:r>
              <w:rPr>
                <w:rFonts w:hint="eastAsia"/>
              </w:rPr>
              <w:t>；</w:t>
            </w:r>
          </w:p>
          <w:p w14:paraId="59573451">
            <w:pPr>
              <w:pStyle w:val="78"/>
              <w:ind w:left="210" w:hanging="210" w:hangingChars="100"/>
              <w:jc w:val="left"/>
            </w:pPr>
            <w:r>
              <w:rPr>
                <w:rFonts w:hint="eastAsia"/>
              </w:rPr>
              <w:t>(</w:t>
            </w:r>
            <w:r>
              <w:t>5)</w:t>
            </w:r>
            <w:r>
              <w:rPr>
                <w:rFonts w:hint="eastAsia"/>
              </w:rPr>
              <w:t>定期检测管道渗漏情况；</w:t>
            </w:r>
          </w:p>
          <w:p w14:paraId="09A3EAA5">
            <w:pPr>
              <w:pStyle w:val="78"/>
              <w:ind w:left="210" w:hanging="210" w:hangingChars="100"/>
              <w:jc w:val="left"/>
            </w:pPr>
            <w:r>
              <w:rPr>
                <w:rFonts w:hint="eastAsia"/>
              </w:rPr>
              <w:t>(</w:t>
            </w:r>
            <w:r>
              <w:t>6)针对事故管理配备专业人员和泄漏收集等设备</w:t>
            </w:r>
            <w:r>
              <w:rPr>
                <w:rFonts w:hint="eastAsia"/>
              </w:rPr>
              <w:t>。</w:t>
            </w:r>
          </w:p>
        </w:tc>
        <w:tc>
          <w:tcPr>
            <w:tcW w:w="4188" w:type="dxa"/>
            <w:vMerge w:val="restart"/>
            <w:vAlign w:val="center"/>
          </w:tcPr>
          <w:p w14:paraId="1C0705EA">
            <w:pPr>
              <w:pStyle w:val="78"/>
            </w:pPr>
            <w:r>
              <w:drawing>
                <wp:inline distT="0" distB="0" distL="0" distR="0">
                  <wp:extent cx="3505200" cy="2522220"/>
                  <wp:effectExtent l="0" t="3810" r="0" b="0"/>
                  <wp:docPr id="6084892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89248" name="图片 5"/>
                          <pic:cNvPicPr>
                            <a:picLocks noChangeAspect="1" noChangeArrowheads="1"/>
                          </pic:cNvPicPr>
                        </pic:nvPicPr>
                        <pic:blipFill>
                          <a:blip r:embed="rId55"/>
                          <a:srcRect t="5932" r="1924"/>
                          <a:stretch>
                            <a:fillRect/>
                          </a:stretch>
                        </pic:blipFill>
                        <pic:spPr>
                          <a:xfrm rot="5400000">
                            <a:off x="0" y="0"/>
                            <a:ext cx="3512515" cy="2527392"/>
                          </a:xfrm>
                          <a:prstGeom prst="rect">
                            <a:avLst/>
                          </a:prstGeom>
                          <a:noFill/>
                          <a:ln>
                            <a:noFill/>
                          </a:ln>
                        </pic:spPr>
                      </pic:pic>
                    </a:graphicData>
                  </a:graphic>
                </wp:inline>
              </w:drawing>
            </w:r>
          </w:p>
          <w:p w14:paraId="706D7B7A">
            <w:pPr>
              <w:pStyle w:val="78"/>
            </w:pPr>
            <w:r>
              <w:rPr>
                <w:rFonts w:hint="eastAsia"/>
              </w:rPr>
              <w:t>原料、产品管廊及地上废水管道</w:t>
            </w:r>
          </w:p>
        </w:tc>
        <w:tc>
          <w:tcPr>
            <w:tcW w:w="2786" w:type="dxa"/>
            <w:vAlign w:val="center"/>
          </w:tcPr>
          <w:p w14:paraId="31D9A7A9">
            <w:pPr>
              <w:pStyle w:val="78"/>
              <w:ind w:left="210" w:hanging="210" w:hangingChars="100"/>
              <w:jc w:val="left"/>
            </w:pPr>
            <w:r>
              <w:rPr>
                <w:rFonts w:hint="eastAsia"/>
              </w:rPr>
              <w:t>(1)定期检测管道渗漏情况；</w:t>
            </w:r>
          </w:p>
          <w:p w14:paraId="53F85666">
            <w:pPr>
              <w:pStyle w:val="78"/>
              <w:ind w:left="210" w:hanging="210" w:hangingChars="100"/>
              <w:jc w:val="left"/>
            </w:pPr>
            <w:r>
              <w:rPr>
                <w:rFonts w:hint="eastAsia"/>
              </w:rPr>
              <w:t>(</w:t>
            </w:r>
            <w:r>
              <w:t>2</w:t>
            </w:r>
            <w:r>
              <w:rPr>
                <w:rFonts w:hint="eastAsia"/>
              </w:rPr>
              <w:t>)根据管道检测结果，制定并落实管道维护方案；</w:t>
            </w:r>
          </w:p>
          <w:p w14:paraId="03C81AC5">
            <w:pPr>
              <w:pStyle w:val="78"/>
              <w:ind w:left="210" w:hanging="210" w:hangingChars="100"/>
              <w:jc w:val="left"/>
            </w:pPr>
            <w:r>
              <w:rPr>
                <w:rFonts w:hint="eastAsia"/>
              </w:rPr>
              <w:t>(</w:t>
            </w:r>
            <w:r>
              <w:t>3</w:t>
            </w:r>
            <w:r>
              <w:rPr>
                <w:rFonts w:hint="eastAsia"/>
              </w:rPr>
              <w:t>)日常目视检查；</w:t>
            </w:r>
          </w:p>
          <w:p w14:paraId="79209F5B">
            <w:pPr>
              <w:pStyle w:val="78"/>
              <w:ind w:left="210" w:hanging="210" w:hangingChars="100"/>
              <w:jc w:val="left"/>
            </w:pPr>
            <w:r>
              <w:rPr>
                <w:rFonts w:hint="eastAsia"/>
              </w:rPr>
              <w:t>(</w:t>
            </w:r>
            <w:r>
              <w:t>4</w:t>
            </w:r>
            <w:r>
              <w:rPr>
                <w:rFonts w:hint="eastAsia"/>
              </w:rPr>
              <w:t>)有效应对泄漏事件。</w:t>
            </w:r>
          </w:p>
        </w:tc>
        <w:tc>
          <w:tcPr>
            <w:tcW w:w="944" w:type="dxa"/>
            <w:vAlign w:val="center"/>
          </w:tcPr>
          <w:p w14:paraId="738E5134">
            <w:pPr>
              <w:pStyle w:val="78"/>
            </w:pPr>
            <w:r>
              <w:rPr>
                <w:rFonts w:hint="eastAsia"/>
              </w:rPr>
              <w:t>措施合理</w:t>
            </w:r>
          </w:p>
        </w:tc>
        <w:tc>
          <w:tcPr>
            <w:tcW w:w="1177" w:type="dxa"/>
            <w:vAlign w:val="center"/>
          </w:tcPr>
          <w:p w14:paraId="35CE2E81">
            <w:pPr>
              <w:pStyle w:val="78"/>
            </w:pPr>
            <w:r>
              <w:rPr>
                <w:rFonts w:hint="eastAsia"/>
              </w:rPr>
              <w:t>继续保持无需整改</w:t>
            </w:r>
          </w:p>
        </w:tc>
      </w:tr>
      <w:tr w14:paraId="18DE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51" w:type="dxa"/>
            <w:vAlign w:val="center"/>
          </w:tcPr>
          <w:p w14:paraId="1BCFD415">
            <w:pPr>
              <w:pStyle w:val="78"/>
            </w:pPr>
            <w:r>
              <w:rPr>
                <w:rFonts w:hint="eastAsia"/>
              </w:rPr>
              <w:t>2</w:t>
            </w:r>
          </w:p>
        </w:tc>
        <w:tc>
          <w:tcPr>
            <w:tcW w:w="1104" w:type="dxa"/>
            <w:vAlign w:val="center"/>
          </w:tcPr>
          <w:p w14:paraId="3FADF8F5">
            <w:pPr>
              <w:pStyle w:val="78"/>
            </w:pPr>
            <w:r>
              <w:rPr>
                <w:rFonts w:hint="eastAsia"/>
              </w:rPr>
              <w:t>污水管道</w:t>
            </w:r>
          </w:p>
        </w:tc>
        <w:tc>
          <w:tcPr>
            <w:tcW w:w="2935" w:type="dxa"/>
            <w:vAlign w:val="center"/>
          </w:tcPr>
          <w:p w14:paraId="3381F534">
            <w:pPr>
              <w:pStyle w:val="78"/>
              <w:ind w:left="210" w:hanging="210" w:hangingChars="100"/>
              <w:jc w:val="left"/>
            </w:pPr>
            <w:r>
              <w:rPr>
                <w:rFonts w:hint="eastAsia"/>
              </w:rPr>
              <w:t>(1)污水管道分</w:t>
            </w:r>
            <w:r>
              <w:t>为地上管道和地下管道，</w:t>
            </w:r>
            <w:r>
              <w:rPr>
                <w:rFonts w:hint="eastAsia"/>
              </w:rPr>
              <w:t>厂区内污水先自流汇至污水收集池（此段管道均为地下管道，埋深为0</w:t>
            </w:r>
            <w:r>
              <w:t>.5</w:t>
            </w:r>
            <w:r>
              <w:rPr>
                <w:rFonts w:hint="eastAsia"/>
              </w:rPr>
              <w:t>-</w:t>
            </w:r>
            <w:r>
              <w:t>1</w:t>
            </w:r>
            <w:r>
              <w:rPr>
                <w:rFonts w:hint="eastAsia"/>
              </w:rPr>
              <w:t>m），后从污水收集池泵至厂外（此段均为地上管道）；</w:t>
            </w:r>
          </w:p>
          <w:p w14:paraId="1BA892B3">
            <w:pPr>
              <w:pStyle w:val="78"/>
              <w:ind w:left="210" w:hanging="210" w:hangingChars="100"/>
              <w:jc w:val="left"/>
            </w:pPr>
            <w:r>
              <w:rPr>
                <w:rFonts w:hint="eastAsia"/>
              </w:rPr>
              <w:t>(</w:t>
            </w:r>
            <w:r>
              <w:t>2</w:t>
            </w:r>
            <w:r>
              <w:rPr>
                <w:rFonts w:hint="eastAsia"/>
              </w:rPr>
              <w:t>)均为</w:t>
            </w:r>
            <w:r>
              <w:t>碳钢材质</w:t>
            </w:r>
            <w:r>
              <w:rPr>
                <w:rFonts w:hint="eastAsia"/>
              </w:rPr>
              <w:t>，单层管道</w:t>
            </w:r>
            <w:r>
              <w:t>，外表涂有防锈涂层</w:t>
            </w:r>
            <w:r>
              <w:rPr>
                <w:rFonts w:hint="eastAsia"/>
              </w:rPr>
              <w:t>；</w:t>
            </w:r>
          </w:p>
          <w:p w14:paraId="2D10A975">
            <w:pPr>
              <w:pStyle w:val="78"/>
              <w:ind w:left="210" w:hanging="210" w:hangingChars="100"/>
              <w:jc w:val="left"/>
            </w:pPr>
            <w:r>
              <w:rPr>
                <w:rFonts w:hint="eastAsia"/>
              </w:rPr>
              <w:t>(</w:t>
            </w:r>
            <w:r>
              <w:t>3)</w:t>
            </w:r>
            <w:r>
              <w:rPr>
                <w:rFonts w:hint="eastAsia"/>
              </w:rPr>
              <w:t>均采用焊接连接，</w:t>
            </w:r>
            <w:r>
              <w:t>阀门无“跑、冒、漏、滴”现象</w:t>
            </w:r>
            <w:r>
              <w:rPr>
                <w:rFonts w:hint="eastAsia"/>
              </w:rPr>
              <w:t>；</w:t>
            </w:r>
          </w:p>
          <w:p w14:paraId="2AC1081E">
            <w:pPr>
              <w:pStyle w:val="78"/>
              <w:ind w:left="210" w:hanging="210" w:hangingChars="100"/>
              <w:jc w:val="left"/>
            </w:pPr>
            <w:r>
              <w:t>(4)日常巡查</w:t>
            </w:r>
            <w:r>
              <w:rPr>
                <w:rFonts w:hint="eastAsia"/>
              </w:rPr>
              <w:t>；</w:t>
            </w:r>
          </w:p>
          <w:p w14:paraId="178661B0">
            <w:pPr>
              <w:pStyle w:val="78"/>
              <w:ind w:left="210" w:hanging="210" w:hangingChars="100"/>
              <w:jc w:val="left"/>
            </w:pPr>
            <w:r>
              <w:rPr>
                <w:rFonts w:hint="eastAsia"/>
              </w:rPr>
              <w:t>(</w:t>
            </w:r>
            <w:r>
              <w:t>5)</w:t>
            </w:r>
            <w:r>
              <w:rPr>
                <w:rFonts w:hint="eastAsia"/>
              </w:rPr>
              <w:t>定期检测管道渗漏情况；</w:t>
            </w:r>
          </w:p>
          <w:p w14:paraId="1034AF97">
            <w:pPr>
              <w:pStyle w:val="78"/>
              <w:jc w:val="left"/>
            </w:pPr>
            <w:r>
              <w:rPr>
                <w:rFonts w:hint="eastAsia"/>
              </w:rPr>
              <w:t>(</w:t>
            </w:r>
            <w:r>
              <w:t>6)针对事故管理配备专业人员和泄漏收集等设备</w:t>
            </w:r>
            <w:r>
              <w:rPr>
                <w:rFonts w:hint="eastAsia"/>
              </w:rPr>
              <w:t>。</w:t>
            </w:r>
          </w:p>
        </w:tc>
        <w:tc>
          <w:tcPr>
            <w:tcW w:w="4188" w:type="dxa"/>
            <w:vMerge w:val="continue"/>
            <w:vAlign w:val="center"/>
          </w:tcPr>
          <w:p w14:paraId="5040EC80">
            <w:pPr>
              <w:pStyle w:val="78"/>
            </w:pPr>
          </w:p>
        </w:tc>
        <w:tc>
          <w:tcPr>
            <w:tcW w:w="2786" w:type="dxa"/>
            <w:vAlign w:val="center"/>
          </w:tcPr>
          <w:p w14:paraId="143DF44A">
            <w:pPr>
              <w:pStyle w:val="78"/>
              <w:ind w:left="210" w:hanging="210" w:hangingChars="100"/>
              <w:jc w:val="left"/>
            </w:pPr>
            <w:r>
              <w:rPr>
                <w:rFonts w:hint="eastAsia"/>
              </w:rPr>
              <w:t>(1)地上单层管道：定期检测管道渗漏情况（内检测、外检测及其他专项检测）；根据管道检测结果，制定并落实管道维护方案；</w:t>
            </w:r>
          </w:p>
          <w:p w14:paraId="65BDD0A0">
            <w:pPr>
              <w:pStyle w:val="78"/>
              <w:ind w:left="210" w:hanging="210" w:hangingChars="100"/>
              <w:jc w:val="left"/>
            </w:pPr>
            <w:r>
              <w:rPr>
                <w:rFonts w:hint="eastAsia"/>
              </w:rPr>
              <w:t>(</w:t>
            </w:r>
            <w:r>
              <w:t>2)</w:t>
            </w:r>
            <w:r>
              <w:rPr>
                <w:rFonts w:hint="eastAsia"/>
              </w:rPr>
              <w:t>地上管道：注意管道附件处的渗漏、泄漏；定期检测管道渗漏情况；根据管道检测结果，制定并落实管道维护方案；日常目视检查；有效应对泄漏事件。</w:t>
            </w:r>
          </w:p>
        </w:tc>
        <w:tc>
          <w:tcPr>
            <w:tcW w:w="944" w:type="dxa"/>
            <w:vAlign w:val="center"/>
          </w:tcPr>
          <w:p w14:paraId="3DF97A11">
            <w:pPr>
              <w:pStyle w:val="78"/>
            </w:pPr>
            <w:r>
              <w:rPr>
                <w:rFonts w:hint="eastAsia"/>
              </w:rPr>
              <w:t>措施合理</w:t>
            </w:r>
          </w:p>
        </w:tc>
        <w:tc>
          <w:tcPr>
            <w:tcW w:w="1177" w:type="dxa"/>
            <w:vAlign w:val="center"/>
          </w:tcPr>
          <w:p w14:paraId="26CCC641">
            <w:pPr>
              <w:pStyle w:val="78"/>
            </w:pPr>
            <w:r>
              <w:rPr>
                <w:rFonts w:hint="eastAsia"/>
              </w:rPr>
              <w:t>继续保持无需整改</w:t>
            </w:r>
          </w:p>
        </w:tc>
      </w:tr>
    </w:tbl>
    <w:p w14:paraId="0219A0F5">
      <w:pPr>
        <w:pStyle w:val="6"/>
      </w:pPr>
      <w:r>
        <w:rPr>
          <w:rFonts w:hint="eastAsia"/>
        </w:rPr>
        <w:t>传输泵</w:t>
      </w:r>
    </w:p>
    <w:p w14:paraId="2C407CB2">
      <w:pPr>
        <w:pStyle w:val="3"/>
        <w:ind w:firstLine="480"/>
      </w:pPr>
      <w:r>
        <w:t>经现场排查，厂区内生产过程中泵传输排查情况如下：</w:t>
      </w:r>
    </w:p>
    <w:p w14:paraId="3A6A5B68">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4.1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r>
        <w:rPr>
          <w:color w:val="auto"/>
        </w:rPr>
        <w:t xml:space="preserve">  </w:t>
      </w:r>
      <w:r>
        <w:rPr>
          <w:rFonts w:hint="eastAsia"/>
          <w:color w:val="auto"/>
        </w:rPr>
        <w:t>传输泵隐患排查一览表</w:t>
      </w:r>
    </w:p>
    <w:tbl>
      <w:tblPr>
        <w:tblStyle w:val="42"/>
        <w:tblW w:w="13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358"/>
        <w:gridCol w:w="2715"/>
        <w:gridCol w:w="4371"/>
        <w:gridCol w:w="2865"/>
        <w:gridCol w:w="964"/>
        <w:gridCol w:w="1206"/>
      </w:tblGrid>
      <w:tr w14:paraId="3BC2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4" w:hRule="atLeast"/>
          <w:jc w:val="center"/>
        </w:trPr>
        <w:tc>
          <w:tcPr>
            <w:tcW w:w="453" w:type="dxa"/>
            <w:vAlign w:val="center"/>
          </w:tcPr>
          <w:p w14:paraId="10F26752">
            <w:pPr>
              <w:pStyle w:val="78"/>
            </w:pPr>
            <w:bookmarkStart w:id="76" w:name="_Hlk206678262"/>
            <w:r>
              <w:t>序号</w:t>
            </w:r>
          </w:p>
        </w:tc>
        <w:tc>
          <w:tcPr>
            <w:tcW w:w="1358" w:type="dxa"/>
            <w:vAlign w:val="center"/>
          </w:tcPr>
          <w:p w14:paraId="3E725BFA">
            <w:pPr>
              <w:pStyle w:val="78"/>
            </w:pPr>
            <w:r>
              <w:rPr>
                <w:rFonts w:hint="eastAsia"/>
              </w:rPr>
              <w:t>传输泵名称</w:t>
            </w:r>
          </w:p>
        </w:tc>
        <w:tc>
          <w:tcPr>
            <w:tcW w:w="2715" w:type="dxa"/>
            <w:vAlign w:val="center"/>
          </w:tcPr>
          <w:p w14:paraId="443F5F96">
            <w:pPr>
              <w:pStyle w:val="78"/>
            </w:pPr>
            <w:r>
              <w:t>现状情况</w:t>
            </w:r>
          </w:p>
        </w:tc>
        <w:tc>
          <w:tcPr>
            <w:tcW w:w="4371" w:type="dxa"/>
            <w:vAlign w:val="center"/>
          </w:tcPr>
          <w:p w14:paraId="4E42C832">
            <w:pPr>
              <w:pStyle w:val="78"/>
            </w:pPr>
            <w:r>
              <w:t>照片</w:t>
            </w:r>
          </w:p>
        </w:tc>
        <w:tc>
          <w:tcPr>
            <w:tcW w:w="2865" w:type="dxa"/>
            <w:vAlign w:val="center"/>
          </w:tcPr>
          <w:p w14:paraId="730703AC">
            <w:pPr>
              <w:pStyle w:val="78"/>
            </w:pPr>
            <w:r>
              <w:t>预防设施及措施推荐性组合</w:t>
            </w:r>
          </w:p>
        </w:tc>
        <w:tc>
          <w:tcPr>
            <w:tcW w:w="964" w:type="dxa"/>
            <w:vAlign w:val="center"/>
          </w:tcPr>
          <w:p w14:paraId="6F24D1B2">
            <w:pPr>
              <w:pStyle w:val="78"/>
            </w:pPr>
            <w:r>
              <w:t>合理性分析</w:t>
            </w:r>
          </w:p>
        </w:tc>
        <w:tc>
          <w:tcPr>
            <w:tcW w:w="1206" w:type="dxa"/>
            <w:vAlign w:val="center"/>
          </w:tcPr>
          <w:p w14:paraId="728D8F60">
            <w:pPr>
              <w:pStyle w:val="78"/>
            </w:pPr>
            <w:r>
              <w:t>优化及整改建议</w:t>
            </w:r>
          </w:p>
        </w:tc>
      </w:tr>
      <w:tr w14:paraId="79AD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3" w:type="dxa"/>
            <w:vAlign w:val="center"/>
          </w:tcPr>
          <w:p w14:paraId="0A9BCE01">
            <w:pPr>
              <w:pStyle w:val="78"/>
            </w:pPr>
            <w:r>
              <w:rPr>
                <w:rFonts w:hint="eastAsia"/>
              </w:rPr>
              <w:t>1</w:t>
            </w:r>
          </w:p>
        </w:tc>
        <w:tc>
          <w:tcPr>
            <w:tcW w:w="1358" w:type="dxa"/>
            <w:vAlign w:val="center"/>
          </w:tcPr>
          <w:p w14:paraId="163AA8F3">
            <w:pPr>
              <w:pStyle w:val="78"/>
            </w:pPr>
            <w:r>
              <w:t>污水提升泵</w:t>
            </w:r>
          </w:p>
        </w:tc>
        <w:tc>
          <w:tcPr>
            <w:tcW w:w="2715" w:type="dxa"/>
            <w:vAlign w:val="center"/>
          </w:tcPr>
          <w:p w14:paraId="1EC7C723">
            <w:pPr>
              <w:pStyle w:val="78"/>
              <w:ind w:left="210" w:hanging="210" w:hangingChars="100"/>
              <w:jc w:val="left"/>
            </w:pPr>
            <w:r>
              <w:rPr>
                <w:rFonts w:hint="eastAsia"/>
              </w:rPr>
              <w:t>(</w:t>
            </w:r>
            <w:r>
              <w:t>1)泵底统一设置泵基础，周围地面采用硬化地面+围堰</w:t>
            </w:r>
            <w:r>
              <w:rPr>
                <w:rFonts w:hint="eastAsia"/>
              </w:rPr>
              <w:t>；</w:t>
            </w:r>
          </w:p>
          <w:p w14:paraId="17902445">
            <w:pPr>
              <w:pStyle w:val="78"/>
              <w:ind w:left="210" w:hanging="210" w:hangingChars="100"/>
              <w:jc w:val="left"/>
            </w:pPr>
            <w:r>
              <w:t>(2)</w:t>
            </w:r>
            <w:r>
              <w:rPr>
                <w:rFonts w:hint="eastAsia"/>
              </w:rPr>
              <w:t>进料端均设有控制阀门并连接至中央控制室；</w:t>
            </w:r>
          </w:p>
          <w:p w14:paraId="692E5072">
            <w:pPr>
              <w:pStyle w:val="78"/>
              <w:ind w:left="210" w:hanging="210" w:hangingChars="100"/>
              <w:jc w:val="left"/>
            </w:pPr>
            <w:r>
              <w:t>(3)表面无裂纹、破损，齿轮、泵轴无“跑、冒、漏、滴”现象</w:t>
            </w:r>
            <w:r>
              <w:rPr>
                <w:rFonts w:hint="eastAsia"/>
              </w:rPr>
              <w:t>；</w:t>
            </w:r>
          </w:p>
          <w:p w14:paraId="77FE6C91">
            <w:pPr>
              <w:pStyle w:val="78"/>
              <w:ind w:left="210" w:hanging="210" w:hangingChars="100"/>
              <w:jc w:val="left"/>
            </w:pPr>
            <w:r>
              <w:t>(4)定期对泵进行巡查，观测是否有泄漏痕迹</w:t>
            </w:r>
            <w:r>
              <w:rPr>
                <w:rFonts w:hint="eastAsia"/>
              </w:rPr>
              <w:t>；</w:t>
            </w:r>
          </w:p>
          <w:p w14:paraId="637028AC">
            <w:pPr>
              <w:pStyle w:val="78"/>
              <w:ind w:left="210" w:hanging="210" w:hangingChars="100"/>
              <w:jc w:val="left"/>
            </w:pPr>
            <w:r>
              <w:rPr>
                <w:rFonts w:hint="eastAsia"/>
              </w:rPr>
              <w:t>(</w:t>
            </w:r>
            <w:r>
              <w:t>5)</w:t>
            </w:r>
            <w:r>
              <w:rPr>
                <w:rFonts w:hint="eastAsia"/>
              </w:rPr>
              <w:t>日常维护。</w:t>
            </w:r>
          </w:p>
        </w:tc>
        <w:tc>
          <w:tcPr>
            <w:tcW w:w="4371" w:type="dxa"/>
            <w:vAlign w:val="center"/>
          </w:tcPr>
          <w:p w14:paraId="1D6EE7C0">
            <w:pPr>
              <w:pStyle w:val="78"/>
            </w:pPr>
            <w:r>
              <w:drawing>
                <wp:inline distT="0" distB="0" distL="0" distR="0">
                  <wp:extent cx="2159635" cy="1423035"/>
                  <wp:effectExtent l="0" t="0" r="0" b="5715"/>
                  <wp:docPr id="1584039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3928" name="图片 29"/>
                          <pic:cNvPicPr>
                            <a:picLocks noChangeAspect="1" noChangeArrowheads="1"/>
                          </pic:cNvPicPr>
                        </pic:nvPicPr>
                        <pic:blipFill>
                          <a:blip r:embed="rId56"/>
                          <a:srcRect/>
                          <a:stretch>
                            <a:fillRect/>
                          </a:stretch>
                        </pic:blipFill>
                        <pic:spPr>
                          <a:xfrm>
                            <a:off x="0" y="0"/>
                            <a:ext cx="2165385" cy="1427149"/>
                          </a:xfrm>
                          <a:prstGeom prst="rect">
                            <a:avLst/>
                          </a:prstGeom>
                          <a:noFill/>
                          <a:ln>
                            <a:noFill/>
                          </a:ln>
                        </pic:spPr>
                      </pic:pic>
                    </a:graphicData>
                  </a:graphic>
                </wp:inline>
              </w:drawing>
            </w:r>
          </w:p>
          <w:p w14:paraId="4B3B614D">
            <w:pPr>
              <w:pStyle w:val="78"/>
            </w:pPr>
            <w:r>
              <w:rPr>
                <w:rFonts w:hint="eastAsia"/>
              </w:rPr>
              <w:t>生产废水提升泵</w:t>
            </w:r>
          </w:p>
          <w:p w14:paraId="60422AC5">
            <w:pPr>
              <w:pStyle w:val="78"/>
            </w:pPr>
            <w:r>
              <w:drawing>
                <wp:inline distT="0" distB="0" distL="0" distR="0">
                  <wp:extent cx="2159000" cy="1397000"/>
                  <wp:effectExtent l="0" t="0" r="0" b="0"/>
                  <wp:docPr id="44104130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41302" name="图片 28"/>
                          <pic:cNvPicPr>
                            <a:picLocks noChangeAspect="1" noChangeArrowheads="1"/>
                          </pic:cNvPicPr>
                        </pic:nvPicPr>
                        <pic:blipFill>
                          <a:blip r:embed="rId57"/>
                          <a:srcRect/>
                          <a:stretch>
                            <a:fillRect/>
                          </a:stretch>
                        </pic:blipFill>
                        <pic:spPr>
                          <a:xfrm>
                            <a:off x="0" y="0"/>
                            <a:ext cx="2171084" cy="1404922"/>
                          </a:xfrm>
                          <a:prstGeom prst="rect">
                            <a:avLst/>
                          </a:prstGeom>
                          <a:noFill/>
                          <a:ln>
                            <a:noFill/>
                          </a:ln>
                        </pic:spPr>
                      </pic:pic>
                    </a:graphicData>
                  </a:graphic>
                </wp:inline>
              </w:drawing>
            </w:r>
          </w:p>
          <w:p w14:paraId="60D549BD">
            <w:pPr>
              <w:pStyle w:val="78"/>
            </w:pPr>
            <w:r>
              <w:rPr>
                <w:rFonts w:hint="eastAsia"/>
              </w:rPr>
              <w:t>生活污水提升泵</w:t>
            </w:r>
          </w:p>
        </w:tc>
        <w:tc>
          <w:tcPr>
            <w:tcW w:w="2865" w:type="dxa"/>
            <w:vAlign w:val="center"/>
          </w:tcPr>
          <w:p w14:paraId="1878C681">
            <w:pPr>
              <w:pStyle w:val="78"/>
              <w:ind w:left="210" w:hanging="210" w:hangingChars="100"/>
              <w:jc w:val="left"/>
            </w:pPr>
            <w:r>
              <w:rPr>
                <w:rFonts w:hint="eastAsia"/>
              </w:rPr>
              <w:t>(</w:t>
            </w:r>
            <w:r>
              <w:t>1)</w:t>
            </w:r>
            <w:r>
              <w:rPr>
                <w:rFonts w:hint="eastAsia"/>
              </w:rPr>
              <w:t>防渗阻隔系统，且能防止雨水进入，或者及时有效排出雨水；</w:t>
            </w:r>
          </w:p>
          <w:p w14:paraId="6C6412A9">
            <w:pPr>
              <w:pStyle w:val="78"/>
              <w:ind w:left="210" w:hanging="210" w:hangingChars="100"/>
              <w:jc w:val="left"/>
            </w:pPr>
            <w:r>
              <w:t>(2)</w:t>
            </w:r>
            <w:r>
              <w:rPr>
                <w:rFonts w:hint="eastAsia"/>
              </w:rPr>
              <w:t>进料端安装关闭控制阀门；</w:t>
            </w:r>
          </w:p>
          <w:p w14:paraId="562CC864">
            <w:pPr>
              <w:pStyle w:val="78"/>
              <w:ind w:left="210" w:hanging="210" w:hangingChars="100"/>
              <w:jc w:val="left"/>
            </w:pPr>
            <w:r>
              <w:t>(3)</w:t>
            </w:r>
            <w:r>
              <w:rPr>
                <w:rFonts w:hint="eastAsia"/>
              </w:rPr>
              <w:t>渗漏、流失的液体能得到有效收集并及时清理；</w:t>
            </w:r>
          </w:p>
          <w:p w14:paraId="39303B1B">
            <w:pPr>
              <w:pStyle w:val="78"/>
              <w:jc w:val="left"/>
            </w:pPr>
            <w:r>
              <w:rPr>
                <w:rFonts w:hint="eastAsia"/>
              </w:rPr>
              <w:t>(</w:t>
            </w:r>
            <w:r>
              <w:t>4)</w:t>
            </w:r>
            <w:r>
              <w:rPr>
                <w:rFonts w:hint="eastAsia"/>
              </w:rPr>
              <w:t>定期开展防渗效果检查；</w:t>
            </w:r>
          </w:p>
          <w:p w14:paraId="1A9F75EF">
            <w:pPr>
              <w:pStyle w:val="78"/>
              <w:jc w:val="left"/>
            </w:pPr>
            <w:r>
              <w:rPr>
                <w:rFonts w:hint="eastAsia"/>
              </w:rPr>
              <w:t>(</w:t>
            </w:r>
            <w:r>
              <w:t>5)</w:t>
            </w:r>
            <w:r>
              <w:rPr>
                <w:rFonts w:hint="eastAsia"/>
              </w:rPr>
              <w:t>日常目视检查；</w:t>
            </w:r>
          </w:p>
          <w:p w14:paraId="717AD024">
            <w:pPr>
              <w:pStyle w:val="78"/>
              <w:jc w:val="left"/>
            </w:pPr>
            <w:r>
              <w:rPr>
                <w:rFonts w:hint="eastAsia"/>
              </w:rPr>
              <w:t>(</w:t>
            </w:r>
            <w:r>
              <w:t>6)</w:t>
            </w:r>
            <w:r>
              <w:rPr>
                <w:rFonts w:hint="eastAsia"/>
              </w:rPr>
              <w:t>日常维护。</w:t>
            </w:r>
          </w:p>
        </w:tc>
        <w:tc>
          <w:tcPr>
            <w:tcW w:w="964" w:type="dxa"/>
            <w:vAlign w:val="center"/>
          </w:tcPr>
          <w:p w14:paraId="0F8FF848">
            <w:pPr>
              <w:pStyle w:val="78"/>
            </w:pPr>
            <w:r>
              <w:rPr>
                <w:rFonts w:hint="eastAsia"/>
              </w:rPr>
              <w:t>措施合理</w:t>
            </w:r>
          </w:p>
        </w:tc>
        <w:tc>
          <w:tcPr>
            <w:tcW w:w="1206" w:type="dxa"/>
            <w:vAlign w:val="center"/>
          </w:tcPr>
          <w:p w14:paraId="213497BB">
            <w:pPr>
              <w:pStyle w:val="78"/>
            </w:pPr>
            <w:r>
              <w:rPr>
                <w:rFonts w:hint="eastAsia"/>
              </w:rPr>
              <w:t>继续保持无需整改</w:t>
            </w:r>
          </w:p>
        </w:tc>
      </w:tr>
      <w:tr w14:paraId="4C49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53" w:type="dxa"/>
            <w:vAlign w:val="center"/>
          </w:tcPr>
          <w:p w14:paraId="40B91C7C">
            <w:pPr>
              <w:pStyle w:val="78"/>
            </w:pPr>
            <w:r>
              <w:rPr>
                <w:rFonts w:hint="eastAsia"/>
              </w:rPr>
              <w:t>2</w:t>
            </w:r>
          </w:p>
        </w:tc>
        <w:tc>
          <w:tcPr>
            <w:tcW w:w="1358" w:type="dxa"/>
            <w:vAlign w:val="center"/>
          </w:tcPr>
          <w:p w14:paraId="1886AA19">
            <w:pPr>
              <w:pStyle w:val="78"/>
            </w:pPr>
            <w:r>
              <w:t>物料传输泵</w:t>
            </w:r>
          </w:p>
        </w:tc>
        <w:tc>
          <w:tcPr>
            <w:tcW w:w="2715" w:type="dxa"/>
            <w:vAlign w:val="center"/>
          </w:tcPr>
          <w:p w14:paraId="1B8C5E61">
            <w:pPr>
              <w:pStyle w:val="78"/>
              <w:ind w:left="210" w:hanging="210" w:hangingChars="100"/>
              <w:jc w:val="left"/>
            </w:pPr>
            <w:r>
              <w:rPr>
                <w:rFonts w:hint="eastAsia"/>
              </w:rPr>
              <w:t>(</w:t>
            </w:r>
            <w:r>
              <w:t>1)泵底统一设置泵基础，周围地面采用硬化地面+围堰</w:t>
            </w:r>
            <w:r>
              <w:rPr>
                <w:rFonts w:hint="eastAsia"/>
              </w:rPr>
              <w:t>；</w:t>
            </w:r>
          </w:p>
          <w:p w14:paraId="730D7033">
            <w:pPr>
              <w:pStyle w:val="78"/>
              <w:ind w:left="210" w:hanging="210" w:hangingChars="100"/>
              <w:jc w:val="left"/>
            </w:pPr>
            <w:r>
              <w:t>(2)</w:t>
            </w:r>
            <w:r>
              <w:rPr>
                <w:rFonts w:hint="eastAsia"/>
              </w:rPr>
              <w:t>进料端均设有控制阀门并连接至中央控制室；</w:t>
            </w:r>
          </w:p>
          <w:p w14:paraId="659640DF">
            <w:pPr>
              <w:pStyle w:val="78"/>
              <w:ind w:left="210" w:hanging="210" w:hangingChars="100"/>
              <w:jc w:val="left"/>
            </w:pPr>
            <w:r>
              <w:t>(3)表面无裂纹、破损，齿轮、泵轴无“跑、冒、漏、滴”现象</w:t>
            </w:r>
            <w:r>
              <w:rPr>
                <w:rFonts w:hint="eastAsia"/>
              </w:rPr>
              <w:t>；</w:t>
            </w:r>
          </w:p>
          <w:p w14:paraId="50439E07">
            <w:pPr>
              <w:pStyle w:val="78"/>
              <w:ind w:left="210" w:hanging="210" w:hangingChars="100"/>
              <w:jc w:val="left"/>
            </w:pPr>
            <w:r>
              <w:t>(4)定期对泵进行巡查，观测是否有泄漏痕迹</w:t>
            </w:r>
            <w:r>
              <w:rPr>
                <w:rFonts w:hint="eastAsia"/>
              </w:rPr>
              <w:t>；</w:t>
            </w:r>
          </w:p>
          <w:p w14:paraId="01384DE3">
            <w:pPr>
              <w:pStyle w:val="78"/>
              <w:jc w:val="left"/>
            </w:pPr>
            <w:r>
              <w:rPr>
                <w:rFonts w:hint="eastAsia"/>
              </w:rPr>
              <w:t>(</w:t>
            </w:r>
            <w:r>
              <w:t>5)</w:t>
            </w:r>
            <w:r>
              <w:rPr>
                <w:rFonts w:hint="eastAsia"/>
              </w:rPr>
              <w:t>日常维护。</w:t>
            </w:r>
          </w:p>
        </w:tc>
        <w:tc>
          <w:tcPr>
            <w:tcW w:w="4371" w:type="dxa"/>
            <w:vAlign w:val="center"/>
          </w:tcPr>
          <w:p w14:paraId="7956E531">
            <w:pPr>
              <w:pStyle w:val="78"/>
            </w:pPr>
            <w:r>
              <w:drawing>
                <wp:inline distT="0" distB="0" distL="0" distR="0">
                  <wp:extent cx="2519680" cy="1418590"/>
                  <wp:effectExtent l="0" t="0" r="0" b="0"/>
                  <wp:docPr id="210635580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55808" name="图片 28"/>
                          <pic:cNvPicPr>
                            <a:picLocks noChangeAspect="1" noChangeArrowheads="1"/>
                          </pic:cNvPicPr>
                        </pic:nvPicPr>
                        <pic:blipFill>
                          <a:blip r:embed="rId58"/>
                          <a:srcRect/>
                          <a:stretch>
                            <a:fillRect/>
                          </a:stretch>
                        </pic:blipFill>
                        <pic:spPr>
                          <a:xfrm>
                            <a:off x="0" y="0"/>
                            <a:ext cx="2520000" cy="1418622"/>
                          </a:xfrm>
                          <a:prstGeom prst="rect">
                            <a:avLst/>
                          </a:prstGeom>
                          <a:noFill/>
                          <a:ln>
                            <a:noFill/>
                          </a:ln>
                        </pic:spPr>
                      </pic:pic>
                    </a:graphicData>
                  </a:graphic>
                </wp:inline>
              </w:drawing>
            </w:r>
          </w:p>
          <w:p w14:paraId="6810B7E8">
            <w:pPr>
              <w:pStyle w:val="78"/>
            </w:pPr>
            <w:r>
              <w:rPr>
                <w:rFonts w:hint="eastAsia"/>
              </w:rPr>
              <w:t>辅料、产品传输泵区</w:t>
            </w:r>
          </w:p>
        </w:tc>
        <w:tc>
          <w:tcPr>
            <w:tcW w:w="2865" w:type="dxa"/>
            <w:vAlign w:val="center"/>
          </w:tcPr>
          <w:p w14:paraId="73F13664">
            <w:pPr>
              <w:pStyle w:val="78"/>
              <w:ind w:left="210" w:hanging="210" w:hangingChars="100"/>
              <w:jc w:val="left"/>
            </w:pPr>
            <w:r>
              <w:rPr>
                <w:rFonts w:hint="eastAsia"/>
              </w:rPr>
              <w:t>(</w:t>
            </w:r>
            <w:r>
              <w:t>1)</w:t>
            </w:r>
            <w:r>
              <w:rPr>
                <w:rFonts w:hint="eastAsia"/>
              </w:rPr>
              <w:t>防渗阻隔系统，且能防止雨水进入，或者及时有效排出雨水；</w:t>
            </w:r>
          </w:p>
          <w:p w14:paraId="07C09C42">
            <w:pPr>
              <w:pStyle w:val="78"/>
              <w:ind w:left="210" w:hanging="210" w:hangingChars="100"/>
              <w:jc w:val="left"/>
            </w:pPr>
            <w:r>
              <w:t>(2)</w:t>
            </w:r>
            <w:r>
              <w:rPr>
                <w:rFonts w:hint="eastAsia"/>
              </w:rPr>
              <w:t>进料端安装关闭控制阀门；</w:t>
            </w:r>
          </w:p>
          <w:p w14:paraId="03374242">
            <w:pPr>
              <w:pStyle w:val="78"/>
              <w:ind w:left="210" w:hanging="210" w:hangingChars="100"/>
              <w:jc w:val="left"/>
            </w:pPr>
            <w:r>
              <w:t>(3)</w:t>
            </w:r>
            <w:r>
              <w:rPr>
                <w:rFonts w:hint="eastAsia"/>
              </w:rPr>
              <w:t>渗漏、流失的液体能得到有效收集并及时清理；</w:t>
            </w:r>
          </w:p>
          <w:p w14:paraId="79F58CE1">
            <w:pPr>
              <w:pStyle w:val="78"/>
              <w:jc w:val="left"/>
            </w:pPr>
            <w:r>
              <w:rPr>
                <w:rFonts w:hint="eastAsia"/>
              </w:rPr>
              <w:t>(</w:t>
            </w:r>
            <w:r>
              <w:t>4)</w:t>
            </w:r>
            <w:r>
              <w:rPr>
                <w:rFonts w:hint="eastAsia"/>
              </w:rPr>
              <w:t>定期开展防渗效果检查；</w:t>
            </w:r>
          </w:p>
          <w:p w14:paraId="5C2A88B4">
            <w:pPr>
              <w:pStyle w:val="78"/>
              <w:jc w:val="left"/>
            </w:pPr>
            <w:r>
              <w:rPr>
                <w:rFonts w:hint="eastAsia"/>
              </w:rPr>
              <w:t>(</w:t>
            </w:r>
            <w:r>
              <w:t>5)</w:t>
            </w:r>
            <w:r>
              <w:rPr>
                <w:rFonts w:hint="eastAsia"/>
              </w:rPr>
              <w:t>日常目视检查；</w:t>
            </w:r>
          </w:p>
          <w:p w14:paraId="646C3332">
            <w:pPr>
              <w:pStyle w:val="78"/>
              <w:jc w:val="left"/>
            </w:pPr>
            <w:r>
              <w:rPr>
                <w:rFonts w:hint="eastAsia"/>
              </w:rPr>
              <w:t>(</w:t>
            </w:r>
            <w:r>
              <w:t>6)</w:t>
            </w:r>
            <w:r>
              <w:rPr>
                <w:rFonts w:hint="eastAsia"/>
              </w:rPr>
              <w:t>日常维护。</w:t>
            </w:r>
          </w:p>
        </w:tc>
        <w:tc>
          <w:tcPr>
            <w:tcW w:w="964" w:type="dxa"/>
            <w:vAlign w:val="center"/>
          </w:tcPr>
          <w:p w14:paraId="25F4EA65">
            <w:pPr>
              <w:pStyle w:val="78"/>
            </w:pPr>
            <w:r>
              <w:rPr>
                <w:rFonts w:hint="eastAsia"/>
              </w:rPr>
              <w:t>措施合理</w:t>
            </w:r>
          </w:p>
        </w:tc>
        <w:tc>
          <w:tcPr>
            <w:tcW w:w="1206" w:type="dxa"/>
            <w:vAlign w:val="center"/>
          </w:tcPr>
          <w:p w14:paraId="3FD0E761">
            <w:pPr>
              <w:pStyle w:val="78"/>
            </w:pPr>
            <w:r>
              <w:rPr>
                <w:rFonts w:hint="eastAsia"/>
              </w:rPr>
              <w:t>继续保持无需整改</w:t>
            </w:r>
          </w:p>
        </w:tc>
      </w:tr>
      <w:bookmarkEnd w:id="76"/>
    </w:tbl>
    <w:p w14:paraId="2BE89969">
      <w:pPr>
        <w:pStyle w:val="3"/>
        <w:ind w:firstLine="480"/>
      </w:pPr>
    </w:p>
    <w:p w14:paraId="56284B4E">
      <w:pPr>
        <w:pStyle w:val="3"/>
        <w:ind w:firstLine="480"/>
      </w:pPr>
    </w:p>
    <w:p w14:paraId="3C166C25">
      <w:pPr>
        <w:pStyle w:val="3"/>
        <w:ind w:firstLine="480"/>
        <w:sectPr>
          <w:pgSz w:w="16838" w:h="11906" w:orient="landscape"/>
          <w:pgMar w:top="1800" w:right="1440" w:bottom="1800" w:left="1440" w:header="851" w:footer="992" w:gutter="0"/>
          <w:cols w:space="425" w:num="1"/>
          <w:docGrid w:type="lines" w:linePitch="326" w:charSpace="0"/>
        </w:sectPr>
      </w:pPr>
    </w:p>
    <w:p w14:paraId="6C857C9E">
      <w:pPr>
        <w:pStyle w:val="5"/>
        <w:rPr>
          <w:color w:val="auto"/>
        </w:rPr>
      </w:pPr>
      <w:r>
        <w:rPr>
          <w:rFonts w:hint="eastAsia"/>
          <w:color w:val="auto"/>
        </w:rPr>
        <w:t>货物的储存和传输</w:t>
      </w:r>
    </w:p>
    <w:p w14:paraId="676E7B9D">
      <w:pPr>
        <w:pStyle w:val="3"/>
        <w:ind w:firstLine="480"/>
      </w:pPr>
      <w:r>
        <w:t>根据调查，公司</w:t>
      </w:r>
      <w:r>
        <w:rPr>
          <w:rFonts w:hint="eastAsia"/>
        </w:rPr>
        <w:t>需运输的货物主要为原料废塑料、催化剂等，均为干货，存放于原料仓库中，具有防风防雨功能，不会渗出液体，按照表A</w:t>
      </w:r>
      <w:r>
        <w:t>.3.1，需要日常目视检查；日常维护。</w:t>
      </w:r>
      <w:r>
        <w:rPr>
          <w:rFonts w:hint="eastAsia"/>
        </w:rPr>
        <w:t>原料废塑料的传输使用管道密闭传输，按照表A</w:t>
      </w:r>
      <w:r>
        <w:t>.3.2，无需额外的防护设施；注意设施设备的连接处；</w:t>
      </w:r>
      <w:r>
        <w:rPr>
          <w:rFonts w:hint="eastAsia"/>
        </w:rPr>
        <w:t>制定</w:t>
      </w:r>
      <w:r>
        <w:t>检修计划；日常目视检查；日常维护。分子筛催化剂</w:t>
      </w:r>
      <w:r>
        <w:rPr>
          <w:rFonts w:hint="eastAsia"/>
        </w:rPr>
        <w:t>装填以及废催化剂回收均</w:t>
      </w:r>
      <w:r>
        <w:t>使用开放式</w:t>
      </w:r>
      <w:r>
        <w:rPr>
          <w:rFonts w:hint="eastAsia"/>
        </w:rPr>
        <w:t>装卸</w:t>
      </w:r>
      <w:r>
        <w:t>方式，</w:t>
      </w:r>
      <w:r>
        <w:rPr>
          <w:rFonts w:hint="eastAsia"/>
        </w:rPr>
        <w:t>按照表A</w:t>
      </w:r>
      <w:r>
        <w:t>.3.3需要普通阻隔设施；</w:t>
      </w:r>
      <w:r>
        <w:rPr>
          <w:rFonts w:hint="eastAsia"/>
        </w:rPr>
        <w:t>防止雨水进入阻隔设施；</w:t>
      </w:r>
      <w:r>
        <w:t>日常目视检查；有效应对泄漏事件。</w:t>
      </w:r>
      <w:r>
        <w:rPr>
          <w:rFonts w:hint="eastAsia"/>
        </w:rPr>
        <w:t>货物运输装填过程均位于防风防雨区域，</w:t>
      </w:r>
      <w:r>
        <w:t>车间内对货物的储存与运输设置有管理制度，日常正常执行。在进行一般的货物储存和运输期间，不会发生土壤污染事故</w:t>
      </w:r>
      <w:r>
        <w:rPr>
          <w:rFonts w:hint="eastAsia"/>
        </w:rPr>
        <w:t>。因此无需进行整改</w:t>
      </w:r>
      <w:r>
        <w:t>，继续保持。</w:t>
      </w:r>
    </w:p>
    <w:p w14:paraId="32525ABB">
      <w:pPr>
        <w:pStyle w:val="5"/>
        <w:rPr>
          <w:color w:val="auto"/>
        </w:rPr>
      </w:pPr>
      <w:r>
        <w:rPr>
          <w:color w:val="auto"/>
        </w:rPr>
        <w:t>生产区</w:t>
      </w:r>
    </w:p>
    <w:p w14:paraId="21739FE5">
      <w:pPr>
        <w:pStyle w:val="3"/>
        <w:ind w:firstLine="480"/>
      </w:pPr>
      <w:r>
        <w:t>生产加工装置一般包括密闭、开放和半开放类型。密闭设备指在正常运行管理期间无需打开，物料主要通过管道填充和排空，例如密闭</w:t>
      </w:r>
      <w:r>
        <w:rPr>
          <w:rFonts w:hint="eastAsia"/>
        </w:rPr>
        <w:t>反应釜、</w:t>
      </w:r>
      <w:r>
        <w:t>反应塔，土壤污染隐患较低；半开放式设备指在运行管理期间需要打开设备，开展计量、加注、填充等活动，需要配套土壤污染防</w:t>
      </w:r>
      <w:r>
        <w:rPr>
          <w:rFonts w:hint="eastAsia"/>
        </w:rPr>
        <w:t>防治</w:t>
      </w:r>
      <w:r>
        <w:t>施和规范的操作规程，避免土壤受到污染；开放式设备无法避免物料在设备中的泄漏、渗漏，例如喷洒、清洗设备等</w:t>
      </w:r>
      <w:r>
        <w:rPr>
          <w:rFonts w:hint="eastAsia"/>
        </w:rPr>
        <w:t>。</w:t>
      </w:r>
      <w:r>
        <w:t>可参考表A.4开展排查和整改。</w:t>
      </w:r>
    </w:p>
    <w:p w14:paraId="147EC6DD">
      <w:pPr>
        <w:pStyle w:val="3"/>
        <w:ind w:firstLine="480"/>
      </w:pPr>
      <w:r>
        <w:t>根据识别确定，公司涉及的生产区</w:t>
      </w:r>
      <w:r>
        <w:rPr>
          <w:rFonts w:hint="eastAsia"/>
        </w:rPr>
        <w:t>主要</w:t>
      </w:r>
      <w:r>
        <w:t>为</w:t>
      </w:r>
      <w:r>
        <w:rPr>
          <w:rFonts w:hint="eastAsia"/>
        </w:rPr>
        <w:t>裂解单元</w:t>
      </w:r>
      <w:r>
        <w:t>、</w:t>
      </w:r>
      <w:r>
        <w:rPr>
          <w:rFonts w:hint="eastAsia"/>
        </w:rPr>
        <w:t>原料化单元</w:t>
      </w:r>
      <w:r>
        <w:t>，具体排查情况见下表所示。</w:t>
      </w:r>
    </w:p>
    <w:p w14:paraId="745CC69B">
      <w:pPr>
        <w:pStyle w:val="3"/>
        <w:ind w:firstLine="480"/>
        <w:sectPr>
          <w:pgSz w:w="11906" w:h="16838"/>
          <w:pgMar w:top="1440" w:right="1800" w:bottom="1440" w:left="1800" w:header="851" w:footer="992" w:gutter="0"/>
          <w:cols w:space="425" w:num="1"/>
          <w:docGrid w:type="lines" w:linePitch="312" w:charSpace="0"/>
        </w:sectPr>
      </w:pPr>
    </w:p>
    <w:p w14:paraId="277218E5">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4.1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4</w:t>
      </w:r>
      <w:r>
        <w:rPr>
          <w:color w:val="auto"/>
        </w:rPr>
        <w:fldChar w:fldCharType="end"/>
      </w:r>
      <w:r>
        <w:rPr>
          <w:color w:val="auto"/>
        </w:rPr>
        <w:t xml:space="preserve">  生产区土壤污染隐患排查一览表</w:t>
      </w:r>
    </w:p>
    <w:tbl>
      <w:tblPr>
        <w:tblStyle w:val="42"/>
        <w:tblW w:w="14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992"/>
        <w:gridCol w:w="4111"/>
        <w:gridCol w:w="3969"/>
        <w:gridCol w:w="2685"/>
        <w:gridCol w:w="1284"/>
        <w:gridCol w:w="1134"/>
      </w:tblGrid>
      <w:tr w14:paraId="728C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C21E01E">
            <w:pPr>
              <w:pStyle w:val="78"/>
            </w:pPr>
            <w:r>
              <w:t>序号</w:t>
            </w:r>
          </w:p>
        </w:tc>
        <w:tc>
          <w:tcPr>
            <w:tcW w:w="992" w:type="dxa"/>
            <w:vAlign w:val="center"/>
          </w:tcPr>
          <w:p w14:paraId="7A9FAD6C">
            <w:pPr>
              <w:pStyle w:val="78"/>
            </w:pPr>
            <w:r>
              <w:t>生产区</w:t>
            </w:r>
          </w:p>
        </w:tc>
        <w:tc>
          <w:tcPr>
            <w:tcW w:w="4111" w:type="dxa"/>
            <w:vAlign w:val="center"/>
          </w:tcPr>
          <w:p w14:paraId="5ACCEFDC">
            <w:pPr>
              <w:pStyle w:val="78"/>
            </w:pPr>
            <w:r>
              <w:t>生产加工装置现状情况</w:t>
            </w:r>
          </w:p>
        </w:tc>
        <w:tc>
          <w:tcPr>
            <w:tcW w:w="3969" w:type="dxa"/>
            <w:vAlign w:val="center"/>
          </w:tcPr>
          <w:p w14:paraId="031AACDB">
            <w:pPr>
              <w:pStyle w:val="78"/>
            </w:pPr>
            <w:r>
              <w:t>照片</w:t>
            </w:r>
          </w:p>
        </w:tc>
        <w:tc>
          <w:tcPr>
            <w:tcW w:w="2685" w:type="dxa"/>
            <w:vAlign w:val="center"/>
          </w:tcPr>
          <w:p w14:paraId="3166108C">
            <w:pPr>
              <w:pStyle w:val="78"/>
            </w:pPr>
            <w:r>
              <w:t>表A.4推荐的预防措施</w:t>
            </w:r>
          </w:p>
        </w:tc>
        <w:tc>
          <w:tcPr>
            <w:tcW w:w="1284" w:type="dxa"/>
            <w:vAlign w:val="center"/>
          </w:tcPr>
          <w:p w14:paraId="33958D2D">
            <w:pPr>
              <w:pStyle w:val="78"/>
            </w:pPr>
            <w:r>
              <w:t>合理性分析</w:t>
            </w:r>
          </w:p>
        </w:tc>
        <w:tc>
          <w:tcPr>
            <w:tcW w:w="1134" w:type="dxa"/>
            <w:vAlign w:val="center"/>
          </w:tcPr>
          <w:p w14:paraId="0B55B850">
            <w:pPr>
              <w:pStyle w:val="78"/>
            </w:pPr>
            <w:r>
              <w:t>整改及优化建议</w:t>
            </w:r>
          </w:p>
        </w:tc>
      </w:tr>
      <w:tr w14:paraId="3651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724E7DD">
            <w:pPr>
              <w:pStyle w:val="78"/>
            </w:pPr>
            <w:r>
              <w:rPr>
                <w:rFonts w:hint="eastAsia"/>
              </w:rPr>
              <w:t>1</w:t>
            </w:r>
          </w:p>
        </w:tc>
        <w:tc>
          <w:tcPr>
            <w:tcW w:w="992" w:type="dxa"/>
            <w:vAlign w:val="center"/>
          </w:tcPr>
          <w:p w14:paraId="7DDFCE4A">
            <w:pPr>
              <w:pStyle w:val="78"/>
            </w:pPr>
            <w:r>
              <w:rPr>
                <w:rFonts w:hint="eastAsia"/>
              </w:rPr>
              <w:t>原料化单元</w:t>
            </w:r>
          </w:p>
        </w:tc>
        <w:tc>
          <w:tcPr>
            <w:tcW w:w="4111" w:type="dxa"/>
            <w:vAlign w:val="center"/>
          </w:tcPr>
          <w:p w14:paraId="58DABF6F">
            <w:pPr>
              <w:pStyle w:val="78"/>
              <w:ind w:left="210" w:hanging="210" w:hangingChars="100"/>
              <w:jc w:val="both"/>
            </w:pPr>
            <w:r>
              <w:rPr>
                <w:rFonts w:hint="eastAsia"/>
              </w:rPr>
              <w:t>(1)原料化单元主要</w:t>
            </w:r>
            <w:r>
              <w:t>对收集的废塑料进行破碎、除金属、剪切、团粒、磨粉等处理</w:t>
            </w:r>
            <w:r>
              <w:rPr>
                <w:rFonts w:hint="eastAsia"/>
              </w:rPr>
              <w:t>，涉及的设备主要为拆包机、输送机、撕碎机、热风干燥塔、环膜颗粒机等；</w:t>
            </w:r>
          </w:p>
          <w:p w14:paraId="432F6EC2">
            <w:pPr>
              <w:pStyle w:val="78"/>
              <w:ind w:left="210" w:hanging="210" w:hangingChars="100"/>
              <w:jc w:val="both"/>
            </w:pPr>
            <w:r>
              <w:rPr>
                <w:rFonts w:hint="eastAsia"/>
              </w:rPr>
              <w:t>(2)</w:t>
            </w:r>
            <w:r>
              <w:t>该类设备定义为</w:t>
            </w:r>
            <w:r>
              <w:rPr>
                <w:rFonts w:hint="eastAsia"/>
              </w:rPr>
              <w:t>半</w:t>
            </w:r>
            <w:r>
              <w:t>开放式设备</w:t>
            </w:r>
            <w:r>
              <w:rPr>
                <w:rFonts w:hint="eastAsia"/>
              </w:rPr>
              <w:t>；</w:t>
            </w:r>
          </w:p>
          <w:p w14:paraId="3BE0D93C">
            <w:pPr>
              <w:pStyle w:val="78"/>
              <w:ind w:left="210" w:hanging="210" w:hangingChars="100"/>
              <w:jc w:val="both"/>
            </w:pPr>
            <w:r>
              <w:rPr>
                <w:rFonts w:hint="eastAsia"/>
              </w:rPr>
              <w:t>(3)均位于室内，生产过程中不涉及液体物质；</w:t>
            </w:r>
          </w:p>
          <w:p w14:paraId="1E1EB81A">
            <w:pPr>
              <w:pStyle w:val="78"/>
              <w:ind w:left="210" w:hanging="210" w:hangingChars="100"/>
              <w:jc w:val="both"/>
            </w:pPr>
            <w:r>
              <w:rPr>
                <w:rFonts w:hint="eastAsia"/>
              </w:rPr>
              <w:t>(4)设备均位于室内，可有效防止雨水进入；</w:t>
            </w:r>
          </w:p>
          <w:p w14:paraId="0DF9F841">
            <w:pPr>
              <w:pStyle w:val="78"/>
              <w:ind w:left="210" w:hanging="210" w:hangingChars="100"/>
              <w:jc w:val="both"/>
            </w:pPr>
            <w:r>
              <w:rPr>
                <w:rFonts w:hint="eastAsia"/>
              </w:rPr>
              <w:t>(5)</w:t>
            </w:r>
            <w:r>
              <w:t>日常有巡视值班人员，可目视检查泄漏情况，并能有效的应对泄漏事件</w:t>
            </w:r>
            <w:r>
              <w:rPr>
                <w:rFonts w:hint="eastAsia"/>
              </w:rPr>
              <w:t>。</w:t>
            </w:r>
          </w:p>
        </w:tc>
        <w:tc>
          <w:tcPr>
            <w:tcW w:w="3969" w:type="dxa"/>
            <w:vAlign w:val="center"/>
          </w:tcPr>
          <w:p w14:paraId="056CE869">
            <w:pPr>
              <w:pStyle w:val="78"/>
            </w:pPr>
            <w:r>
              <w:drawing>
                <wp:inline distT="0" distB="0" distL="0" distR="0">
                  <wp:extent cx="2159000" cy="21278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9"/>
                          <a:srcRect t="14153"/>
                          <a:stretch>
                            <a:fillRect/>
                          </a:stretch>
                        </pic:blipFill>
                        <pic:spPr>
                          <a:xfrm>
                            <a:off x="0" y="0"/>
                            <a:ext cx="2177053" cy="2146073"/>
                          </a:xfrm>
                          <a:prstGeom prst="rect">
                            <a:avLst/>
                          </a:prstGeom>
                          <a:ln>
                            <a:noFill/>
                          </a:ln>
                        </pic:spPr>
                      </pic:pic>
                    </a:graphicData>
                  </a:graphic>
                </wp:inline>
              </w:drawing>
            </w:r>
          </w:p>
          <w:p w14:paraId="49B58365">
            <w:pPr>
              <w:pStyle w:val="78"/>
            </w:pPr>
            <w:r>
              <w:rPr>
                <w:rFonts w:hint="eastAsia"/>
              </w:rPr>
              <w:t>原料化单元</w:t>
            </w:r>
          </w:p>
        </w:tc>
        <w:tc>
          <w:tcPr>
            <w:tcW w:w="2685" w:type="dxa"/>
            <w:vAlign w:val="center"/>
          </w:tcPr>
          <w:p w14:paraId="7199F91C">
            <w:pPr>
              <w:pStyle w:val="78"/>
              <w:jc w:val="both"/>
            </w:pPr>
            <w:r>
              <w:rPr>
                <w:rFonts w:hint="eastAsia"/>
              </w:rPr>
              <w:t>(1)普通</w:t>
            </w:r>
            <w:r>
              <w:t>阻隔系统；</w:t>
            </w:r>
          </w:p>
          <w:p w14:paraId="26641A91">
            <w:pPr>
              <w:pStyle w:val="78"/>
              <w:jc w:val="both"/>
            </w:pPr>
            <w:r>
              <w:rPr>
                <w:rFonts w:hint="eastAsia"/>
              </w:rPr>
              <w:t>(2)</w:t>
            </w:r>
            <w:r>
              <w:t>防止雨水进入</w:t>
            </w:r>
            <w:r>
              <w:rPr>
                <w:rFonts w:hint="eastAsia"/>
              </w:rPr>
              <w:t>阻隔设施；</w:t>
            </w:r>
          </w:p>
          <w:p w14:paraId="17EB1ECA">
            <w:pPr>
              <w:pStyle w:val="78"/>
              <w:jc w:val="both"/>
            </w:pPr>
            <w:r>
              <w:rPr>
                <w:rFonts w:hint="eastAsia"/>
              </w:rPr>
              <w:t>(3)</w:t>
            </w:r>
            <w:r>
              <w:t>日常目视检查</w:t>
            </w:r>
            <w:r>
              <w:rPr>
                <w:rFonts w:hint="eastAsia"/>
              </w:rPr>
              <w:t>；</w:t>
            </w:r>
          </w:p>
          <w:p w14:paraId="537E92DB">
            <w:pPr>
              <w:pStyle w:val="78"/>
              <w:jc w:val="both"/>
            </w:pPr>
            <w:r>
              <w:rPr>
                <w:rFonts w:hint="eastAsia"/>
              </w:rPr>
              <w:t>(4)有效应对泄漏事件。</w:t>
            </w:r>
          </w:p>
        </w:tc>
        <w:tc>
          <w:tcPr>
            <w:tcW w:w="1284" w:type="dxa"/>
            <w:vAlign w:val="center"/>
          </w:tcPr>
          <w:p w14:paraId="39D4BB3E">
            <w:pPr>
              <w:pStyle w:val="78"/>
            </w:pPr>
            <w:r>
              <w:rPr>
                <w:rFonts w:hint="eastAsia"/>
              </w:rPr>
              <w:t>措施合理</w:t>
            </w:r>
          </w:p>
        </w:tc>
        <w:tc>
          <w:tcPr>
            <w:tcW w:w="1134" w:type="dxa"/>
            <w:vAlign w:val="center"/>
          </w:tcPr>
          <w:p w14:paraId="312011A4">
            <w:pPr>
              <w:pStyle w:val="78"/>
            </w:pPr>
            <w:r>
              <w:rPr>
                <w:rFonts w:hint="eastAsia"/>
              </w:rPr>
              <w:t>继续保持无需整改</w:t>
            </w:r>
          </w:p>
        </w:tc>
      </w:tr>
      <w:tr w14:paraId="55AC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15EE668">
            <w:pPr>
              <w:pStyle w:val="78"/>
            </w:pPr>
            <w:r>
              <w:rPr>
                <w:rFonts w:hint="eastAsia"/>
              </w:rPr>
              <w:t>2</w:t>
            </w:r>
          </w:p>
        </w:tc>
        <w:tc>
          <w:tcPr>
            <w:tcW w:w="992" w:type="dxa"/>
            <w:vAlign w:val="center"/>
          </w:tcPr>
          <w:p w14:paraId="60BA0FC0">
            <w:pPr>
              <w:pStyle w:val="78"/>
            </w:pPr>
            <w:r>
              <w:rPr>
                <w:rFonts w:hint="eastAsia"/>
              </w:rPr>
              <w:t>裂解单元</w:t>
            </w:r>
          </w:p>
        </w:tc>
        <w:tc>
          <w:tcPr>
            <w:tcW w:w="4111" w:type="dxa"/>
            <w:vAlign w:val="center"/>
          </w:tcPr>
          <w:p w14:paraId="228D46EB">
            <w:pPr>
              <w:pStyle w:val="78"/>
              <w:ind w:left="210" w:hanging="210" w:hangingChars="100"/>
              <w:jc w:val="both"/>
            </w:pPr>
            <w:r>
              <w:rPr>
                <w:rFonts w:hint="eastAsia"/>
              </w:rPr>
              <w:t>(1)裂解单元主要进行废塑料</w:t>
            </w:r>
            <w:r>
              <w:t>催化裂解</w:t>
            </w:r>
            <w:r>
              <w:rPr>
                <w:rFonts w:hint="eastAsia"/>
              </w:rPr>
              <w:t>，主要涉及反应器、再生器、水洗塔、分离塔、催化剂罐等设备；</w:t>
            </w:r>
          </w:p>
          <w:p w14:paraId="16C617FD">
            <w:pPr>
              <w:pStyle w:val="78"/>
              <w:ind w:left="210" w:hanging="210" w:hangingChars="100"/>
              <w:jc w:val="both"/>
            </w:pPr>
            <w:r>
              <w:rPr>
                <w:rFonts w:hint="eastAsia"/>
              </w:rPr>
              <w:t>(2)涉及密闭、半开放式设备。除少数设备(催化剂罐等)需要填料设备为半开放式设备，大多数设备为密闭式设备；</w:t>
            </w:r>
          </w:p>
          <w:p w14:paraId="1E5B1B21">
            <w:pPr>
              <w:pStyle w:val="78"/>
              <w:ind w:left="210" w:hanging="210" w:hangingChars="100"/>
              <w:jc w:val="both"/>
            </w:pPr>
            <w:r>
              <w:rPr>
                <w:rFonts w:hint="eastAsia"/>
              </w:rPr>
              <w:t>(3)</w:t>
            </w:r>
            <w:r>
              <w:t>日常有巡视值班人员，可目视检查泄漏情况，并能有效的应对泄漏事件；</w:t>
            </w:r>
          </w:p>
          <w:p w14:paraId="72F66B95">
            <w:pPr>
              <w:pStyle w:val="78"/>
              <w:ind w:left="210" w:hanging="210" w:hangingChars="100"/>
              <w:jc w:val="both"/>
            </w:pPr>
            <w:r>
              <w:rPr>
                <w:rFonts w:hint="eastAsia"/>
              </w:rPr>
              <w:t>(4)</w:t>
            </w:r>
            <w:r>
              <w:t>从原料的输入、加工、直至产品的输出，所有可燃物料始终密闭在各类设备和管道中。装置加工过程控制采用DCS系统，并设有越限报警和联锁保护系统，</w:t>
            </w:r>
            <w:r>
              <w:rPr>
                <w:rFonts w:hint="eastAsia"/>
              </w:rPr>
              <w:t>所有设备状况均显示在中央控制室，控制室安排人2</w:t>
            </w:r>
            <w:r>
              <w:t>4</w:t>
            </w:r>
            <w:r>
              <w:rPr>
                <w:rFonts w:hint="eastAsia"/>
              </w:rPr>
              <w:t>小时值班。可</w:t>
            </w:r>
            <w:r>
              <w:t>确保在</w:t>
            </w:r>
            <w:r>
              <w:rPr>
                <w:rFonts w:hint="eastAsia"/>
              </w:rPr>
              <w:t>正常、</w:t>
            </w:r>
            <w:r>
              <w:t>误操作或非正常工况下，对危险物料的安全控制</w:t>
            </w:r>
            <w:r>
              <w:rPr>
                <w:rFonts w:hint="eastAsia"/>
              </w:rPr>
              <w:t>；</w:t>
            </w:r>
          </w:p>
          <w:p w14:paraId="0048A8FC">
            <w:pPr>
              <w:pStyle w:val="78"/>
              <w:ind w:left="210" w:hanging="210" w:hangingChars="100"/>
              <w:jc w:val="both"/>
            </w:pPr>
            <w:r>
              <w:rPr>
                <w:rFonts w:hint="eastAsia"/>
              </w:rPr>
              <w:t>(</w:t>
            </w:r>
            <w:r>
              <w:t>5</w:t>
            </w:r>
            <w:r>
              <w:rPr>
                <w:rFonts w:hint="eastAsia"/>
              </w:rPr>
              <w:t>)裂解单元使用的催化剂，产生的废催化剂、炉渣等使用与产生的过程均是位于密闭设备中，且厂内不暂存炉渣，即产即运。</w:t>
            </w:r>
          </w:p>
          <w:p w14:paraId="59B4281A">
            <w:pPr>
              <w:pStyle w:val="78"/>
              <w:ind w:left="210" w:hanging="210" w:hangingChars="100"/>
              <w:jc w:val="both"/>
            </w:pPr>
            <w:r>
              <w:rPr>
                <w:rFonts w:hint="eastAsia"/>
              </w:rPr>
              <w:t>(</w:t>
            </w:r>
            <w:r>
              <w:t>5</w:t>
            </w:r>
            <w:r>
              <w:rPr>
                <w:rFonts w:hint="eastAsia"/>
              </w:rPr>
              <w:t>)所有设备</w:t>
            </w:r>
            <w:r>
              <w:t>日常专人</w:t>
            </w:r>
            <w:r>
              <w:rPr>
                <w:rFonts w:hint="eastAsia"/>
              </w:rPr>
              <w:t>定期检查与维护</w:t>
            </w:r>
            <w:r>
              <w:t>。</w:t>
            </w:r>
          </w:p>
          <w:p w14:paraId="46C26148">
            <w:pPr>
              <w:pStyle w:val="78"/>
              <w:ind w:left="210" w:hanging="210" w:hangingChars="100"/>
              <w:jc w:val="both"/>
            </w:pPr>
            <w:r>
              <w:rPr>
                <w:rFonts w:hint="eastAsia"/>
              </w:rPr>
              <w:t>(</w:t>
            </w:r>
            <w:r>
              <w:t>6</w:t>
            </w:r>
            <w:r>
              <w:rPr>
                <w:rFonts w:hint="eastAsia"/>
              </w:rPr>
              <w:t>)裂解单元周围设有围堰及漫坡(高度1</w:t>
            </w:r>
            <w:r>
              <w:t>5</w:t>
            </w:r>
            <w:r>
              <w:rPr>
                <w:rFonts w:hint="eastAsia"/>
              </w:rPr>
              <w:t>mm及以上)</w:t>
            </w:r>
            <w:r>
              <w:t>，涉及液体区域有导流沟</w:t>
            </w:r>
            <w:r>
              <w:rPr>
                <w:rFonts w:hint="eastAsia"/>
              </w:rPr>
              <w:t>，可</w:t>
            </w:r>
            <w:r>
              <w:t>防止液体渗漏；</w:t>
            </w:r>
          </w:p>
          <w:p w14:paraId="6EC7D862">
            <w:pPr>
              <w:pStyle w:val="78"/>
              <w:ind w:left="210" w:hanging="210" w:hangingChars="100"/>
              <w:jc w:val="both"/>
            </w:pPr>
            <w:r>
              <w:rPr>
                <w:rFonts w:hint="eastAsia"/>
              </w:rPr>
              <w:t>(7)公司设有雨水监控池(出水闸门常闭)、事故水池，即使物料进入雨水管道，也可控制液体物料不出厂界；</w:t>
            </w:r>
          </w:p>
          <w:p w14:paraId="5CFB2F36">
            <w:pPr>
              <w:pStyle w:val="78"/>
              <w:ind w:left="210" w:hanging="210" w:hangingChars="100"/>
              <w:jc w:val="both"/>
            </w:pPr>
            <w:r>
              <w:rPr>
                <w:rFonts w:hint="eastAsia"/>
              </w:rPr>
              <w:t>(8)制定了检修计划，定期检修。</w:t>
            </w:r>
          </w:p>
        </w:tc>
        <w:tc>
          <w:tcPr>
            <w:tcW w:w="3969" w:type="dxa"/>
            <w:vAlign w:val="center"/>
          </w:tcPr>
          <w:p w14:paraId="6F85FE0D">
            <w:pPr>
              <w:pStyle w:val="78"/>
            </w:pPr>
            <w:r>
              <w:drawing>
                <wp:inline distT="0" distB="0" distL="0" distR="0">
                  <wp:extent cx="2159635" cy="1526540"/>
                  <wp:effectExtent l="0" t="0" r="0" b="0"/>
                  <wp:docPr id="102638871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88713" name="图片 32"/>
                          <pic:cNvPicPr>
                            <a:picLocks noChangeAspect="1" noChangeArrowheads="1"/>
                          </pic:cNvPicPr>
                        </pic:nvPicPr>
                        <pic:blipFill>
                          <a:blip r:embed="rId60"/>
                          <a:srcRect/>
                          <a:stretch>
                            <a:fillRect/>
                          </a:stretch>
                        </pic:blipFill>
                        <pic:spPr>
                          <a:xfrm>
                            <a:off x="0" y="0"/>
                            <a:ext cx="2160000" cy="1526614"/>
                          </a:xfrm>
                          <a:prstGeom prst="rect">
                            <a:avLst/>
                          </a:prstGeom>
                          <a:noFill/>
                          <a:ln>
                            <a:noFill/>
                          </a:ln>
                        </pic:spPr>
                      </pic:pic>
                    </a:graphicData>
                  </a:graphic>
                </wp:inline>
              </w:drawing>
            </w:r>
          </w:p>
          <w:p w14:paraId="6D7D70F6">
            <w:pPr>
              <w:pStyle w:val="78"/>
            </w:pPr>
            <w:r>
              <w:rPr>
                <w:rFonts w:hint="eastAsia"/>
              </w:rPr>
              <w:t>裂解单元收集沟和围堰</w:t>
            </w:r>
          </w:p>
          <w:p w14:paraId="290C3EAB">
            <w:pPr>
              <w:pStyle w:val="78"/>
            </w:pPr>
            <w:r>
              <w:drawing>
                <wp:inline distT="0" distB="0" distL="0" distR="0">
                  <wp:extent cx="2159000" cy="2306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1"/>
                          <a:srcRect t="6649" b="8497"/>
                          <a:stretch>
                            <a:fillRect/>
                          </a:stretch>
                        </pic:blipFill>
                        <pic:spPr>
                          <a:xfrm>
                            <a:off x="0" y="0"/>
                            <a:ext cx="2160000" cy="2307633"/>
                          </a:xfrm>
                          <a:prstGeom prst="rect">
                            <a:avLst/>
                          </a:prstGeom>
                          <a:ln>
                            <a:noFill/>
                          </a:ln>
                        </pic:spPr>
                      </pic:pic>
                    </a:graphicData>
                  </a:graphic>
                </wp:inline>
              </w:drawing>
            </w:r>
          </w:p>
          <w:p w14:paraId="2B4F0B20">
            <w:pPr>
              <w:pStyle w:val="78"/>
            </w:pPr>
            <w:r>
              <w:rPr>
                <w:rFonts w:hint="eastAsia"/>
              </w:rPr>
              <w:t>裂解单元</w:t>
            </w:r>
          </w:p>
        </w:tc>
        <w:tc>
          <w:tcPr>
            <w:tcW w:w="2685" w:type="dxa"/>
            <w:vAlign w:val="center"/>
          </w:tcPr>
          <w:p w14:paraId="21025759">
            <w:pPr>
              <w:pStyle w:val="78"/>
              <w:jc w:val="both"/>
            </w:pPr>
            <w:r>
              <w:rPr>
                <w:rFonts w:hint="eastAsia"/>
              </w:rPr>
              <w:t>半开放式设备：</w:t>
            </w:r>
          </w:p>
          <w:p w14:paraId="7251B848">
            <w:pPr>
              <w:pStyle w:val="78"/>
              <w:ind w:left="210" w:hanging="210" w:hangingChars="100"/>
              <w:jc w:val="both"/>
            </w:pPr>
            <w:r>
              <w:rPr>
                <w:rFonts w:hint="eastAsia"/>
              </w:rPr>
              <w:t>(1)防渗阻隔系统，且能有效防止雨水进入，或者及时排出雨水</w:t>
            </w:r>
          </w:p>
          <w:p w14:paraId="441790E6">
            <w:pPr>
              <w:pStyle w:val="78"/>
              <w:ind w:left="210" w:hanging="210" w:hangingChars="100"/>
              <w:jc w:val="both"/>
            </w:pPr>
            <w:r>
              <w:rPr>
                <w:rFonts w:hint="eastAsia"/>
              </w:rPr>
              <w:t>(2)渗漏、流失的液体能得到有效收集并定期清理；</w:t>
            </w:r>
          </w:p>
          <w:p w14:paraId="571EB360">
            <w:pPr>
              <w:pStyle w:val="78"/>
              <w:jc w:val="both"/>
            </w:pPr>
            <w:r>
              <w:rPr>
                <w:rFonts w:hint="eastAsia"/>
              </w:rPr>
              <w:t>(3)定期开展防渗效果检查；</w:t>
            </w:r>
          </w:p>
          <w:p w14:paraId="7E348F54">
            <w:pPr>
              <w:pStyle w:val="78"/>
              <w:jc w:val="both"/>
            </w:pPr>
            <w:r>
              <w:rPr>
                <w:rFonts w:hint="eastAsia"/>
              </w:rPr>
              <w:t>(4)日常目视检查。</w:t>
            </w:r>
          </w:p>
          <w:p w14:paraId="07330DCF">
            <w:pPr>
              <w:pStyle w:val="78"/>
              <w:jc w:val="both"/>
            </w:pPr>
            <w:r>
              <w:rPr>
                <w:rFonts w:hint="eastAsia"/>
              </w:rPr>
              <w:t>密闭式设备：</w:t>
            </w:r>
          </w:p>
          <w:p w14:paraId="72D5328E">
            <w:pPr>
              <w:pStyle w:val="78"/>
              <w:jc w:val="both"/>
            </w:pPr>
            <w:r>
              <w:rPr>
                <w:rFonts w:hint="eastAsia"/>
              </w:rPr>
              <w:t>(1)无需额外的防护设施；</w:t>
            </w:r>
          </w:p>
          <w:p w14:paraId="4DE4F12A">
            <w:pPr>
              <w:pStyle w:val="78"/>
              <w:ind w:left="210" w:hanging="210" w:hangingChars="100"/>
              <w:jc w:val="both"/>
            </w:pPr>
            <w:r>
              <w:rPr>
                <w:rFonts w:hint="eastAsia"/>
              </w:rPr>
              <w:t>(2)注意车间内传输泵、易发生故障的零部件、检测样品采集点等位置；</w:t>
            </w:r>
          </w:p>
          <w:p w14:paraId="2D5F22AB">
            <w:pPr>
              <w:pStyle w:val="78"/>
              <w:jc w:val="both"/>
            </w:pPr>
            <w:r>
              <w:rPr>
                <w:rFonts w:hint="eastAsia"/>
              </w:rPr>
              <w:t>(3)制定检修计划；</w:t>
            </w:r>
          </w:p>
          <w:p w14:paraId="2358757C">
            <w:pPr>
              <w:pStyle w:val="78"/>
              <w:ind w:left="210" w:hanging="210" w:hangingChars="100"/>
              <w:jc w:val="both"/>
            </w:pPr>
            <w:r>
              <w:rPr>
                <w:rFonts w:hint="eastAsia"/>
              </w:rPr>
              <w:t>(4)对系统做全面检查(比如定期检查系统的密闭性)</w:t>
            </w:r>
          </w:p>
          <w:p w14:paraId="126AA2AB">
            <w:pPr>
              <w:pStyle w:val="78"/>
              <w:jc w:val="both"/>
            </w:pPr>
            <w:r>
              <w:rPr>
                <w:rFonts w:hint="eastAsia"/>
              </w:rPr>
              <w:t>(</w:t>
            </w:r>
            <w:r>
              <w:t>5</w:t>
            </w:r>
            <w:r>
              <w:rPr>
                <w:rFonts w:hint="eastAsia"/>
              </w:rPr>
              <w:t>)日常维护。</w:t>
            </w:r>
          </w:p>
        </w:tc>
        <w:tc>
          <w:tcPr>
            <w:tcW w:w="1284" w:type="dxa"/>
            <w:vAlign w:val="center"/>
          </w:tcPr>
          <w:p w14:paraId="1FEF3E02">
            <w:pPr>
              <w:pStyle w:val="78"/>
            </w:pPr>
            <w:r>
              <w:rPr>
                <w:rFonts w:hint="eastAsia"/>
              </w:rPr>
              <w:t>措施合理</w:t>
            </w:r>
          </w:p>
        </w:tc>
        <w:tc>
          <w:tcPr>
            <w:tcW w:w="1134" w:type="dxa"/>
            <w:vAlign w:val="center"/>
          </w:tcPr>
          <w:p w14:paraId="382A9BEF">
            <w:pPr>
              <w:pStyle w:val="78"/>
            </w:pPr>
            <w:r>
              <w:rPr>
                <w:rFonts w:hint="eastAsia"/>
              </w:rPr>
              <w:t>继续保持无需整改</w:t>
            </w:r>
          </w:p>
        </w:tc>
      </w:tr>
    </w:tbl>
    <w:p w14:paraId="2FE7EF50">
      <w:pPr>
        <w:pStyle w:val="3"/>
        <w:ind w:firstLine="480"/>
      </w:pPr>
    </w:p>
    <w:p w14:paraId="39CB5D7B">
      <w:pPr>
        <w:pStyle w:val="5"/>
        <w:rPr>
          <w:color w:val="auto"/>
        </w:rPr>
      </w:pPr>
      <w:r>
        <w:rPr>
          <w:color w:val="auto"/>
        </w:rPr>
        <w:t>其他活动区</w:t>
      </w:r>
    </w:p>
    <w:p w14:paraId="3024C57B">
      <w:pPr>
        <w:pStyle w:val="3"/>
        <w:ind w:firstLine="480"/>
      </w:pPr>
      <w:r>
        <w:t>其他活动区可分为废水排水系统、应急收集系统、车间操作系统、分析化验室、一般工业固体废物及危险废物贮存库五种情况，根据比对本公司情况，涉及的为废水排水系统</w:t>
      </w:r>
      <w:r>
        <w:rPr>
          <w:rFonts w:hint="eastAsia"/>
        </w:rPr>
        <w:t>、</w:t>
      </w:r>
      <w:r>
        <w:t>应急收集系统（</w:t>
      </w:r>
      <w:r>
        <w:rPr>
          <w:rFonts w:hint="eastAsia"/>
        </w:rPr>
        <w:t>雨水监控池、事故水池</w:t>
      </w:r>
      <w:r>
        <w:t>）</w:t>
      </w:r>
      <w:r>
        <w:rPr>
          <w:rFonts w:hint="eastAsia"/>
        </w:rPr>
        <w:t>、控制室</w:t>
      </w:r>
      <w:r>
        <w:t>、分析</w:t>
      </w:r>
      <w:r>
        <w:rPr>
          <w:rFonts w:hint="eastAsia"/>
        </w:rPr>
        <w:t>化验</w:t>
      </w:r>
      <w:r>
        <w:t>室</w:t>
      </w:r>
      <w:r>
        <w:rPr>
          <w:rFonts w:hint="eastAsia"/>
        </w:rPr>
        <w:t>、</w:t>
      </w:r>
      <w:r>
        <w:t>一般</w:t>
      </w:r>
      <w:r>
        <w:rPr>
          <w:rFonts w:hint="eastAsia"/>
        </w:rPr>
        <w:t>工业固废</w:t>
      </w:r>
      <w:r>
        <w:t>库</w:t>
      </w:r>
      <w:r>
        <w:rPr>
          <w:rFonts w:hint="eastAsia"/>
        </w:rPr>
        <w:t>及危废库。</w:t>
      </w:r>
    </w:p>
    <w:p w14:paraId="5BA1FFD6">
      <w:pPr>
        <w:pStyle w:val="3"/>
        <w:ind w:firstLine="480"/>
      </w:pPr>
      <w:r>
        <w:t>废水排水系统造成土壤污染主要是管道、设备连接处、涵洞排水口、污水井、分离系统(如清污分离系统、油水分离系统)等地方的泄漏、渗漏或者溢流。可参考表A.5.1开展排查和整改。</w:t>
      </w:r>
    </w:p>
    <w:p w14:paraId="3C4DB95F">
      <w:pPr>
        <w:pStyle w:val="3"/>
        <w:ind w:firstLine="480"/>
      </w:pPr>
      <w:r>
        <w:t>《一般工业固体废物贮存和填埋污染控制标准》（GB18599-2020）规定了一般工业固体废物贮存场的选址、建设、运行、封场等过程的环境保护要求，以及监测要求和实施与监督等内容。一般工业固体废物贮存场可按照其要求开展排查和整改。</w:t>
      </w:r>
    </w:p>
    <w:p w14:paraId="193F5852">
      <w:pPr>
        <w:pStyle w:val="3"/>
        <w:ind w:firstLine="480"/>
      </w:pPr>
      <w:r>
        <w:t>《危险废物贮存污染控制标准》（GB18597-2023）规定了对危险废物贮存的一般要求，对危险废物包装、贮存设施的选址、设计、运行、安全防护、监测和关闭等要求。危险废物贮存库可按照其要求开展排查和整改。</w:t>
      </w:r>
    </w:p>
    <w:p w14:paraId="65EA1DAE">
      <w:pPr>
        <w:pStyle w:val="3"/>
        <w:ind w:firstLine="480"/>
      </w:pPr>
      <w:r>
        <w:t>应急收集设施造成土壤污染主要是设施的老化造成的渗漏、流失，可参考表A.5.2开展排查和整改。</w:t>
      </w:r>
    </w:p>
    <w:p w14:paraId="3DE24787">
      <w:pPr>
        <w:pStyle w:val="3"/>
        <w:ind w:firstLine="480"/>
      </w:pPr>
      <w:r>
        <w:t>分析化验室造成土壤污染主要是物质的泄漏、渗漏或者遗洒。可参考表A.5.4开展排查和整改。</w:t>
      </w:r>
    </w:p>
    <w:p w14:paraId="59575DE4">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4.1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5</w:t>
      </w:r>
      <w:r>
        <w:rPr>
          <w:color w:val="auto"/>
        </w:rPr>
        <w:fldChar w:fldCharType="end"/>
      </w:r>
      <w:r>
        <w:rPr>
          <w:color w:val="auto"/>
        </w:rPr>
        <w:t xml:space="preserve">  其他活动区土壤污染隐患排查一览表</w:t>
      </w:r>
    </w:p>
    <w:tbl>
      <w:tblPr>
        <w:tblStyle w:val="42"/>
        <w:tblW w:w="14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2835"/>
        <w:gridCol w:w="3686"/>
        <w:gridCol w:w="2977"/>
        <w:gridCol w:w="1284"/>
        <w:gridCol w:w="1701"/>
      </w:tblGrid>
      <w:tr w14:paraId="54E4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1C9924F">
            <w:pPr>
              <w:pStyle w:val="78"/>
              <w:rPr>
                <w:b/>
              </w:rPr>
            </w:pPr>
            <w:r>
              <w:rPr>
                <w:b/>
              </w:rPr>
              <w:t>序号</w:t>
            </w:r>
          </w:p>
        </w:tc>
        <w:tc>
          <w:tcPr>
            <w:tcW w:w="1134" w:type="dxa"/>
            <w:vAlign w:val="center"/>
          </w:tcPr>
          <w:p w14:paraId="7CFE8B54">
            <w:pPr>
              <w:pStyle w:val="78"/>
              <w:rPr>
                <w:b/>
              </w:rPr>
            </w:pPr>
            <w:r>
              <w:rPr>
                <w:rFonts w:hint="eastAsia"/>
                <w:b/>
              </w:rPr>
              <w:t>名称</w:t>
            </w:r>
          </w:p>
        </w:tc>
        <w:tc>
          <w:tcPr>
            <w:tcW w:w="2835" w:type="dxa"/>
            <w:vAlign w:val="center"/>
          </w:tcPr>
          <w:p w14:paraId="4C342348">
            <w:pPr>
              <w:pStyle w:val="78"/>
              <w:rPr>
                <w:b/>
              </w:rPr>
            </w:pPr>
            <w:r>
              <w:rPr>
                <w:b/>
              </w:rPr>
              <w:t>生产加工装置现状情况</w:t>
            </w:r>
          </w:p>
        </w:tc>
        <w:tc>
          <w:tcPr>
            <w:tcW w:w="3686" w:type="dxa"/>
            <w:vAlign w:val="center"/>
          </w:tcPr>
          <w:p w14:paraId="073A4E1D">
            <w:pPr>
              <w:pStyle w:val="78"/>
              <w:rPr>
                <w:b/>
              </w:rPr>
            </w:pPr>
            <w:r>
              <w:rPr>
                <w:b/>
              </w:rPr>
              <w:t>照片</w:t>
            </w:r>
          </w:p>
        </w:tc>
        <w:tc>
          <w:tcPr>
            <w:tcW w:w="2977" w:type="dxa"/>
            <w:vAlign w:val="center"/>
          </w:tcPr>
          <w:p w14:paraId="62D3508D">
            <w:pPr>
              <w:pStyle w:val="78"/>
              <w:rPr>
                <w:b/>
              </w:rPr>
            </w:pPr>
            <w:r>
              <w:rPr>
                <w:b/>
              </w:rPr>
              <w:t>表A.4推荐的预防措施</w:t>
            </w:r>
          </w:p>
        </w:tc>
        <w:tc>
          <w:tcPr>
            <w:tcW w:w="1284" w:type="dxa"/>
            <w:vAlign w:val="center"/>
          </w:tcPr>
          <w:p w14:paraId="5FC61CE5">
            <w:pPr>
              <w:pStyle w:val="78"/>
              <w:rPr>
                <w:b/>
              </w:rPr>
            </w:pPr>
            <w:r>
              <w:rPr>
                <w:b/>
              </w:rPr>
              <w:t>合理性分析</w:t>
            </w:r>
          </w:p>
        </w:tc>
        <w:tc>
          <w:tcPr>
            <w:tcW w:w="1701" w:type="dxa"/>
            <w:vAlign w:val="center"/>
          </w:tcPr>
          <w:p w14:paraId="4E4F57B4">
            <w:pPr>
              <w:pStyle w:val="78"/>
              <w:rPr>
                <w:b/>
              </w:rPr>
            </w:pPr>
            <w:r>
              <w:rPr>
                <w:b/>
              </w:rPr>
              <w:t>整改及优化建议</w:t>
            </w:r>
          </w:p>
        </w:tc>
      </w:tr>
      <w:tr w14:paraId="726D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CD2832B">
            <w:pPr>
              <w:pStyle w:val="78"/>
            </w:pPr>
            <w:r>
              <w:rPr>
                <w:rFonts w:hint="eastAsia"/>
              </w:rPr>
              <w:t>1</w:t>
            </w:r>
          </w:p>
        </w:tc>
        <w:tc>
          <w:tcPr>
            <w:tcW w:w="1134" w:type="dxa"/>
            <w:vAlign w:val="center"/>
          </w:tcPr>
          <w:p w14:paraId="12FF0096">
            <w:pPr>
              <w:pStyle w:val="78"/>
            </w:pPr>
            <w:r>
              <w:t>废水排水系统</w:t>
            </w:r>
          </w:p>
        </w:tc>
        <w:tc>
          <w:tcPr>
            <w:tcW w:w="2835" w:type="dxa"/>
            <w:vAlign w:val="center"/>
          </w:tcPr>
          <w:p w14:paraId="3441D922">
            <w:pPr>
              <w:pStyle w:val="78"/>
              <w:ind w:left="210" w:hanging="210" w:hangingChars="100"/>
              <w:jc w:val="left"/>
            </w:pPr>
            <w:r>
              <w:rPr>
                <w:rFonts w:hint="eastAsia"/>
              </w:rPr>
              <w:t>(1)</w:t>
            </w:r>
            <w:r>
              <w:t>项目</w:t>
            </w:r>
            <w:r>
              <w:rPr>
                <w:rFonts w:hint="eastAsia"/>
              </w:rPr>
              <w:t>废水管道分为地上管道与地下管道，厂内低浓度废水通过地下管道收集至生产废水池，后通过地上管道输送至厂外，高浓度废水直接通过地上管道泵出厂外</w:t>
            </w:r>
            <w:r>
              <w:t>；</w:t>
            </w:r>
          </w:p>
          <w:p w14:paraId="46AD3D80">
            <w:pPr>
              <w:pStyle w:val="78"/>
              <w:ind w:left="210" w:hanging="210" w:hangingChars="100"/>
              <w:jc w:val="left"/>
            </w:pPr>
            <w:r>
              <w:rPr>
                <w:rFonts w:hint="eastAsia"/>
              </w:rPr>
              <w:t>(</w:t>
            </w:r>
            <w:r>
              <w:t>2</w:t>
            </w:r>
            <w:r>
              <w:rPr>
                <w:rFonts w:hint="eastAsia"/>
              </w:rPr>
              <w:t>)企业内不设置污水处理系统，废水收集后直接排入污水处理厂，不涉及污泥收集设施、油水分离设施等；</w:t>
            </w:r>
          </w:p>
          <w:p w14:paraId="19645C17">
            <w:pPr>
              <w:pStyle w:val="78"/>
              <w:ind w:left="210" w:hanging="210" w:hangingChars="100"/>
              <w:jc w:val="left"/>
            </w:pPr>
            <w:r>
              <w:rPr>
                <w:rFonts w:hint="eastAsia"/>
              </w:rPr>
              <w:t>(</w:t>
            </w:r>
            <w:r>
              <w:t>3</w:t>
            </w:r>
            <w:r>
              <w:rPr>
                <w:rFonts w:hint="eastAsia"/>
              </w:rPr>
              <w:t>)所有管道均设做防渗处理；</w:t>
            </w:r>
          </w:p>
          <w:p w14:paraId="31DADD5F">
            <w:pPr>
              <w:pStyle w:val="78"/>
              <w:ind w:left="210" w:hanging="210" w:hangingChars="100"/>
              <w:jc w:val="left"/>
            </w:pPr>
            <w:r>
              <w:rPr>
                <w:rFonts w:hint="eastAsia"/>
              </w:rPr>
              <w:t>(</w:t>
            </w:r>
            <w:r>
              <w:t>4</w:t>
            </w:r>
            <w:r>
              <w:rPr>
                <w:rFonts w:hint="eastAsia"/>
              </w:rPr>
              <w:t>)</w:t>
            </w:r>
            <w:r>
              <w:t>定期对管道的密封、防渗效果进行检查，加强日常维护</w:t>
            </w:r>
            <w:r>
              <w:rPr>
                <w:rFonts w:hint="eastAsia"/>
              </w:rPr>
              <w:t>。</w:t>
            </w:r>
          </w:p>
        </w:tc>
        <w:tc>
          <w:tcPr>
            <w:tcW w:w="3686" w:type="dxa"/>
            <w:vAlign w:val="center"/>
          </w:tcPr>
          <w:p w14:paraId="11544A01">
            <w:pPr>
              <w:pStyle w:val="78"/>
            </w:pPr>
            <w:r>
              <w:drawing>
                <wp:inline distT="0" distB="0" distL="0" distR="0">
                  <wp:extent cx="1066165" cy="1727835"/>
                  <wp:effectExtent l="0" t="0" r="63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2"/>
                          <a:stretch>
                            <a:fillRect/>
                          </a:stretch>
                        </pic:blipFill>
                        <pic:spPr>
                          <a:xfrm>
                            <a:off x="0" y="0"/>
                            <a:ext cx="1066218" cy="1728000"/>
                          </a:xfrm>
                          <a:prstGeom prst="rect">
                            <a:avLst/>
                          </a:prstGeom>
                        </pic:spPr>
                      </pic:pic>
                    </a:graphicData>
                  </a:graphic>
                </wp:inline>
              </w:drawing>
            </w:r>
            <w:r>
              <w:drawing>
                <wp:inline distT="0" distB="0" distL="0" distR="0">
                  <wp:extent cx="1041400" cy="1727835"/>
                  <wp:effectExtent l="0" t="0" r="635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3"/>
                          <a:stretch>
                            <a:fillRect/>
                          </a:stretch>
                        </pic:blipFill>
                        <pic:spPr>
                          <a:xfrm>
                            <a:off x="0" y="0"/>
                            <a:ext cx="1041668" cy="1728000"/>
                          </a:xfrm>
                          <a:prstGeom prst="rect">
                            <a:avLst/>
                          </a:prstGeom>
                        </pic:spPr>
                      </pic:pic>
                    </a:graphicData>
                  </a:graphic>
                </wp:inline>
              </w:drawing>
            </w:r>
          </w:p>
          <w:p w14:paraId="346B54A3">
            <w:pPr>
              <w:pStyle w:val="78"/>
            </w:pPr>
            <w:r>
              <w:rPr>
                <w:rFonts w:hint="eastAsia"/>
              </w:rPr>
              <w:t>地上废水管道</w:t>
            </w:r>
          </w:p>
        </w:tc>
        <w:tc>
          <w:tcPr>
            <w:tcW w:w="2977" w:type="dxa"/>
            <w:vAlign w:val="center"/>
          </w:tcPr>
          <w:p w14:paraId="7BDC6E29">
            <w:pPr>
              <w:pStyle w:val="78"/>
              <w:jc w:val="left"/>
              <w:rPr>
                <w:b/>
              </w:rPr>
            </w:pPr>
            <w:r>
              <w:rPr>
                <w:rFonts w:hint="eastAsia"/>
                <w:b/>
              </w:rPr>
              <w:t>新建地下废水排水系统：</w:t>
            </w:r>
          </w:p>
          <w:p w14:paraId="4E3A6DE1">
            <w:pPr>
              <w:pStyle w:val="78"/>
              <w:jc w:val="left"/>
            </w:pPr>
            <w:r>
              <w:rPr>
                <w:rFonts w:hint="eastAsia"/>
              </w:rPr>
              <w:t>(</w:t>
            </w:r>
            <w:r>
              <w:t>1)</w:t>
            </w:r>
            <w:r>
              <w:rPr>
                <w:rFonts w:hint="eastAsia"/>
              </w:rPr>
              <w:t>防渗阻隔设施；</w:t>
            </w:r>
          </w:p>
          <w:p w14:paraId="26CE89A3">
            <w:pPr>
              <w:pStyle w:val="78"/>
              <w:ind w:left="210" w:hanging="210" w:hangingChars="100"/>
              <w:jc w:val="left"/>
            </w:pPr>
            <w:r>
              <w:rPr>
                <w:rFonts w:hint="eastAsia"/>
              </w:rPr>
              <w:t>(</w:t>
            </w:r>
            <w:r>
              <w:t>2)</w:t>
            </w:r>
            <w:r>
              <w:rPr>
                <w:rFonts w:hint="eastAsia"/>
              </w:rPr>
              <w:t>注意排水沟、污泥收集设施、油水分离设施、设施连接处和有关涵洞、排水口等，防止渗漏；</w:t>
            </w:r>
          </w:p>
          <w:p w14:paraId="133F5647">
            <w:pPr>
              <w:pStyle w:val="78"/>
              <w:jc w:val="left"/>
            </w:pPr>
            <w:r>
              <w:rPr>
                <w:rFonts w:hint="eastAsia"/>
              </w:rPr>
              <w:t>(3)目视检查；</w:t>
            </w:r>
          </w:p>
          <w:p w14:paraId="5601F000">
            <w:pPr>
              <w:pStyle w:val="78"/>
              <w:jc w:val="left"/>
            </w:pPr>
            <w:r>
              <w:rPr>
                <w:rFonts w:hint="eastAsia"/>
              </w:rPr>
              <w:t>(4)日常维护。</w:t>
            </w:r>
          </w:p>
          <w:p w14:paraId="7E46393B">
            <w:pPr>
              <w:pStyle w:val="78"/>
              <w:jc w:val="left"/>
              <w:rPr>
                <w:b/>
              </w:rPr>
            </w:pPr>
            <w:r>
              <w:rPr>
                <w:rFonts w:hint="eastAsia"/>
                <w:b/>
              </w:rPr>
              <w:t>地上废水排水系统：</w:t>
            </w:r>
          </w:p>
          <w:p w14:paraId="6A843251">
            <w:pPr>
              <w:pStyle w:val="78"/>
              <w:jc w:val="left"/>
            </w:pPr>
            <w:r>
              <w:rPr>
                <w:rFonts w:hint="eastAsia"/>
              </w:rPr>
              <w:t>(</w:t>
            </w:r>
            <w:r>
              <w:t>1)</w:t>
            </w:r>
            <w:r>
              <w:rPr>
                <w:rFonts w:hint="eastAsia"/>
              </w:rPr>
              <w:t>防渗设计和建设；</w:t>
            </w:r>
          </w:p>
          <w:p w14:paraId="1A307FE7">
            <w:pPr>
              <w:pStyle w:val="78"/>
              <w:ind w:left="210" w:hanging="210" w:hangingChars="100"/>
              <w:jc w:val="left"/>
            </w:pPr>
            <w:r>
              <w:rPr>
                <w:rFonts w:hint="eastAsia"/>
              </w:rPr>
              <w:t>(</w:t>
            </w:r>
            <w:r>
              <w:t>2)</w:t>
            </w:r>
            <w:r>
              <w:rPr>
                <w:rFonts w:hint="eastAsia"/>
              </w:rPr>
              <w:t>注意排水沟、污泥收集设施、油水分离设施、设施连接处和有关涵洞、排水口等，防止渗漏；</w:t>
            </w:r>
          </w:p>
          <w:p w14:paraId="4BEE956B">
            <w:pPr>
              <w:pStyle w:val="78"/>
              <w:ind w:left="210" w:hanging="210" w:hangingChars="100"/>
              <w:jc w:val="left"/>
            </w:pPr>
            <w:r>
              <w:rPr>
                <w:rFonts w:hint="eastAsia"/>
              </w:rPr>
              <w:t>(</w:t>
            </w:r>
            <w:r>
              <w:t>3)</w:t>
            </w:r>
            <w:r>
              <w:rPr>
                <w:rFonts w:hint="eastAsia"/>
              </w:rPr>
              <w:t>定期开展防渗效果检查；</w:t>
            </w:r>
          </w:p>
          <w:p w14:paraId="73C20F68">
            <w:pPr>
              <w:pStyle w:val="78"/>
              <w:jc w:val="left"/>
            </w:pPr>
            <w:r>
              <w:rPr>
                <w:rFonts w:hint="eastAsia"/>
              </w:rPr>
              <w:t>(</w:t>
            </w:r>
            <w:r>
              <w:t>4)</w:t>
            </w:r>
            <w:r>
              <w:rPr>
                <w:rFonts w:hint="eastAsia"/>
              </w:rPr>
              <w:t>日常维护。</w:t>
            </w:r>
          </w:p>
        </w:tc>
        <w:tc>
          <w:tcPr>
            <w:tcW w:w="1284" w:type="dxa"/>
            <w:vAlign w:val="center"/>
          </w:tcPr>
          <w:p w14:paraId="76D5F3B3">
            <w:pPr>
              <w:pStyle w:val="78"/>
            </w:pPr>
            <w:r>
              <w:rPr>
                <w:rFonts w:hint="eastAsia"/>
              </w:rPr>
              <w:t>措施合理</w:t>
            </w:r>
          </w:p>
        </w:tc>
        <w:tc>
          <w:tcPr>
            <w:tcW w:w="1701" w:type="dxa"/>
            <w:vAlign w:val="center"/>
          </w:tcPr>
          <w:p w14:paraId="08F32207">
            <w:pPr>
              <w:pStyle w:val="78"/>
            </w:pPr>
            <w:r>
              <w:rPr>
                <w:rFonts w:hint="eastAsia"/>
              </w:rPr>
              <w:t>继续保持无需整改</w:t>
            </w:r>
          </w:p>
        </w:tc>
      </w:tr>
      <w:tr w14:paraId="6973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0B70648">
            <w:pPr>
              <w:pStyle w:val="78"/>
            </w:pPr>
            <w:r>
              <w:rPr>
                <w:rFonts w:hint="eastAsia"/>
              </w:rPr>
              <w:t>2</w:t>
            </w:r>
          </w:p>
        </w:tc>
        <w:tc>
          <w:tcPr>
            <w:tcW w:w="1134" w:type="dxa"/>
            <w:vAlign w:val="center"/>
          </w:tcPr>
          <w:p w14:paraId="4878DAFD">
            <w:pPr>
              <w:pStyle w:val="78"/>
            </w:pPr>
            <w:r>
              <w:rPr>
                <w:rFonts w:hint="eastAsia"/>
              </w:rPr>
              <w:t>应急收集系统(事故水池、雨水监控池)</w:t>
            </w:r>
          </w:p>
        </w:tc>
        <w:tc>
          <w:tcPr>
            <w:tcW w:w="2835" w:type="dxa"/>
            <w:vAlign w:val="center"/>
          </w:tcPr>
          <w:p w14:paraId="4F7DB669">
            <w:pPr>
              <w:pStyle w:val="78"/>
              <w:ind w:left="210" w:hanging="210" w:hangingChars="100"/>
              <w:jc w:val="left"/>
            </w:pPr>
            <w:r>
              <w:rPr>
                <w:rFonts w:hint="eastAsia"/>
              </w:rPr>
              <w:t>(1)事故水池常空，雨水监控池雨水监控合格后方能排出，</w:t>
            </w:r>
            <w:r>
              <w:t>防渗池体</w:t>
            </w:r>
            <w:r>
              <w:rPr>
                <w:rFonts w:hint="eastAsia"/>
              </w:rPr>
              <w:t>；</w:t>
            </w:r>
          </w:p>
          <w:p w14:paraId="2AB638C0">
            <w:pPr>
              <w:pStyle w:val="78"/>
              <w:ind w:left="210" w:hanging="210" w:hangingChars="100"/>
              <w:jc w:val="left"/>
            </w:pPr>
            <w:r>
              <w:rPr>
                <w:rFonts w:hint="eastAsia"/>
              </w:rPr>
              <w:t>(2)定期</w:t>
            </w:r>
            <w:r>
              <w:t>对池体进行维修保护</w:t>
            </w:r>
            <w:r>
              <w:rPr>
                <w:rFonts w:hint="eastAsia"/>
              </w:rPr>
              <w:t>，开展防渗效果检查</w:t>
            </w:r>
            <w:r>
              <w:t>；</w:t>
            </w:r>
          </w:p>
          <w:p w14:paraId="5F75E5CA">
            <w:pPr>
              <w:pStyle w:val="78"/>
              <w:ind w:left="210" w:hanging="210" w:hangingChars="100"/>
              <w:jc w:val="left"/>
            </w:pPr>
            <w:r>
              <w:rPr>
                <w:rFonts w:hint="eastAsia"/>
              </w:rPr>
              <w:t>(</w:t>
            </w:r>
            <w:r>
              <w:t>3</w:t>
            </w:r>
            <w:r>
              <w:rPr>
                <w:rFonts w:hint="eastAsia"/>
              </w:rPr>
              <w:t>)</w:t>
            </w:r>
            <w:r>
              <w:t>定期针对“应对泄漏事件”进行演练。</w:t>
            </w:r>
          </w:p>
        </w:tc>
        <w:tc>
          <w:tcPr>
            <w:tcW w:w="3686" w:type="dxa"/>
            <w:vAlign w:val="center"/>
          </w:tcPr>
          <w:p w14:paraId="3EDD3186">
            <w:pPr>
              <w:pStyle w:val="78"/>
            </w:pPr>
            <w:r>
              <w:drawing>
                <wp:inline distT="0" distB="0" distL="0" distR="0">
                  <wp:extent cx="2159635" cy="1460500"/>
                  <wp:effectExtent l="0" t="0" r="0" b="6350"/>
                  <wp:docPr id="123311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1568" name="图片 1"/>
                          <pic:cNvPicPr>
                            <a:picLocks noChangeAspect="1" noChangeArrowheads="1"/>
                          </pic:cNvPicPr>
                        </pic:nvPicPr>
                        <pic:blipFill>
                          <a:blip r:embed="rId64"/>
                          <a:srcRect b="16974"/>
                          <a:stretch>
                            <a:fillRect/>
                          </a:stretch>
                        </pic:blipFill>
                        <pic:spPr>
                          <a:xfrm>
                            <a:off x="0" y="0"/>
                            <a:ext cx="2160000" cy="1460504"/>
                          </a:xfrm>
                          <a:prstGeom prst="rect">
                            <a:avLst/>
                          </a:prstGeom>
                          <a:noFill/>
                          <a:ln>
                            <a:noFill/>
                          </a:ln>
                        </pic:spPr>
                      </pic:pic>
                    </a:graphicData>
                  </a:graphic>
                </wp:inline>
              </w:drawing>
            </w:r>
          </w:p>
          <w:p w14:paraId="5AD1DD35">
            <w:pPr>
              <w:pStyle w:val="78"/>
            </w:pPr>
            <w:r>
              <w:rPr>
                <w:rFonts w:hint="eastAsia"/>
              </w:rPr>
              <w:t>事故应急池</w:t>
            </w:r>
          </w:p>
          <w:p w14:paraId="4A74B3D3">
            <w:pPr>
              <w:pStyle w:val="78"/>
            </w:pPr>
            <w:r>
              <w:drawing>
                <wp:inline distT="0" distB="0" distL="0" distR="0">
                  <wp:extent cx="2159635" cy="1406525"/>
                  <wp:effectExtent l="0" t="0" r="0" b="3175"/>
                  <wp:docPr id="17304205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20509" name="图片 3"/>
                          <pic:cNvPicPr>
                            <a:picLocks noChangeAspect="1" noChangeArrowheads="1"/>
                          </pic:cNvPicPr>
                        </pic:nvPicPr>
                        <pic:blipFill>
                          <a:blip r:embed="rId65"/>
                          <a:srcRect t="13122"/>
                          <a:stretch>
                            <a:fillRect/>
                          </a:stretch>
                        </pic:blipFill>
                        <pic:spPr>
                          <a:xfrm>
                            <a:off x="0" y="0"/>
                            <a:ext cx="2160000" cy="1407157"/>
                          </a:xfrm>
                          <a:prstGeom prst="rect">
                            <a:avLst/>
                          </a:prstGeom>
                          <a:noFill/>
                          <a:ln>
                            <a:noFill/>
                          </a:ln>
                        </pic:spPr>
                      </pic:pic>
                    </a:graphicData>
                  </a:graphic>
                </wp:inline>
              </w:drawing>
            </w:r>
          </w:p>
          <w:p w14:paraId="48FD53F8">
            <w:pPr>
              <w:pStyle w:val="78"/>
            </w:pPr>
            <w:r>
              <w:rPr>
                <w:rFonts w:hint="eastAsia"/>
              </w:rPr>
              <w:t>雨水监控池</w:t>
            </w:r>
          </w:p>
        </w:tc>
        <w:tc>
          <w:tcPr>
            <w:tcW w:w="2977" w:type="dxa"/>
            <w:vAlign w:val="center"/>
          </w:tcPr>
          <w:p w14:paraId="398B25EA">
            <w:pPr>
              <w:pStyle w:val="78"/>
              <w:jc w:val="left"/>
            </w:pPr>
            <w:r>
              <w:t>地下或半地下储存池要求：防渗池体；泄漏检测 设施；定期检查泄漏检测 设施，确保正常运行，日 常目视检查，日常维护。</w:t>
            </w:r>
          </w:p>
        </w:tc>
        <w:tc>
          <w:tcPr>
            <w:tcW w:w="1284" w:type="dxa"/>
            <w:vAlign w:val="center"/>
          </w:tcPr>
          <w:p w14:paraId="2A3A4D2A">
            <w:pPr>
              <w:pStyle w:val="78"/>
            </w:pPr>
            <w:r>
              <w:rPr>
                <w:rFonts w:hint="eastAsia"/>
              </w:rPr>
              <w:t>措施合理</w:t>
            </w:r>
          </w:p>
        </w:tc>
        <w:tc>
          <w:tcPr>
            <w:tcW w:w="1701" w:type="dxa"/>
            <w:vAlign w:val="center"/>
          </w:tcPr>
          <w:p w14:paraId="19AEFEDB">
            <w:pPr>
              <w:pStyle w:val="78"/>
            </w:pPr>
            <w:r>
              <w:rPr>
                <w:rFonts w:hint="eastAsia"/>
              </w:rPr>
              <w:t>继续保持无需整改</w:t>
            </w:r>
          </w:p>
        </w:tc>
      </w:tr>
      <w:tr w14:paraId="78DE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EC265BF">
            <w:pPr>
              <w:pStyle w:val="78"/>
            </w:pPr>
            <w:r>
              <w:rPr>
                <w:rFonts w:hint="eastAsia"/>
              </w:rPr>
              <w:t>3</w:t>
            </w:r>
          </w:p>
        </w:tc>
        <w:tc>
          <w:tcPr>
            <w:tcW w:w="1134" w:type="dxa"/>
            <w:vAlign w:val="center"/>
          </w:tcPr>
          <w:p w14:paraId="32C65589">
            <w:pPr>
              <w:pStyle w:val="78"/>
            </w:pPr>
            <w:r>
              <w:rPr>
                <w:rFonts w:hint="eastAsia"/>
              </w:rPr>
              <w:t>应急收集系统(事故管网系统、雨水监控池进出水阀门、事故水池进水阀门)</w:t>
            </w:r>
          </w:p>
        </w:tc>
        <w:tc>
          <w:tcPr>
            <w:tcW w:w="2835" w:type="dxa"/>
            <w:vAlign w:val="center"/>
          </w:tcPr>
          <w:p w14:paraId="7DCC3A10">
            <w:pPr>
              <w:pStyle w:val="78"/>
              <w:jc w:val="left"/>
            </w:pPr>
            <w:r>
              <w:rPr>
                <w:rFonts w:hint="eastAsia"/>
              </w:rPr>
              <w:t>出水阀门常闭，不存在事故废水等自流出厂的情况</w:t>
            </w:r>
          </w:p>
        </w:tc>
        <w:tc>
          <w:tcPr>
            <w:tcW w:w="3686" w:type="dxa"/>
            <w:vAlign w:val="center"/>
          </w:tcPr>
          <w:p w14:paraId="7327C233">
            <w:pPr>
              <w:pStyle w:val="78"/>
            </w:pPr>
            <w:r>
              <w:drawing>
                <wp:inline distT="0" distB="0" distL="0" distR="0">
                  <wp:extent cx="215963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a:stretch>
                            <a:fillRect/>
                          </a:stretch>
                        </pic:blipFill>
                        <pic:spPr>
                          <a:xfrm>
                            <a:off x="0" y="0"/>
                            <a:ext cx="2160000" cy="1433286"/>
                          </a:xfrm>
                          <a:prstGeom prst="rect">
                            <a:avLst/>
                          </a:prstGeom>
                        </pic:spPr>
                      </pic:pic>
                    </a:graphicData>
                  </a:graphic>
                </wp:inline>
              </w:drawing>
            </w:r>
          </w:p>
          <w:p w14:paraId="26829869">
            <w:pPr>
              <w:pStyle w:val="78"/>
            </w:pPr>
            <w:r>
              <w:rPr>
                <w:rFonts w:hint="eastAsia"/>
              </w:rPr>
              <w:t>事故管网系统</w:t>
            </w:r>
          </w:p>
          <w:p w14:paraId="0D90534B">
            <w:pPr>
              <w:pStyle w:val="78"/>
            </w:pPr>
            <w:r>
              <w:drawing>
                <wp:inline distT="0" distB="0" distL="0" distR="0">
                  <wp:extent cx="2159635" cy="14268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7"/>
                          <a:stretch>
                            <a:fillRect/>
                          </a:stretch>
                        </pic:blipFill>
                        <pic:spPr>
                          <a:xfrm>
                            <a:off x="0" y="0"/>
                            <a:ext cx="2160000" cy="1427298"/>
                          </a:xfrm>
                          <a:prstGeom prst="rect">
                            <a:avLst/>
                          </a:prstGeom>
                        </pic:spPr>
                      </pic:pic>
                    </a:graphicData>
                  </a:graphic>
                </wp:inline>
              </w:drawing>
            </w:r>
          </w:p>
          <w:p w14:paraId="6FCFB5F7">
            <w:pPr>
              <w:pStyle w:val="78"/>
            </w:pPr>
            <w:r>
              <w:rPr>
                <w:rFonts w:hint="eastAsia"/>
              </w:rPr>
              <w:t>雨水监控池出</w:t>
            </w:r>
            <w:r>
              <w:t>水口截断阀</w:t>
            </w:r>
          </w:p>
          <w:p w14:paraId="70B6EE8E">
            <w:pPr>
              <w:pStyle w:val="78"/>
            </w:pPr>
            <w:r>
              <w:drawing>
                <wp:inline distT="0" distB="0" distL="0" distR="0">
                  <wp:extent cx="2159635" cy="152019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8"/>
                          <a:stretch>
                            <a:fillRect/>
                          </a:stretch>
                        </pic:blipFill>
                        <pic:spPr>
                          <a:xfrm>
                            <a:off x="0" y="0"/>
                            <a:ext cx="2160000" cy="1520383"/>
                          </a:xfrm>
                          <a:prstGeom prst="rect">
                            <a:avLst/>
                          </a:prstGeom>
                        </pic:spPr>
                      </pic:pic>
                    </a:graphicData>
                  </a:graphic>
                </wp:inline>
              </w:drawing>
            </w:r>
          </w:p>
          <w:p w14:paraId="1EDC7B17">
            <w:pPr>
              <w:pStyle w:val="78"/>
            </w:pPr>
            <w:r>
              <w:rPr>
                <w:rFonts w:hint="eastAsia"/>
              </w:rPr>
              <w:t>事故应急池进水口阀门</w:t>
            </w:r>
          </w:p>
        </w:tc>
        <w:tc>
          <w:tcPr>
            <w:tcW w:w="2977" w:type="dxa"/>
            <w:vAlign w:val="center"/>
          </w:tcPr>
          <w:p w14:paraId="653B919A">
            <w:pPr>
              <w:pStyle w:val="78"/>
              <w:ind w:left="210" w:hanging="210" w:hangingChars="100"/>
              <w:jc w:val="left"/>
            </w:pPr>
            <w:r>
              <w:t>(1)定期开展防渗效果检 查；</w:t>
            </w:r>
          </w:p>
          <w:p w14:paraId="0B6ADDD3">
            <w:pPr>
              <w:pStyle w:val="78"/>
              <w:jc w:val="left"/>
            </w:pPr>
            <w:r>
              <w:t>(2)日常维护。</w:t>
            </w:r>
          </w:p>
        </w:tc>
        <w:tc>
          <w:tcPr>
            <w:tcW w:w="1284" w:type="dxa"/>
            <w:vAlign w:val="center"/>
          </w:tcPr>
          <w:p w14:paraId="1DCCB189">
            <w:pPr>
              <w:pStyle w:val="78"/>
            </w:pPr>
            <w:r>
              <w:rPr>
                <w:rFonts w:hint="eastAsia"/>
              </w:rPr>
              <w:t>措施合理</w:t>
            </w:r>
          </w:p>
        </w:tc>
        <w:tc>
          <w:tcPr>
            <w:tcW w:w="1701" w:type="dxa"/>
            <w:vAlign w:val="center"/>
          </w:tcPr>
          <w:p w14:paraId="50C38BFE">
            <w:pPr>
              <w:pStyle w:val="78"/>
            </w:pPr>
            <w:r>
              <w:rPr>
                <w:rFonts w:hint="eastAsia"/>
              </w:rPr>
              <w:t>继续保持无需整改</w:t>
            </w:r>
          </w:p>
        </w:tc>
      </w:tr>
      <w:tr w14:paraId="59DB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0C6935D">
            <w:pPr>
              <w:pStyle w:val="78"/>
            </w:pPr>
            <w:r>
              <w:t>4</w:t>
            </w:r>
          </w:p>
        </w:tc>
        <w:tc>
          <w:tcPr>
            <w:tcW w:w="1134" w:type="dxa"/>
            <w:vAlign w:val="center"/>
          </w:tcPr>
          <w:p w14:paraId="4D101473">
            <w:pPr>
              <w:pStyle w:val="78"/>
            </w:pPr>
            <w:r>
              <w:t>分析</w:t>
            </w:r>
            <w:r>
              <w:rPr>
                <w:rFonts w:hint="eastAsia"/>
              </w:rPr>
              <w:t>化验</w:t>
            </w:r>
            <w:r>
              <w:t>室</w:t>
            </w:r>
          </w:p>
        </w:tc>
        <w:tc>
          <w:tcPr>
            <w:tcW w:w="2835" w:type="dxa"/>
            <w:vAlign w:val="center"/>
          </w:tcPr>
          <w:p w14:paraId="52CD87D6">
            <w:pPr>
              <w:pStyle w:val="78"/>
              <w:ind w:left="210" w:hanging="210" w:hangingChars="100"/>
              <w:jc w:val="left"/>
            </w:pPr>
            <w:r>
              <w:t>(1)</w:t>
            </w:r>
            <w:r>
              <w:rPr>
                <w:rFonts w:hint="eastAsia"/>
              </w:rPr>
              <w:t>分析化验室</w:t>
            </w:r>
            <w:r>
              <w:t>使用的药剂存放于实验柜子中，里面设置有托盘，可承装可能发生泄漏物料；</w:t>
            </w:r>
          </w:p>
          <w:p w14:paraId="7502538B">
            <w:pPr>
              <w:pStyle w:val="78"/>
              <w:jc w:val="left"/>
            </w:pPr>
            <w:r>
              <w:t>(3)日常定期进行维护；</w:t>
            </w:r>
          </w:p>
          <w:p w14:paraId="4C93484E">
            <w:pPr>
              <w:pStyle w:val="78"/>
              <w:ind w:left="210" w:hanging="210" w:hangingChars="100"/>
              <w:jc w:val="left"/>
            </w:pPr>
            <w:r>
              <w:t>(4)</w:t>
            </w:r>
            <w:r>
              <w:rPr>
                <w:rFonts w:hint="eastAsia"/>
              </w:rPr>
              <w:t>定期</w:t>
            </w:r>
            <w:r>
              <w:t>目视检查实验室的药剂存放情况；</w:t>
            </w:r>
          </w:p>
          <w:p w14:paraId="7CED6C6C">
            <w:pPr>
              <w:pStyle w:val="78"/>
              <w:ind w:left="210" w:hanging="210" w:hangingChars="100"/>
              <w:jc w:val="left"/>
            </w:pPr>
            <w:r>
              <w:t>(5)实验室地面为防腐地面。</w:t>
            </w:r>
          </w:p>
        </w:tc>
        <w:tc>
          <w:tcPr>
            <w:tcW w:w="3686" w:type="dxa"/>
            <w:vAlign w:val="center"/>
          </w:tcPr>
          <w:p w14:paraId="4536376D">
            <w:pPr>
              <w:pStyle w:val="78"/>
            </w:pPr>
            <w:r>
              <w:drawing>
                <wp:inline distT="0" distB="0" distL="0" distR="0">
                  <wp:extent cx="2159635" cy="14770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9"/>
                          <a:stretch>
                            <a:fillRect/>
                          </a:stretch>
                        </pic:blipFill>
                        <pic:spPr>
                          <a:xfrm>
                            <a:off x="0" y="0"/>
                            <a:ext cx="2160000" cy="1477108"/>
                          </a:xfrm>
                          <a:prstGeom prst="rect">
                            <a:avLst/>
                          </a:prstGeom>
                        </pic:spPr>
                      </pic:pic>
                    </a:graphicData>
                  </a:graphic>
                </wp:inline>
              </w:drawing>
            </w:r>
          </w:p>
          <w:p w14:paraId="5A8D82FA">
            <w:pPr>
              <w:pStyle w:val="78"/>
            </w:pPr>
            <w:r>
              <w:rPr>
                <w:rFonts w:hint="eastAsia"/>
              </w:rPr>
              <w:t>药剂柜</w:t>
            </w:r>
          </w:p>
          <w:p w14:paraId="7D3F9BC6">
            <w:pPr>
              <w:pStyle w:val="78"/>
            </w:pPr>
            <w:r>
              <w:drawing>
                <wp:inline distT="0" distB="0" distL="0" distR="0">
                  <wp:extent cx="2159635" cy="1492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0"/>
                          <a:stretch>
                            <a:fillRect/>
                          </a:stretch>
                        </pic:blipFill>
                        <pic:spPr>
                          <a:xfrm>
                            <a:off x="0" y="0"/>
                            <a:ext cx="2160000" cy="1492592"/>
                          </a:xfrm>
                          <a:prstGeom prst="rect">
                            <a:avLst/>
                          </a:prstGeom>
                        </pic:spPr>
                      </pic:pic>
                    </a:graphicData>
                  </a:graphic>
                </wp:inline>
              </w:drawing>
            </w:r>
          </w:p>
          <w:p w14:paraId="1B8832D1">
            <w:pPr>
              <w:pStyle w:val="78"/>
            </w:pPr>
            <w:r>
              <w:rPr>
                <w:rFonts w:hint="eastAsia"/>
              </w:rPr>
              <w:t>维护记录</w:t>
            </w:r>
          </w:p>
          <w:p w14:paraId="23640E42">
            <w:pPr>
              <w:pStyle w:val="78"/>
            </w:pPr>
            <w:r>
              <w:drawing>
                <wp:inline distT="0" distB="0" distL="0" distR="0">
                  <wp:extent cx="2159635" cy="1360805"/>
                  <wp:effectExtent l="0" t="0" r="0" b="0"/>
                  <wp:docPr id="1842936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36313" name="图片 1"/>
                          <pic:cNvPicPr>
                            <a:picLocks noChangeAspect="1"/>
                          </pic:cNvPicPr>
                        </pic:nvPicPr>
                        <pic:blipFill>
                          <a:blip r:embed="rId71"/>
                          <a:stretch>
                            <a:fillRect/>
                          </a:stretch>
                        </pic:blipFill>
                        <pic:spPr>
                          <a:xfrm>
                            <a:off x="0" y="0"/>
                            <a:ext cx="2162549" cy="1362804"/>
                          </a:xfrm>
                          <a:prstGeom prst="rect">
                            <a:avLst/>
                          </a:prstGeom>
                        </pic:spPr>
                      </pic:pic>
                    </a:graphicData>
                  </a:graphic>
                </wp:inline>
              </w:drawing>
            </w:r>
          </w:p>
          <w:p w14:paraId="3B65539C">
            <w:pPr>
              <w:pStyle w:val="78"/>
            </w:pPr>
            <w:r>
              <w:rPr>
                <w:rFonts w:hint="eastAsia"/>
              </w:rPr>
              <w:t>防腐地面</w:t>
            </w:r>
          </w:p>
        </w:tc>
        <w:tc>
          <w:tcPr>
            <w:tcW w:w="2977" w:type="dxa"/>
            <w:vAlign w:val="center"/>
          </w:tcPr>
          <w:p w14:paraId="3228FB37">
            <w:pPr>
              <w:pStyle w:val="78"/>
              <w:jc w:val="left"/>
            </w:pPr>
            <w:r>
              <w:t>(1)普通阻隔设施；</w:t>
            </w:r>
          </w:p>
          <w:p w14:paraId="11A4D27F">
            <w:pPr>
              <w:pStyle w:val="78"/>
              <w:ind w:left="210" w:hanging="210" w:hangingChars="100"/>
              <w:jc w:val="left"/>
            </w:pPr>
            <w:r>
              <w:t>(2)关键点位</w:t>
            </w:r>
            <w:r>
              <w:rPr>
                <w:rFonts w:hint="eastAsia"/>
              </w:rPr>
              <w:t>设置</w:t>
            </w:r>
            <w:r>
              <w:t>防滴漏设施；</w:t>
            </w:r>
          </w:p>
          <w:p w14:paraId="281AED97">
            <w:pPr>
              <w:pStyle w:val="78"/>
              <w:ind w:left="210" w:hanging="210" w:hangingChars="100"/>
              <w:jc w:val="left"/>
            </w:pPr>
            <w:r>
              <w:t>(3)渗漏、流失的液体得到有效收集并定期清理；</w:t>
            </w:r>
          </w:p>
          <w:p w14:paraId="39456290">
            <w:pPr>
              <w:pStyle w:val="78"/>
              <w:ind w:left="210" w:hanging="210" w:hangingChars="100"/>
              <w:jc w:val="left"/>
            </w:pPr>
            <w:r>
              <w:t>(4)定期清空防滴漏设施；日常维护和目视检查。</w:t>
            </w:r>
          </w:p>
        </w:tc>
        <w:tc>
          <w:tcPr>
            <w:tcW w:w="1284" w:type="dxa"/>
            <w:vAlign w:val="center"/>
          </w:tcPr>
          <w:p w14:paraId="35E2EE74">
            <w:pPr>
              <w:pStyle w:val="78"/>
            </w:pPr>
            <w:r>
              <w:rPr>
                <w:rFonts w:hint="eastAsia"/>
              </w:rPr>
              <w:t>措施合理</w:t>
            </w:r>
          </w:p>
        </w:tc>
        <w:tc>
          <w:tcPr>
            <w:tcW w:w="1701" w:type="dxa"/>
            <w:vAlign w:val="center"/>
          </w:tcPr>
          <w:p w14:paraId="5DE29E32">
            <w:pPr>
              <w:pStyle w:val="78"/>
            </w:pPr>
            <w:r>
              <w:rPr>
                <w:rFonts w:hint="eastAsia"/>
              </w:rPr>
              <w:t>继续保持无需整改</w:t>
            </w:r>
          </w:p>
        </w:tc>
      </w:tr>
      <w:tr w14:paraId="1851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D332C1E">
            <w:pPr>
              <w:pStyle w:val="78"/>
            </w:pPr>
            <w:r>
              <w:t>5</w:t>
            </w:r>
          </w:p>
        </w:tc>
        <w:tc>
          <w:tcPr>
            <w:tcW w:w="1134" w:type="dxa"/>
            <w:vAlign w:val="center"/>
          </w:tcPr>
          <w:p w14:paraId="3F3068D2">
            <w:pPr>
              <w:pStyle w:val="78"/>
            </w:pPr>
            <w:r>
              <w:t>一般</w:t>
            </w:r>
            <w:r>
              <w:rPr>
                <w:rFonts w:hint="eastAsia"/>
              </w:rPr>
              <w:t>工业固废</w:t>
            </w:r>
            <w:r>
              <w:t>库</w:t>
            </w:r>
          </w:p>
        </w:tc>
        <w:tc>
          <w:tcPr>
            <w:tcW w:w="2835" w:type="dxa"/>
            <w:vAlign w:val="center"/>
          </w:tcPr>
          <w:p w14:paraId="09B3872F">
            <w:pPr>
              <w:pStyle w:val="78"/>
              <w:ind w:left="210" w:hanging="210" w:hangingChars="100"/>
              <w:jc w:val="left"/>
            </w:pPr>
            <w:r>
              <w:rPr>
                <w:rFonts w:hint="eastAsia"/>
              </w:rPr>
              <w:t>(1)</w:t>
            </w:r>
            <w:r>
              <w:t>设置</w:t>
            </w:r>
            <w:r>
              <w:rPr>
                <w:rFonts w:hint="eastAsia"/>
              </w:rPr>
              <w:t>了</w:t>
            </w:r>
            <w:r>
              <w:t>一般固废暂存间；</w:t>
            </w:r>
          </w:p>
          <w:p w14:paraId="4755BC96">
            <w:pPr>
              <w:pStyle w:val="78"/>
              <w:ind w:left="210" w:hanging="210" w:hangingChars="100"/>
              <w:jc w:val="left"/>
            </w:pPr>
            <w:r>
              <w:rPr>
                <w:rFonts w:hint="eastAsia"/>
              </w:rPr>
              <w:t>(</w:t>
            </w:r>
            <w:r>
              <w:t>2</w:t>
            </w:r>
            <w:r>
              <w:rPr>
                <w:rFonts w:hint="eastAsia"/>
              </w:rPr>
              <w:t>)</w:t>
            </w:r>
            <w:r>
              <w:t>产生的一般工业固体废物在贮存库分类暂存，暂存库位于室内，防风、防雨、防晒，暂存后交由物资回收单位回收；</w:t>
            </w:r>
          </w:p>
          <w:p w14:paraId="3F3205AC">
            <w:pPr>
              <w:pStyle w:val="78"/>
              <w:ind w:left="210" w:hanging="210" w:hangingChars="100"/>
              <w:jc w:val="left"/>
            </w:pPr>
            <w:r>
              <w:rPr>
                <w:rFonts w:hint="eastAsia"/>
              </w:rPr>
              <w:t>(</w:t>
            </w:r>
            <w:r>
              <w:t>3</w:t>
            </w:r>
            <w:r>
              <w:rPr>
                <w:rFonts w:hint="eastAsia"/>
              </w:rPr>
              <w:t>)</w:t>
            </w:r>
            <w:r>
              <w:t>且针对生活垃圾，进行分类收集处理，暂存后交由环卫部门进行拉运。</w:t>
            </w:r>
          </w:p>
        </w:tc>
        <w:tc>
          <w:tcPr>
            <w:tcW w:w="3686" w:type="dxa"/>
            <w:vAlign w:val="center"/>
          </w:tcPr>
          <w:p w14:paraId="60A8C8CC">
            <w:pPr>
              <w:pStyle w:val="78"/>
            </w:pPr>
            <w:r>
              <w:drawing>
                <wp:inline distT="0" distB="0" distL="0" distR="0">
                  <wp:extent cx="2159635" cy="146113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2"/>
                          <a:stretch>
                            <a:fillRect/>
                          </a:stretch>
                        </pic:blipFill>
                        <pic:spPr>
                          <a:xfrm>
                            <a:off x="0" y="0"/>
                            <a:ext cx="2160000" cy="1461237"/>
                          </a:xfrm>
                          <a:prstGeom prst="rect">
                            <a:avLst/>
                          </a:prstGeom>
                        </pic:spPr>
                      </pic:pic>
                    </a:graphicData>
                  </a:graphic>
                </wp:inline>
              </w:drawing>
            </w:r>
          </w:p>
          <w:p w14:paraId="1092CA37">
            <w:pPr>
              <w:pStyle w:val="78"/>
            </w:pPr>
            <w:r>
              <w:rPr>
                <w:rFonts w:hint="eastAsia"/>
              </w:rPr>
              <w:t>一般固废库</w:t>
            </w:r>
          </w:p>
          <w:p w14:paraId="7355F294">
            <w:pPr>
              <w:pStyle w:val="78"/>
            </w:pPr>
            <w:r>
              <w:drawing>
                <wp:inline distT="0" distB="0" distL="0" distR="0">
                  <wp:extent cx="2159000" cy="13843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3"/>
                          <a:srcRect t="18504"/>
                          <a:stretch>
                            <a:fillRect/>
                          </a:stretch>
                        </pic:blipFill>
                        <pic:spPr>
                          <a:xfrm>
                            <a:off x="0" y="0"/>
                            <a:ext cx="2160000" cy="1384625"/>
                          </a:xfrm>
                          <a:prstGeom prst="rect">
                            <a:avLst/>
                          </a:prstGeom>
                          <a:ln>
                            <a:noFill/>
                          </a:ln>
                        </pic:spPr>
                      </pic:pic>
                    </a:graphicData>
                  </a:graphic>
                </wp:inline>
              </w:drawing>
            </w:r>
          </w:p>
          <w:p w14:paraId="7D1078F6">
            <w:pPr>
              <w:pStyle w:val="78"/>
            </w:pPr>
            <w:r>
              <w:rPr>
                <w:rFonts w:hint="eastAsia"/>
              </w:rPr>
              <w:t>生活垃圾暂存点</w:t>
            </w:r>
          </w:p>
        </w:tc>
        <w:tc>
          <w:tcPr>
            <w:tcW w:w="2977" w:type="dxa"/>
            <w:vAlign w:val="center"/>
          </w:tcPr>
          <w:p w14:paraId="7BFD81A1">
            <w:pPr>
              <w:pStyle w:val="78"/>
              <w:jc w:val="left"/>
            </w:pPr>
            <w:r>
              <w:t>一般工业固体废物贮存场可按照《一般工业固体废物贮存和填埋污染控制标准》(GB185992020)的要求开展排查和整改。</w:t>
            </w:r>
          </w:p>
        </w:tc>
        <w:tc>
          <w:tcPr>
            <w:tcW w:w="1284" w:type="dxa"/>
            <w:vAlign w:val="center"/>
          </w:tcPr>
          <w:p w14:paraId="4762FEE4">
            <w:pPr>
              <w:pStyle w:val="78"/>
            </w:pPr>
            <w:r>
              <w:rPr>
                <w:rFonts w:hint="eastAsia"/>
              </w:rPr>
              <w:t>措施合理</w:t>
            </w:r>
          </w:p>
        </w:tc>
        <w:tc>
          <w:tcPr>
            <w:tcW w:w="1701" w:type="dxa"/>
            <w:vAlign w:val="center"/>
          </w:tcPr>
          <w:p w14:paraId="3BD93EFB">
            <w:pPr>
              <w:pStyle w:val="78"/>
            </w:pPr>
            <w:r>
              <w:rPr>
                <w:rFonts w:hint="eastAsia"/>
              </w:rPr>
              <w:t>继续保持无需整改</w:t>
            </w:r>
          </w:p>
        </w:tc>
      </w:tr>
      <w:tr w14:paraId="342D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3A8CDA9">
            <w:pPr>
              <w:pStyle w:val="78"/>
            </w:pPr>
            <w:r>
              <w:t>6</w:t>
            </w:r>
          </w:p>
        </w:tc>
        <w:tc>
          <w:tcPr>
            <w:tcW w:w="1134" w:type="dxa"/>
            <w:vAlign w:val="center"/>
          </w:tcPr>
          <w:p w14:paraId="5DE6ACFA">
            <w:pPr>
              <w:pStyle w:val="78"/>
            </w:pPr>
            <w:r>
              <w:rPr>
                <w:rFonts w:hint="eastAsia"/>
              </w:rPr>
              <w:t>危废库</w:t>
            </w:r>
          </w:p>
        </w:tc>
        <w:tc>
          <w:tcPr>
            <w:tcW w:w="2835" w:type="dxa"/>
            <w:vAlign w:val="center"/>
          </w:tcPr>
          <w:p w14:paraId="120C760B">
            <w:pPr>
              <w:pStyle w:val="78"/>
              <w:jc w:val="left"/>
            </w:pPr>
            <w:r>
              <w:rPr>
                <w:rFonts w:hint="eastAsia"/>
              </w:rPr>
              <w:t>(1)设置了一个危废库</w:t>
            </w:r>
            <w:r>
              <w:t>；</w:t>
            </w:r>
          </w:p>
          <w:p w14:paraId="5C247669">
            <w:pPr>
              <w:pStyle w:val="78"/>
              <w:ind w:left="210" w:hanging="210" w:hangingChars="100"/>
              <w:jc w:val="left"/>
            </w:pPr>
            <w:r>
              <w:rPr>
                <w:rFonts w:hint="eastAsia"/>
              </w:rPr>
              <w:t>(2)危废库门口设有漫坡，内部设有收集沟；</w:t>
            </w:r>
          </w:p>
          <w:p w14:paraId="7586D1D4">
            <w:pPr>
              <w:pStyle w:val="78"/>
              <w:ind w:left="210" w:hanging="210" w:hangingChars="100"/>
              <w:jc w:val="left"/>
            </w:pPr>
            <w:r>
              <w:rPr>
                <w:rFonts w:hint="eastAsia"/>
              </w:rPr>
              <w:t>(</w:t>
            </w:r>
            <w:r>
              <w:t>3</w:t>
            </w:r>
            <w:r>
              <w:rPr>
                <w:rFonts w:hint="eastAsia"/>
              </w:rPr>
              <w:t>)</w:t>
            </w:r>
            <w:r>
              <w:t>产生的</w:t>
            </w:r>
            <w:r>
              <w:rPr>
                <w:rFonts w:hint="eastAsia"/>
              </w:rPr>
              <w:t>危险</w:t>
            </w:r>
            <w:r>
              <w:t>废物在贮存库分类暂存，暂存库位于室内，防风、防雨、防晒</w:t>
            </w:r>
            <w:r>
              <w:rPr>
                <w:rFonts w:hint="eastAsia"/>
              </w:rPr>
              <w:t>，防渗</w:t>
            </w:r>
            <w:r>
              <w:t>，暂存后交由</w:t>
            </w:r>
            <w:r>
              <w:rPr>
                <w:rFonts w:hint="eastAsia"/>
              </w:rPr>
              <w:t>有资质</w:t>
            </w:r>
            <w:r>
              <w:t>单位</w:t>
            </w:r>
            <w:r>
              <w:rPr>
                <w:rFonts w:hint="eastAsia"/>
              </w:rPr>
              <w:t>外运。</w:t>
            </w:r>
          </w:p>
        </w:tc>
        <w:tc>
          <w:tcPr>
            <w:tcW w:w="3686" w:type="dxa"/>
            <w:vAlign w:val="center"/>
          </w:tcPr>
          <w:p w14:paraId="1CB0F330">
            <w:pPr>
              <w:pStyle w:val="78"/>
            </w:pPr>
            <w:r>
              <w:drawing>
                <wp:inline distT="0" distB="0" distL="0" distR="0">
                  <wp:extent cx="2159635" cy="1397000"/>
                  <wp:effectExtent l="0" t="0" r="0" b="0"/>
                  <wp:docPr id="181556290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62909" name="图片 20"/>
                          <pic:cNvPicPr>
                            <a:picLocks noChangeAspect="1" noChangeArrowheads="1"/>
                          </pic:cNvPicPr>
                        </pic:nvPicPr>
                        <pic:blipFill>
                          <a:blip r:embed="rId47"/>
                          <a:srcRect b="13696"/>
                          <a:stretch>
                            <a:fillRect/>
                          </a:stretch>
                        </pic:blipFill>
                        <pic:spPr>
                          <a:xfrm>
                            <a:off x="0" y="0"/>
                            <a:ext cx="2160000" cy="1397715"/>
                          </a:xfrm>
                          <a:prstGeom prst="rect">
                            <a:avLst/>
                          </a:prstGeom>
                          <a:noFill/>
                          <a:ln>
                            <a:noFill/>
                          </a:ln>
                        </pic:spPr>
                      </pic:pic>
                    </a:graphicData>
                  </a:graphic>
                </wp:inline>
              </w:drawing>
            </w:r>
          </w:p>
          <w:p w14:paraId="0C7FCDD6">
            <w:pPr>
              <w:pStyle w:val="78"/>
            </w:pPr>
            <w:r>
              <w:rPr>
                <w:rFonts w:hint="eastAsia"/>
              </w:rPr>
              <w:t>危废库及门口漫坡</w:t>
            </w:r>
          </w:p>
          <w:p w14:paraId="305A5613">
            <w:pPr>
              <w:pStyle w:val="78"/>
            </w:pPr>
            <w:r>
              <w:drawing>
                <wp:inline distT="0" distB="0" distL="0" distR="0">
                  <wp:extent cx="2159635" cy="1619250"/>
                  <wp:effectExtent l="0" t="0" r="0" b="0"/>
                  <wp:docPr id="13144935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93524" name="图片 22"/>
                          <pic:cNvPicPr>
                            <a:picLocks noChangeAspect="1" noChangeArrowheads="1"/>
                          </pic:cNvPicPr>
                        </pic:nvPicPr>
                        <pic:blipFill>
                          <a:blip r:embed="rId48"/>
                          <a:srcRect/>
                          <a:stretch>
                            <a:fillRect/>
                          </a:stretch>
                        </pic:blipFill>
                        <pic:spPr>
                          <a:xfrm>
                            <a:off x="0" y="0"/>
                            <a:ext cx="2160000" cy="1619769"/>
                          </a:xfrm>
                          <a:prstGeom prst="rect">
                            <a:avLst/>
                          </a:prstGeom>
                          <a:noFill/>
                          <a:ln>
                            <a:noFill/>
                          </a:ln>
                        </pic:spPr>
                      </pic:pic>
                    </a:graphicData>
                  </a:graphic>
                </wp:inline>
              </w:drawing>
            </w:r>
          </w:p>
          <w:p w14:paraId="53352911">
            <w:pPr>
              <w:pStyle w:val="78"/>
            </w:pPr>
            <w:r>
              <w:rPr>
                <w:rFonts w:hint="eastAsia"/>
              </w:rPr>
              <w:t>分类贮存</w:t>
            </w:r>
          </w:p>
          <w:p w14:paraId="31DB65A7">
            <w:pPr>
              <w:pStyle w:val="78"/>
            </w:pPr>
            <w:r>
              <w:drawing>
                <wp:inline distT="0" distB="0" distL="0" distR="0">
                  <wp:extent cx="1355090" cy="2159635"/>
                  <wp:effectExtent l="0" t="2223" r="0" b="0"/>
                  <wp:docPr id="4599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52" name="图片 21"/>
                          <pic:cNvPicPr>
                            <a:picLocks noChangeAspect="1" noChangeArrowheads="1"/>
                          </pic:cNvPicPr>
                        </pic:nvPicPr>
                        <pic:blipFill>
                          <a:blip r:embed="rId49"/>
                          <a:srcRect l="25326" t="16564"/>
                          <a:stretch>
                            <a:fillRect/>
                          </a:stretch>
                        </pic:blipFill>
                        <pic:spPr>
                          <a:xfrm rot="16200000">
                            <a:off x="0" y="0"/>
                            <a:ext cx="1357778" cy="2163444"/>
                          </a:xfrm>
                          <a:prstGeom prst="rect">
                            <a:avLst/>
                          </a:prstGeom>
                          <a:noFill/>
                          <a:ln>
                            <a:noFill/>
                          </a:ln>
                        </pic:spPr>
                      </pic:pic>
                    </a:graphicData>
                  </a:graphic>
                </wp:inline>
              </w:drawing>
            </w:r>
          </w:p>
          <w:p w14:paraId="502C9824">
            <w:pPr>
              <w:pStyle w:val="78"/>
            </w:pPr>
            <w:r>
              <w:rPr>
                <w:rFonts w:hint="eastAsia"/>
              </w:rPr>
              <w:t>收集沟</w:t>
            </w:r>
          </w:p>
        </w:tc>
        <w:tc>
          <w:tcPr>
            <w:tcW w:w="2977" w:type="dxa"/>
            <w:vAlign w:val="center"/>
          </w:tcPr>
          <w:p w14:paraId="59D58D18">
            <w:pPr>
              <w:pStyle w:val="78"/>
              <w:jc w:val="left"/>
            </w:pPr>
            <w:r>
              <w:rPr>
                <w:rFonts w:hint="eastAsia"/>
              </w:rPr>
              <w:t>危险废物贮存库可按照《</w:t>
            </w:r>
            <w:r>
              <w:t>危险废物贮存污染控制标准》(GB18597-2023)。</w:t>
            </w:r>
          </w:p>
        </w:tc>
        <w:tc>
          <w:tcPr>
            <w:tcW w:w="1284" w:type="dxa"/>
            <w:vAlign w:val="center"/>
          </w:tcPr>
          <w:p w14:paraId="7092C0C3">
            <w:pPr>
              <w:pStyle w:val="78"/>
            </w:pPr>
            <w:r>
              <w:rPr>
                <w:rFonts w:hint="eastAsia"/>
              </w:rPr>
              <w:t>措施合理</w:t>
            </w:r>
          </w:p>
        </w:tc>
        <w:tc>
          <w:tcPr>
            <w:tcW w:w="1701" w:type="dxa"/>
            <w:vAlign w:val="center"/>
          </w:tcPr>
          <w:p w14:paraId="48F9DA06">
            <w:pPr>
              <w:pStyle w:val="78"/>
            </w:pPr>
            <w:r>
              <w:rPr>
                <w:rFonts w:hint="eastAsia"/>
              </w:rPr>
              <w:t>继续保持无需整改</w:t>
            </w:r>
          </w:p>
        </w:tc>
      </w:tr>
    </w:tbl>
    <w:p w14:paraId="57D5C15E">
      <w:pPr>
        <w:pStyle w:val="3"/>
        <w:ind w:firstLine="480"/>
        <w:sectPr>
          <w:pgSz w:w="16838" w:h="11906" w:orient="landscape"/>
          <w:pgMar w:top="1800" w:right="1440" w:bottom="1800" w:left="1440" w:header="851" w:footer="992" w:gutter="0"/>
          <w:cols w:space="425" w:num="1"/>
          <w:docGrid w:type="lines" w:linePitch="326" w:charSpace="0"/>
        </w:sectPr>
      </w:pPr>
    </w:p>
    <w:p w14:paraId="35887BAB">
      <w:pPr>
        <w:pStyle w:val="4"/>
      </w:pPr>
      <w:bookmarkStart w:id="77" w:name="_Toc200527739"/>
      <w:bookmarkStart w:id="78" w:name="_Toc210915278"/>
      <w:r>
        <w:t>隐患排查台账</w:t>
      </w:r>
      <w:bookmarkEnd w:id="77"/>
      <w:bookmarkEnd w:id="78"/>
    </w:p>
    <w:p w14:paraId="7BFE1A19">
      <w:pPr>
        <w:pStyle w:val="3"/>
        <w:ind w:firstLine="480"/>
      </w:pPr>
      <w:r>
        <w:t>根据上述隐患排查情况，制作出以下土壤污染隐患排查与整改台账，具体如下</w:t>
      </w:r>
      <w:r>
        <w:rPr>
          <w:rFonts w:hint="eastAsia"/>
        </w:rPr>
        <w:t>表</w:t>
      </w:r>
      <w:r>
        <w:t>所示。</w:t>
      </w:r>
    </w:p>
    <w:p w14:paraId="12BDC889">
      <w:pPr>
        <w:pStyle w:val="14"/>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4.2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土壤污染隐患排查台账</w:t>
      </w:r>
    </w:p>
    <w:tbl>
      <w:tblPr>
        <w:tblStyle w:val="42"/>
        <w:tblW w:w="9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396"/>
        <w:gridCol w:w="1559"/>
        <w:gridCol w:w="1134"/>
        <w:gridCol w:w="708"/>
        <w:gridCol w:w="19"/>
        <w:gridCol w:w="1541"/>
        <w:gridCol w:w="8"/>
        <w:gridCol w:w="701"/>
        <w:gridCol w:w="991"/>
        <w:gridCol w:w="568"/>
        <w:gridCol w:w="8"/>
      </w:tblGrid>
      <w:tr w14:paraId="7888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9075" w:type="dxa"/>
            <w:gridSpan w:val="12"/>
            <w:vAlign w:val="center"/>
          </w:tcPr>
          <w:p w14:paraId="4A354441">
            <w:pPr>
              <w:pStyle w:val="78"/>
              <w:rPr>
                <w:b/>
                <w:sz w:val="30"/>
                <w:szCs w:val="30"/>
              </w:rPr>
            </w:pPr>
            <w:r>
              <w:rPr>
                <w:rFonts w:hint="eastAsia"/>
                <w:b/>
                <w:sz w:val="30"/>
                <w:szCs w:val="30"/>
              </w:rPr>
              <w:t>土壤隐患排查台账</w:t>
            </w:r>
          </w:p>
        </w:tc>
      </w:tr>
      <w:tr w14:paraId="591F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397" w:type="dxa"/>
            <w:gridSpan w:val="3"/>
            <w:vAlign w:val="center"/>
          </w:tcPr>
          <w:p w14:paraId="5AB18C92">
            <w:pPr>
              <w:pStyle w:val="78"/>
              <w:rPr>
                <w:b/>
              </w:rPr>
            </w:pPr>
            <w:r>
              <w:rPr>
                <w:rFonts w:hint="eastAsia"/>
                <w:b/>
              </w:rPr>
              <w:t>企业名称</w:t>
            </w:r>
          </w:p>
        </w:tc>
        <w:tc>
          <w:tcPr>
            <w:tcW w:w="1861" w:type="dxa"/>
            <w:gridSpan w:val="3"/>
            <w:vAlign w:val="center"/>
          </w:tcPr>
          <w:p w14:paraId="5CA3C1FA">
            <w:pPr>
              <w:pStyle w:val="78"/>
            </w:pPr>
            <w:r>
              <w:rPr>
                <w:rFonts w:hint="eastAsia"/>
              </w:rPr>
              <w:t>广东东粤化学科技有限公司</w:t>
            </w:r>
          </w:p>
        </w:tc>
        <w:tc>
          <w:tcPr>
            <w:tcW w:w="1549" w:type="dxa"/>
            <w:gridSpan w:val="2"/>
            <w:vAlign w:val="center"/>
          </w:tcPr>
          <w:p w14:paraId="181A1E83">
            <w:pPr>
              <w:pStyle w:val="78"/>
              <w:rPr>
                <w:b/>
              </w:rPr>
            </w:pPr>
            <w:r>
              <w:rPr>
                <w:rFonts w:hint="eastAsia"/>
                <w:b/>
              </w:rPr>
              <w:t>所属行业</w:t>
            </w:r>
          </w:p>
        </w:tc>
        <w:tc>
          <w:tcPr>
            <w:tcW w:w="2268" w:type="dxa"/>
            <w:gridSpan w:val="4"/>
            <w:vAlign w:val="center"/>
          </w:tcPr>
          <w:p w14:paraId="5D8BD960">
            <w:pPr>
              <w:pStyle w:val="78"/>
            </w:pPr>
            <w:r>
              <w:rPr>
                <w:rFonts w:hint="eastAsia"/>
              </w:rPr>
              <w:t>非金属废料和碎屑加工处理、有机化学原料制造</w:t>
            </w:r>
          </w:p>
        </w:tc>
      </w:tr>
      <w:tr w14:paraId="542C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397" w:type="dxa"/>
            <w:gridSpan w:val="3"/>
            <w:vAlign w:val="center"/>
          </w:tcPr>
          <w:p w14:paraId="54AA42F9">
            <w:pPr>
              <w:pStyle w:val="78"/>
              <w:rPr>
                <w:b/>
              </w:rPr>
            </w:pPr>
            <w:r>
              <w:rPr>
                <w:rFonts w:hint="eastAsia"/>
                <w:b/>
              </w:rPr>
              <w:t>现场排查负责人（签字）</w:t>
            </w:r>
          </w:p>
        </w:tc>
        <w:tc>
          <w:tcPr>
            <w:tcW w:w="1861" w:type="dxa"/>
            <w:gridSpan w:val="3"/>
            <w:vAlign w:val="center"/>
          </w:tcPr>
          <w:p w14:paraId="22D8213A">
            <w:pPr>
              <w:pStyle w:val="78"/>
            </w:pPr>
          </w:p>
        </w:tc>
        <w:tc>
          <w:tcPr>
            <w:tcW w:w="1549" w:type="dxa"/>
            <w:gridSpan w:val="2"/>
            <w:vAlign w:val="center"/>
          </w:tcPr>
          <w:p w14:paraId="587F6E95">
            <w:pPr>
              <w:pStyle w:val="78"/>
              <w:rPr>
                <w:b/>
              </w:rPr>
            </w:pPr>
            <w:r>
              <w:rPr>
                <w:rFonts w:hint="eastAsia"/>
                <w:b/>
              </w:rPr>
              <w:t>排查时间</w:t>
            </w:r>
          </w:p>
        </w:tc>
        <w:tc>
          <w:tcPr>
            <w:tcW w:w="2268" w:type="dxa"/>
            <w:gridSpan w:val="4"/>
            <w:vAlign w:val="center"/>
          </w:tcPr>
          <w:p w14:paraId="2BC23308">
            <w:pPr>
              <w:pStyle w:val="78"/>
            </w:pPr>
            <w:r>
              <w:rPr>
                <w:rFonts w:hint="eastAsia"/>
              </w:rPr>
              <w:t>2</w:t>
            </w:r>
            <w:r>
              <w:t>025</w:t>
            </w:r>
            <w:r>
              <w:rPr>
                <w:rFonts w:hint="eastAsia"/>
              </w:rPr>
              <w:t>年</w:t>
            </w:r>
            <w:r>
              <w:t>8</w:t>
            </w:r>
            <w:r>
              <w:rPr>
                <w:rFonts w:hint="eastAsia"/>
              </w:rPr>
              <w:t>月</w:t>
            </w:r>
          </w:p>
        </w:tc>
      </w:tr>
      <w:tr w14:paraId="1DEB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43" w:hRule="atLeast"/>
          <w:jc w:val="center"/>
        </w:trPr>
        <w:tc>
          <w:tcPr>
            <w:tcW w:w="442" w:type="dxa"/>
            <w:vAlign w:val="center"/>
          </w:tcPr>
          <w:p w14:paraId="19505BA3">
            <w:pPr>
              <w:pStyle w:val="78"/>
              <w:rPr>
                <w:b/>
              </w:rPr>
            </w:pPr>
            <w:r>
              <w:rPr>
                <w:rFonts w:hint="eastAsia"/>
                <w:b/>
              </w:rPr>
              <w:t>序号</w:t>
            </w:r>
          </w:p>
        </w:tc>
        <w:tc>
          <w:tcPr>
            <w:tcW w:w="1396" w:type="dxa"/>
            <w:vAlign w:val="center"/>
          </w:tcPr>
          <w:p w14:paraId="3AD83370">
            <w:pPr>
              <w:pStyle w:val="78"/>
              <w:rPr>
                <w:b/>
              </w:rPr>
            </w:pPr>
            <w:r>
              <w:rPr>
                <w:rFonts w:hint="eastAsia"/>
                <w:b/>
              </w:rPr>
              <w:t>涉及工业活动</w:t>
            </w:r>
          </w:p>
        </w:tc>
        <w:tc>
          <w:tcPr>
            <w:tcW w:w="1559" w:type="dxa"/>
            <w:vAlign w:val="center"/>
          </w:tcPr>
          <w:p w14:paraId="133A2482">
            <w:pPr>
              <w:pStyle w:val="78"/>
              <w:rPr>
                <w:b/>
              </w:rPr>
            </w:pPr>
            <w:r>
              <w:rPr>
                <w:rFonts w:hint="eastAsia"/>
                <w:b/>
              </w:rPr>
              <w:t>重点场所或者重点设施设备</w:t>
            </w:r>
          </w:p>
        </w:tc>
        <w:tc>
          <w:tcPr>
            <w:tcW w:w="1134" w:type="dxa"/>
            <w:vAlign w:val="center"/>
          </w:tcPr>
          <w:p w14:paraId="38975A61">
            <w:pPr>
              <w:pStyle w:val="78"/>
              <w:rPr>
                <w:b/>
              </w:rPr>
            </w:pPr>
            <w:r>
              <w:rPr>
                <w:rFonts w:hint="eastAsia"/>
                <w:b/>
              </w:rPr>
              <w:t>现场隐患内容</w:t>
            </w:r>
          </w:p>
        </w:tc>
        <w:tc>
          <w:tcPr>
            <w:tcW w:w="708" w:type="dxa"/>
            <w:vAlign w:val="center"/>
          </w:tcPr>
          <w:p w14:paraId="21731C33">
            <w:pPr>
              <w:pStyle w:val="78"/>
              <w:rPr>
                <w:b/>
              </w:rPr>
            </w:pPr>
            <w:r>
              <w:rPr>
                <w:rFonts w:hint="eastAsia"/>
                <w:b/>
              </w:rPr>
              <w:t>具体日期</w:t>
            </w:r>
          </w:p>
        </w:tc>
        <w:tc>
          <w:tcPr>
            <w:tcW w:w="1560" w:type="dxa"/>
            <w:gridSpan w:val="2"/>
            <w:vAlign w:val="center"/>
          </w:tcPr>
          <w:p w14:paraId="580D85A6">
            <w:pPr>
              <w:pStyle w:val="78"/>
              <w:rPr>
                <w:b/>
              </w:rPr>
            </w:pPr>
            <w:r>
              <w:rPr>
                <w:rFonts w:hint="eastAsia"/>
                <w:b/>
              </w:rPr>
              <w:t>整改措施</w:t>
            </w:r>
          </w:p>
        </w:tc>
        <w:tc>
          <w:tcPr>
            <w:tcW w:w="709" w:type="dxa"/>
            <w:gridSpan w:val="2"/>
            <w:vAlign w:val="center"/>
          </w:tcPr>
          <w:p w14:paraId="19CD2931">
            <w:pPr>
              <w:pStyle w:val="78"/>
              <w:rPr>
                <w:b/>
              </w:rPr>
            </w:pPr>
            <w:r>
              <w:rPr>
                <w:rFonts w:hint="eastAsia"/>
                <w:b/>
              </w:rPr>
              <w:t>整改建议</w:t>
            </w:r>
          </w:p>
        </w:tc>
        <w:tc>
          <w:tcPr>
            <w:tcW w:w="991" w:type="dxa"/>
            <w:vAlign w:val="center"/>
          </w:tcPr>
          <w:p w14:paraId="6EB20840">
            <w:pPr>
              <w:pStyle w:val="78"/>
              <w:rPr>
                <w:b/>
              </w:rPr>
            </w:pPr>
            <w:r>
              <w:rPr>
                <w:rFonts w:hint="eastAsia"/>
                <w:b/>
              </w:rPr>
              <w:t>整改建议日期</w:t>
            </w:r>
          </w:p>
        </w:tc>
        <w:tc>
          <w:tcPr>
            <w:tcW w:w="568" w:type="dxa"/>
            <w:vAlign w:val="center"/>
          </w:tcPr>
          <w:p w14:paraId="3EF37C15">
            <w:pPr>
              <w:pStyle w:val="78"/>
              <w:rPr>
                <w:b/>
              </w:rPr>
            </w:pPr>
            <w:r>
              <w:rPr>
                <w:rFonts w:hint="eastAsia"/>
                <w:b/>
              </w:rPr>
              <w:t>备注</w:t>
            </w:r>
          </w:p>
        </w:tc>
      </w:tr>
      <w:tr w14:paraId="366B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014D659E">
            <w:pPr>
              <w:pStyle w:val="78"/>
            </w:pPr>
            <w:r>
              <w:rPr>
                <w:rFonts w:hint="eastAsia"/>
              </w:rPr>
              <w:t>1</w:t>
            </w:r>
          </w:p>
        </w:tc>
        <w:tc>
          <w:tcPr>
            <w:tcW w:w="1396" w:type="dxa"/>
            <w:vAlign w:val="center"/>
          </w:tcPr>
          <w:p w14:paraId="11401387">
            <w:pPr>
              <w:pStyle w:val="78"/>
            </w:pPr>
            <w:r>
              <w:rPr>
                <w:rFonts w:hint="eastAsia"/>
              </w:rPr>
              <w:t>液体储存</w:t>
            </w:r>
          </w:p>
        </w:tc>
        <w:tc>
          <w:tcPr>
            <w:tcW w:w="1559" w:type="dxa"/>
            <w:vAlign w:val="center"/>
          </w:tcPr>
          <w:p w14:paraId="6239CD33">
            <w:pPr>
              <w:pStyle w:val="78"/>
            </w:pPr>
            <w:r>
              <w:rPr>
                <w:rFonts w:hint="eastAsia"/>
              </w:rPr>
              <w:t>球罐组</w:t>
            </w:r>
          </w:p>
        </w:tc>
        <w:tc>
          <w:tcPr>
            <w:tcW w:w="1134" w:type="dxa"/>
            <w:vAlign w:val="center"/>
          </w:tcPr>
          <w:p w14:paraId="5E821AD8">
            <w:pPr>
              <w:pStyle w:val="78"/>
            </w:pPr>
            <w:r>
              <w:rPr>
                <w:rFonts w:hint="eastAsia"/>
              </w:rPr>
              <w:t>渗漏、是否防渗等</w:t>
            </w:r>
          </w:p>
        </w:tc>
        <w:tc>
          <w:tcPr>
            <w:tcW w:w="708" w:type="dxa"/>
            <w:vAlign w:val="center"/>
          </w:tcPr>
          <w:p w14:paraId="404CB59F">
            <w:pPr>
              <w:pStyle w:val="78"/>
            </w:pPr>
            <w:r>
              <w:t>8</w:t>
            </w:r>
            <w:r>
              <w:rPr>
                <w:rFonts w:hint="eastAsia"/>
              </w:rPr>
              <w:t>月2</w:t>
            </w:r>
            <w:r>
              <w:t>7</w:t>
            </w:r>
            <w:r>
              <w:rPr>
                <w:rFonts w:hint="eastAsia"/>
              </w:rPr>
              <w:t>日</w:t>
            </w:r>
          </w:p>
        </w:tc>
        <w:tc>
          <w:tcPr>
            <w:tcW w:w="1560" w:type="dxa"/>
            <w:gridSpan w:val="2"/>
            <w:vAlign w:val="center"/>
          </w:tcPr>
          <w:p w14:paraId="59E076D7">
            <w:pPr>
              <w:pStyle w:val="78"/>
            </w:pPr>
            <w:r>
              <w:t>措施合理，无相关隐患点</w:t>
            </w:r>
          </w:p>
        </w:tc>
        <w:tc>
          <w:tcPr>
            <w:tcW w:w="709" w:type="dxa"/>
            <w:gridSpan w:val="2"/>
            <w:vAlign w:val="center"/>
          </w:tcPr>
          <w:p w14:paraId="133C0D65">
            <w:pPr>
              <w:pStyle w:val="78"/>
            </w:pPr>
            <w:r>
              <w:rPr>
                <w:rFonts w:hint="eastAsia"/>
              </w:rPr>
              <w:t>无</w:t>
            </w:r>
          </w:p>
        </w:tc>
        <w:tc>
          <w:tcPr>
            <w:tcW w:w="991" w:type="dxa"/>
            <w:vAlign w:val="center"/>
          </w:tcPr>
          <w:p w14:paraId="01DA95C4">
            <w:pPr>
              <w:pStyle w:val="78"/>
            </w:pPr>
            <w:r>
              <w:rPr>
                <w:rFonts w:hint="eastAsia"/>
              </w:rPr>
              <w:t>/</w:t>
            </w:r>
          </w:p>
        </w:tc>
        <w:tc>
          <w:tcPr>
            <w:tcW w:w="568" w:type="dxa"/>
            <w:vAlign w:val="center"/>
          </w:tcPr>
          <w:p w14:paraId="39B02AEA">
            <w:pPr>
              <w:pStyle w:val="78"/>
            </w:pPr>
          </w:p>
        </w:tc>
      </w:tr>
      <w:tr w14:paraId="38DC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45F84849">
            <w:pPr>
              <w:pStyle w:val="78"/>
            </w:pPr>
            <w:r>
              <w:rPr>
                <w:rFonts w:hint="eastAsia"/>
              </w:rPr>
              <w:t>2</w:t>
            </w:r>
          </w:p>
        </w:tc>
        <w:tc>
          <w:tcPr>
            <w:tcW w:w="1396" w:type="dxa"/>
            <w:vAlign w:val="center"/>
          </w:tcPr>
          <w:p w14:paraId="60F9FE92">
            <w:pPr>
              <w:pStyle w:val="78"/>
            </w:pPr>
            <w:r>
              <w:rPr>
                <w:rFonts w:hint="eastAsia"/>
              </w:rPr>
              <w:t>液体储存</w:t>
            </w:r>
          </w:p>
        </w:tc>
        <w:tc>
          <w:tcPr>
            <w:tcW w:w="1559" w:type="dxa"/>
            <w:vAlign w:val="center"/>
          </w:tcPr>
          <w:p w14:paraId="71A81003">
            <w:pPr>
              <w:pStyle w:val="78"/>
            </w:pPr>
            <w:r>
              <w:rPr>
                <w:rFonts w:hint="eastAsia"/>
              </w:rPr>
              <w:t>初期雨水池</w:t>
            </w:r>
          </w:p>
        </w:tc>
        <w:tc>
          <w:tcPr>
            <w:tcW w:w="1134" w:type="dxa"/>
            <w:vAlign w:val="center"/>
          </w:tcPr>
          <w:p w14:paraId="577B2F49">
            <w:pPr>
              <w:pStyle w:val="78"/>
            </w:pPr>
            <w:r>
              <w:rPr>
                <w:rFonts w:hint="eastAsia"/>
              </w:rPr>
              <w:t>渗漏、是否防渗等</w:t>
            </w:r>
          </w:p>
        </w:tc>
        <w:tc>
          <w:tcPr>
            <w:tcW w:w="708" w:type="dxa"/>
            <w:vAlign w:val="center"/>
          </w:tcPr>
          <w:p w14:paraId="2BD1E873">
            <w:pPr>
              <w:pStyle w:val="78"/>
            </w:pPr>
            <w:r>
              <w:t>8</w:t>
            </w:r>
            <w:r>
              <w:rPr>
                <w:rFonts w:hint="eastAsia"/>
              </w:rPr>
              <w:t>月2</w:t>
            </w:r>
            <w:r>
              <w:t>7</w:t>
            </w:r>
            <w:r>
              <w:rPr>
                <w:rFonts w:hint="eastAsia"/>
              </w:rPr>
              <w:t>日</w:t>
            </w:r>
          </w:p>
        </w:tc>
        <w:tc>
          <w:tcPr>
            <w:tcW w:w="1560" w:type="dxa"/>
            <w:gridSpan w:val="2"/>
            <w:vAlign w:val="center"/>
          </w:tcPr>
          <w:p w14:paraId="2ECF50F4">
            <w:pPr>
              <w:pStyle w:val="78"/>
            </w:pPr>
            <w:r>
              <w:t>措施合理，无相关隐患点</w:t>
            </w:r>
          </w:p>
        </w:tc>
        <w:tc>
          <w:tcPr>
            <w:tcW w:w="709" w:type="dxa"/>
            <w:gridSpan w:val="2"/>
            <w:vAlign w:val="center"/>
          </w:tcPr>
          <w:p w14:paraId="62617DED">
            <w:pPr>
              <w:pStyle w:val="78"/>
            </w:pPr>
            <w:r>
              <w:rPr>
                <w:rFonts w:hint="eastAsia"/>
              </w:rPr>
              <w:t>无</w:t>
            </w:r>
          </w:p>
        </w:tc>
        <w:tc>
          <w:tcPr>
            <w:tcW w:w="991" w:type="dxa"/>
            <w:vAlign w:val="center"/>
          </w:tcPr>
          <w:p w14:paraId="5128CC68">
            <w:pPr>
              <w:pStyle w:val="78"/>
            </w:pPr>
            <w:r>
              <w:rPr>
                <w:rFonts w:hint="eastAsia"/>
              </w:rPr>
              <w:t>/</w:t>
            </w:r>
          </w:p>
        </w:tc>
        <w:tc>
          <w:tcPr>
            <w:tcW w:w="568" w:type="dxa"/>
            <w:vAlign w:val="center"/>
          </w:tcPr>
          <w:p w14:paraId="25368D6C">
            <w:pPr>
              <w:pStyle w:val="78"/>
            </w:pPr>
          </w:p>
        </w:tc>
      </w:tr>
      <w:tr w14:paraId="2DF7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51" w:hRule="atLeast"/>
          <w:jc w:val="center"/>
        </w:trPr>
        <w:tc>
          <w:tcPr>
            <w:tcW w:w="442" w:type="dxa"/>
            <w:vAlign w:val="center"/>
          </w:tcPr>
          <w:p w14:paraId="6FF77D16">
            <w:pPr>
              <w:pStyle w:val="78"/>
            </w:pPr>
            <w:r>
              <w:rPr>
                <w:rFonts w:hint="eastAsia"/>
              </w:rPr>
              <w:t>3</w:t>
            </w:r>
          </w:p>
        </w:tc>
        <w:tc>
          <w:tcPr>
            <w:tcW w:w="1396" w:type="dxa"/>
            <w:vAlign w:val="center"/>
          </w:tcPr>
          <w:p w14:paraId="0486B293">
            <w:pPr>
              <w:pStyle w:val="78"/>
            </w:pPr>
            <w:r>
              <w:rPr>
                <w:rFonts w:hint="eastAsia"/>
              </w:rPr>
              <w:t>液体储存</w:t>
            </w:r>
          </w:p>
        </w:tc>
        <w:tc>
          <w:tcPr>
            <w:tcW w:w="1559" w:type="dxa"/>
            <w:vAlign w:val="center"/>
          </w:tcPr>
          <w:p w14:paraId="3E7D755D">
            <w:pPr>
              <w:pStyle w:val="78"/>
            </w:pPr>
            <w:r>
              <w:rPr>
                <w:rFonts w:hint="eastAsia"/>
              </w:rPr>
              <w:t>除盐水站加药间</w:t>
            </w:r>
          </w:p>
        </w:tc>
        <w:tc>
          <w:tcPr>
            <w:tcW w:w="1134" w:type="dxa"/>
            <w:vAlign w:val="center"/>
          </w:tcPr>
          <w:p w14:paraId="6E0C40F5">
            <w:pPr>
              <w:pStyle w:val="78"/>
            </w:pPr>
            <w:r>
              <w:rPr>
                <w:rFonts w:hint="eastAsia"/>
              </w:rPr>
              <w:t>渗漏、是否防渗等</w:t>
            </w:r>
          </w:p>
        </w:tc>
        <w:tc>
          <w:tcPr>
            <w:tcW w:w="708" w:type="dxa"/>
            <w:vAlign w:val="center"/>
          </w:tcPr>
          <w:p w14:paraId="6724DE7A">
            <w:pPr>
              <w:pStyle w:val="78"/>
            </w:pPr>
            <w:r>
              <w:t>8</w:t>
            </w:r>
            <w:r>
              <w:rPr>
                <w:rFonts w:hint="eastAsia"/>
              </w:rPr>
              <w:t>月2</w:t>
            </w:r>
            <w:r>
              <w:t>7</w:t>
            </w:r>
            <w:r>
              <w:rPr>
                <w:rFonts w:hint="eastAsia"/>
              </w:rPr>
              <w:t>日</w:t>
            </w:r>
          </w:p>
        </w:tc>
        <w:tc>
          <w:tcPr>
            <w:tcW w:w="1560" w:type="dxa"/>
            <w:gridSpan w:val="2"/>
            <w:vAlign w:val="center"/>
          </w:tcPr>
          <w:p w14:paraId="0C77E8AF">
            <w:pPr>
              <w:pStyle w:val="78"/>
            </w:pPr>
            <w:r>
              <w:t>措施合理，无相关隐患点</w:t>
            </w:r>
          </w:p>
        </w:tc>
        <w:tc>
          <w:tcPr>
            <w:tcW w:w="709" w:type="dxa"/>
            <w:gridSpan w:val="2"/>
            <w:vAlign w:val="center"/>
          </w:tcPr>
          <w:p w14:paraId="6F262670">
            <w:pPr>
              <w:pStyle w:val="78"/>
            </w:pPr>
            <w:r>
              <w:rPr>
                <w:rFonts w:hint="eastAsia"/>
              </w:rPr>
              <w:t>无</w:t>
            </w:r>
          </w:p>
        </w:tc>
        <w:tc>
          <w:tcPr>
            <w:tcW w:w="991" w:type="dxa"/>
            <w:vAlign w:val="center"/>
          </w:tcPr>
          <w:p w14:paraId="259D7E9D">
            <w:pPr>
              <w:pStyle w:val="78"/>
            </w:pPr>
            <w:r>
              <w:rPr>
                <w:rFonts w:hint="eastAsia"/>
              </w:rPr>
              <w:t>/</w:t>
            </w:r>
          </w:p>
        </w:tc>
        <w:tc>
          <w:tcPr>
            <w:tcW w:w="568" w:type="dxa"/>
            <w:vAlign w:val="center"/>
          </w:tcPr>
          <w:p w14:paraId="260F247A">
            <w:pPr>
              <w:pStyle w:val="78"/>
            </w:pPr>
          </w:p>
        </w:tc>
      </w:tr>
      <w:tr w14:paraId="112B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51" w:hRule="atLeast"/>
          <w:jc w:val="center"/>
        </w:trPr>
        <w:tc>
          <w:tcPr>
            <w:tcW w:w="442" w:type="dxa"/>
            <w:vAlign w:val="center"/>
          </w:tcPr>
          <w:p w14:paraId="330F6CE5">
            <w:pPr>
              <w:pStyle w:val="78"/>
            </w:pPr>
            <w:r>
              <w:t>4</w:t>
            </w:r>
          </w:p>
        </w:tc>
        <w:tc>
          <w:tcPr>
            <w:tcW w:w="1396" w:type="dxa"/>
            <w:vAlign w:val="center"/>
          </w:tcPr>
          <w:p w14:paraId="71D15DA9">
            <w:pPr>
              <w:pStyle w:val="78"/>
            </w:pPr>
            <w:r>
              <w:rPr>
                <w:rFonts w:hint="eastAsia"/>
              </w:rPr>
              <w:t>液体储存</w:t>
            </w:r>
          </w:p>
        </w:tc>
        <w:tc>
          <w:tcPr>
            <w:tcW w:w="1559" w:type="dxa"/>
            <w:vAlign w:val="center"/>
          </w:tcPr>
          <w:p w14:paraId="08031FBF">
            <w:pPr>
              <w:pStyle w:val="78"/>
            </w:pPr>
            <w:r>
              <w:rPr>
                <w:rFonts w:hint="eastAsia"/>
              </w:rPr>
              <w:t>化学品仓库</w:t>
            </w:r>
          </w:p>
        </w:tc>
        <w:tc>
          <w:tcPr>
            <w:tcW w:w="1134" w:type="dxa"/>
            <w:vAlign w:val="center"/>
          </w:tcPr>
          <w:p w14:paraId="7AE5A5E5">
            <w:pPr>
              <w:pStyle w:val="78"/>
            </w:pPr>
            <w:r>
              <w:rPr>
                <w:rFonts w:hint="eastAsia"/>
              </w:rPr>
              <w:t>渗漏、是否防渗等</w:t>
            </w:r>
          </w:p>
        </w:tc>
        <w:tc>
          <w:tcPr>
            <w:tcW w:w="708" w:type="dxa"/>
            <w:vAlign w:val="center"/>
          </w:tcPr>
          <w:p w14:paraId="571A3548">
            <w:pPr>
              <w:pStyle w:val="78"/>
            </w:pPr>
            <w:r>
              <w:t>8</w:t>
            </w:r>
            <w:r>
              <w:rPr>
                <w:rFonts w:hint="eastAsia"/>
              </w:rPr>
              <w:t>月2</w:t>
            </w:r>
            <w:r>
              <w:t>7</w:t>
            </w:r>
            <w:r>
              <w:rPr>
                <w:rFonts w:hint="eastAsia"/>
              </w:rPr>
              <w:t>日</w:t>
            </w:r>
          </w:p>
        </w:tc>
        <w:tc>
          <w:tcPr>
            <w:tcW w:w="1560" w:type="dxa"/>
            <w:gridSpan w:val="2"/>
            <w:vAlign w:val="center"/>
          </w:tcPr>
          <w:p w14:paraId="237AE4FF">
            <w:pPr>
              <w:pStyle w:val="78"/>
            </w:pPr>
            <w:r>
              <w:t>措施合理，无相关隐患点</w:t>
            </w:r>
          </w:p>
        </w:tc>
        <w:tc>
          <w:tcPr>
            <w:tcW w:w="709" w:type="dxa"/>
            <w:gridSpan w:val="2"/>
            <w:vAlign w:val="center"/>
          </w:tcPr>
          <w:p w14:paraId="3CAFDC4F">
            <w:pPr>
              <w:pStyle w:val="78"/>
            </w:pPr>
            <w:r>
              <w:rPr>
                <w:rFonts w:hint="eastAsia"/>
              </w:rPr>
              <w:t>无</w:t>
            </w:r>
          </w:p>
        </w:tc>
        <w:tc>
          <w:tcPr>
            <w:tcW w:w="991" w:type="dxa"/>
            <w:vAlign w:val="center"/>
          </w:tcPr>
          <w:p w14:paraId="41A39C17">
            <w:pPr>
              <w:pStyle w:val="78"/>
            </w:pPr>
            <w:r>
              <w:rPr>
                <w:rFonts w:hint="eastAsia"/>
              </w:rPr>
              <w:t>/</w:t>
            </w:r>
          </w:p>
        </w:tc>
        <w:tc>
          <w:tcPr>
            <w:tcW w:w="568" w:type="dxa"/>
            <w:vAlign w:val="center"/>
          </w:tcPr>
          <w:p w14:paraId="3CA7EC95">
            <w:pPr>
              <w:pStyle w:val="78"/>
            </w:pPr>
          </w:p>
        </w:tc>
      </w:tr>
      <w:tr w14:paraId="1E3F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7FC0363E">
            <w:pPr>
              <w:pStyle w:val="78"/>
            </w:pPr>
            <w:r>
              <w:t>5</w:t>
            </w:r>
          </w:p>
        </w:tc>
        <w:tc>
          <w:tcPr>
            <w:tcW w:w="1396" w:type="dxa"/>
            <w:vAlign w:val="center"/>
          </w:tcPr>
          <w:p w14:paraId="0BEDF77D">
            <w:pPr>
              <w:pStyle w:val="78"/>
            </w:pPr>
            <w:r>
              <w:rPr>
                <w:rFonts w:hint="eastAsia"/>
              </w:rPr>
              <w:t>液体储存</w:t>
            </w:r>
          </w:p>
        </w:tc>
        <w:tc>
          <w:tcPr>
            <w:tcW w:w="1559" w:type="dxa"/>
            <w:vAlign w:val="center"/>
          </w:tcPr>
          <w:p w14:paraId="433C3FC4">
            <w:pPr>
              <w:pStyle w:val="78"/>
            </w:pPr>
            <w:r>
              <w:rPr>
                <w:rFonts w:hint="eastAsia"/>
              </w:rPr>
              <w:t>危废库（液体储罐）</w:t>
            </w:r>
          </w:p>
        </w:tc>
        <w:tc>
          <w:tcPr>
            <w:tcW w:w="1134" w:type="dxa"/>
            <w:vAlign w:val="center"/>
          </w:tcPr>
          <w:p w14:paraId="7967155F">
            <w:pPr>
              <w:pStyle w:val="78"/>
            </w:pPr>
            <w:r>
              <w:rPr>
                <w:rFonts w:hint="eastAsia"/>
              </w:rPr>
              <w:t>渗漏、是否防渗等</w:t>
            </w:r>
          </w:p>
        </w:tc>
        <w:tc>
          <w:tcPr>
            <w:tcW w:w="708" w:type="dxa"/>
            <w:vAlign w:val="center"/>
          </w:tcPr>
          <w:p w14:paraId="02ABCF2F">
            <w:pPr>
              <w:pStyle w:val="78"/>
            </w:pPr>
            <w:r>
              <w:t>8</w:t>
            </w:r>
            <w:r>
              <w:rPr>
                <w:rFonts w:hint="eastAsia"/>
              </w:rPr>
              <w:t>月2</w:t>
            </w:r>
            <w:r>
              <w:t>7</w:t>
            </w:r>
            <w:r>
              <w:rPr>
                <w:rFonts w:hint="eastAsia"/>
              </w:rPr>
              <w:t>日</w:t>
            </w:r>
          </w:p>
        </w:tc>
        <w:tc>
          <w:tcPr>
            <w:tcW w:w="1560" w:type="dxa"/>
            <w:gridSpan w:val="2"/>
            <w:vAlign w:val="center"/>
          </w:tcPr>
          <w:p w14:paraId="1437E052">
            <w:pPr>
              <w:pStyle w:val="78"/>
            </w:pPr>
            <w:r>
              <w:t>措施合理，无相关隐患点</w:t>
            </w:r>
          </w:p>
        </w:tc>
        <w:tc>
          <w:tcPr>
            <w:tcW w:w="709" w:type="dxa"/>
            <w:gridSpan w:val="2"/>
            <w:vAlign w:val="center"/>
          </w:tcPr>
          <w:p w14:paraId="3EA55DA4">
            <w:pPr>
              <w:pStyle w:val="78"/>
            </w:pPr>
            <w:r>
              <w:rPr>
                <w:rFonts w:hint="eastAsia"/>
              </w:rPr>
              <w:t>无</w:t>
            </w:r>
          </w:p>
        </w:tc>
        <w:tc>
          <w:tcPr>
            <w:tcW w:w="991" w:type="dxa"/>
            <w:vAlign w:val="center"/>
          </w:tcPr>
          <w:p w14:paraId="690641BB">
            <w:pPr>
              <w:pStyle w:val="78"/>
            </w:pPr>
            <w:r>
              <w:rPr>
                <w:rFonts w:hint="eastAsia"/>
              </w:rPr>
              <w:t>/</w:t>
            </w:r>
          </w:p>
        </w:tc>
        <w:tc>
          <w:tcPr>
            <w:tcW w:w="568" w:type="dxa"/>
            <w:vAlign w:val="center"/>
          </w:tcPr>
          <w:p w14:paraId="30148504">
            <w:pPr>
              <w:pStyle w:val="78"/>
            </w:pPr>
          </w:p>
        </w:tc>
      </w:tr>
      <w:tr w14:paraId="72BD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6EBA2399">
            <w:pPr>
              <w:pStyle w:val="78"/>
            </w:pPr>
            <w:r>
              <w:rPr>
                <w:rFonts w:hint="eastAsia"/>
              </w:rPr>
              <w:t>6</w:t>
            </w:r>
          </w:p>
        </w:tc>
        <w:tc>
          <w:tcPr>
            <w:tcW w:w="1396" w:type="dxa"/>
            <w:vAlign w:val="center"/>
          </w:tcPr>
          <w:p w14:paraId="75F4A59B">
            <w:pPr>
              <w:pStyle w:val="78"/>
            </w:pPr>
            <w:r>
              <w:rPr>
                <w:rFonts w:hint="eastAsia"/>
              </w:rPr>
              <w:t>液体储存</w:t>
            </w:r>
          </w:p>
        </w:tc>
        <w:tc>
          <w:tcPr>
            <w:tcW w:w="1559" w:type="dxa"/>
            <w:vAlign w:val="center"/>
          </w:tcPr>
          <w:p w14:paraId="4582236B">
            <w:pPr>
              <w:pStyle w:val="78"/>
            </w:pPr>
            <w:r>
              <w:rPr>
                <w:rFonts w:hint="eastAsia"/>
              </w:rPr>
              <w:t>生产污水池</w:t>
            </w:r>
          </w:p>
        </w:tc>
        <w:tc>
          <w:tcPr>
            <w:tcW w:w="1134" w:type="dxa"/>
            <w:vAlign w:val="center"/>
          </w:tcPr>
          <w:p w14:paraId="2C95A04E">
            <w:pPr>
              <w:pStyle w:val="78"/>
            </w:pPr>
            <w:r>
              <w:rPr>
                <w:rFonts w:hint="eastAsia"/>
              </w:rPr>
              <w:t>渗漏、是否防渗等</w:t>
            </w:r>
          </w:p>
        </w:tc>
        <w:tc>
          <w:tcPr>
            <w:tcW w:w="708" w:type="dxa"/>
            <w:vAlign w:val="center"/>
          </w:tcPr>
          <w:p w14:paraId="0333A16A">
            <w:pPr>
              <w:pStyle w:val="78"/>
            </w:pPr>
            <w:r>
              <w:t>8</w:t>
            </w:r>
            <w:r>
              <w:rPr>
                <w:rFonts w:hint="eastAsia"/>
              </w:rPr>
              <w:t>月2</w:t>
            </w:r>
            <w:r>
              <w:t>7</w:t>
            </w:r>
            <w:r>
              <w:rPr>
                <w:rFonts w:hint="eastAsia"/>
              </w:rPr>
              <w:t>日</w:t>
            </w:r>
          </w:p>
        </w:tc>
        <w:tc>
          <w:tcPr>
            <w:tcW w:w="1560" w:type="dxa"/>
            <w:gridSpan w:val="2"/>
            <w:vAlign w:val="center"/>
          </w:tcPr>
          <w:p w14:paraId="6EC40126">
            <w:pPr>
              <w:pStyle w:val="78"/>
            </w:pPr>
            <w:r>
              <w:t>措施合理，无相关隐患点</w:t>
            </w:r>
          </w:p>
        </w:tc>
        <w:tc>
          <w:tcPr>
            <w:tcW w:w="709" w:type="dxa"/>
            <w:gridSpan w:val="2"/>
            <w:vAlign w:val="center"/>
          </w:tcPr>
          <w:p w14:paraId="706CFDFF">
            <w:pPr>
              <w:pStyle w:val="78"/>
            </w:pPr>
            <w:r>
              <w:rPr>
                <w:rFonts w:hint="eastAsia"/>
              </w:rPr>
              <w:t>无</w:t>
            </w:r>
          </w:p>
        </w:tc>
        <w:tc>
          <w:tcPr>
            <w:tcW w:w="991" w:type="dxa"/>
            <w:vAlign w:val="center"/>
          </w:tcPr>
          <w:p w14:paraId="205925D6">
            <w:pPr>
              <w:pStyle w:val="78"/>
            </w:pPr>
            <w:r>
              <w:rPr>
                <w:rFonts w:hint="eastAsia"/>
              </w:rPr>
              <w:t>/</w:t>
            </w:r>
          </w:p>
        </w:tc>
        <w:tc>
          <w:tcPr>
            <w:tcW w:w="568" w:type="dxa"/>
            <w:vAlign w:val="center"/>
          </w:tcPr>
          <w:p w14:paraId="170D4282">
            <w:pPr>
              <w:pStyle w:val="78"/>
            </w:pPr>
          </w:p>
        </w:tc>
      </w:tr>
      <w:tr w14:paraId="0169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51" w:hRule="atLeast"/>
          <w:jc w:val="center"/>
        </w:trPr>
        <w:tc>
          <w:tcPr>
            <w:tcW w:w="442" w:type="dxa"/>
            <w:vAlign w:val="center"/>
          </w:tcPr>
          <w:p w14:paraId="0E043250">
            <w:pPr>
              <w:pStyle w:val="78"/>
            </w:pPr>
            <w:r>
              <w:t>7</w:t>
            </w:r>
          </w:p>
        </w:tc>
        <w:tc>
          <w:tcPr>
            <w:tcW w:w="1396" w:type="dxa"/>
            <w:vAlign w:val="center"/>
          </w:tcPr>
          <w:p w14:paraId="520AD1C5">
            <w:pPr>
              <w:pStyle w:val="78"/>
            </w:pPr>
            <w:r>
              <w:rPr>
                <w:rFonts w:hint="eastAsia"/>
              </w:rPr>
              <w:t>散装液体转运与运输</w:t>
            </w:r>
          </w:p>
        </w:tc>
        <w:tc>
          <w:tcPr>
            <w:tcW w:w="1559" w:type="dxa"/>
            <w:vAlign w:val="center"/>
          </w:tcPr>
          <w:p w14:paraId="041E60F1">
            <w:pPr>
              <w:pStyle w:val="78"/>
            </w:pPr>
            <w:r>
              <w:rPr>
                <w:rFonts w:hint="eastAsia"/>
              </w:rPr>
              <w:t>装卸车装置</w:t>
            </w:r>
          </w:p>
        </w:tc>
        <w:tc>
          <w:tcPr>
            <w:tcW w:w="1134" w:type="dxa"/>
            <w:vAlign w:val="center"/>
          </w:tcPr>
          <w:p w14:paraId="1C79A005">
            <w:pPr>
              <w:pStyle w:val="78"/>
            </w:pPr>
            <w:r>
              <w:rPr>
                <w:rFonts w:hint="eastAsia"/>
              </w:rPr>
              <w:t>渗漏、是否防渗等</w:t>
            </w:r>
          </w:p>
        </w:tc>
        <w:tc>
          <w:tcPr>
            <w:tcW w:w="708" w:type="dxa"/>
            <w:vAlign w:val="center"/>
          </w:tcPr>
          <w:p w14:paraId="00FCA893">
            <w:pPr>
              <w:pStyle w:val="78"/>
            </w:pPr>
            <w:r>
              <w:t>8</w:t>
            </w:r>
            <w:r>
              <w:rPr>
                <w:rFonts w:hint="eastAsia"/>
              </w:rPr>
              <w:t>月2</w:t>
            </w:r>
            <w:r>
              <w:t>7</w:t>
            </w:r>
            <w:r>
              <w:rPr>
                <w:rFonts w:hint="eastAsia"/>
              </w:rPr>
              <w:t>日</w:t>
            </w:r>
          </w:p>
        </w:tc>
        <w:tc>
          <w:tcPr>
            <w:tcW w:w="1560" w:type="dxa"/>
            <w:gridSpan w:val="2"/>
            <w:vAlign w:val="center"/>
          </w:tcPr>
          <w:p w14:paraId="77DBD130">
            <w:pPr>
              <w:pStyle w:val="78"/>
            </w:pPr>
            <w:r>
              <w:t>措施合理，无相关隐患点</w:t>
            </w:r>
          </w:p>
        </w:tc>
        <w:tc>
          <w:tcPr>
            <w:tcW w:w="709" w:type="dxa"/>
            <w:gridSpan w:val="2"/>
            <w:vAlign w:val="center"/>
          </w:tcPr>
          <w:p w14:paraId="46F50AB6">
            <w:pPr>
              <w:pStyle w:val="78"/>
            </w:pPr>
            <w:r>
              <w:rPr>
                <w:rFonts w:hint="eastAsia"/>
              </w:rPr>
              <w:t>无</w:t>
            </w:r>
          </w:p>
        </w:tc>
        <w:tc>
          <w:tcPr>
            <w:tcW w:w="991" w:type="dxa"/>
            <w:vAlign w:val="center"/>
          </w:tcPr>
          <w:p w14:paraId="41A8B944">
            <w:pPr>
              <w:pStyle w:val="78"/>
            </w:pPr>
            <w:r>
              <w:rPr>
                <w:rFonts w:hint="eastAsia"/>
              </w:rPr>
              <w:t>/</w:t>
            </w:r>
          </w:p>
        </w:tc>
        <w:tc>
          <w:tcPr>
            <w:tcW w:w="568" w:type="dxa"/>
            <w:vAlign w:val="center"/>
          </w:tcPr>
          <w:p w14:paraId="00D834AF">
            <w:pPr>
              <w:pStyle w:val="78"/>
            </w:pPr>
          </w:p>
        </w:tc>
      </w:tr>
      <w:tr w14:paraId="58BF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6538C6B2">
            <w:pPr>
              <w:pStyle w:val="78"/>
            </w:pPr>
            <w:r>
              <w:t>8</w:t>
            </w:r>
          </w:p>
        </w:tc>
        <w:tc>
          <w:tcPr>
            <w:tcW w:w="1396" w:type="dxa"/>
            <w:vAlign w:val="center"/>
          </w:tcPr>
          <w:p w14:paraId="4E2B81EA">
            <w:pPr>
              <w:pStyle w:val="78"/>
            </w:pPr>
            <w:r>
              <w:rPr>
                <w:rFonts w:hint="eastAsia"/>
              </w:rPr>
              <w:t>散装液体转运与运输</w:t>
            </w:r>
          </w:p>
        </w:tc>
        <w:tc>
          <w:tcPr>
            <w:tcW w:w="1559" w:type="dxa"/>
            <w:vAlign w:val="center"/>
          </w:tcPr>
          <w:p w14:paraId="7623D362">
            <w:pPr>
              <w:pStyle w:val="78"/>
            </w:pPr>
            <w:r>
              <w:rPr>
                <w:rFonts w:hint="eastAsia"/>
              </w:rPr>
              <w:t>原料、产品管道</w:t>
            </w:r>
          </w:p>
        </w:tc>
        <w:tc>
          <w:tcPr>
            <w:tcW w:w="1134" w:type="dxa"/>
            <w:vAlign w:val="center"/>
          </w:tcPr>
          <w:p w14:paraId="57714D96">
            <w:pPr>
              <w:pStyle w:val="78"/>
            </w:pPr>
            <w:r>
              <w:rPr>
                <w:rFonts w:hint="eastAsia"/>
              </w:rPr>
              <w:t>渗漏、是否防渗等</w:t>
            </w:r>
          </w:p>
        </w:tc>
        <w:tc>
          <w:tcPr>
            <w:tcW w:w="708" w:type="dxa"/>
            <w:vAlign w:val="center"/>
          </w:tcPr>
          <w:p w14:paraId="30BA5E6B">
            <w:pPr>
              <w:pStyle w:val="78"/>
            </w:pPr>
            <w:r>
              <w:t>8</w:t>
            </w:r>
            <w:r>
              <w:rPr>
                <w:rFonts w:hint="eastAsia"/>
              </w:rPr>
              <w:t>月2</w:t>
            </w:r>
            <w:r>
              <w:t>7</w:t>
            </w:r>
            <w:r>
              <w:rPr>
                <w:rFonts w:hint="eastAsia"/>
              </w:rPr>
              <w:t>日</w:t>
            </w:r>
          </w:p>
        </w:tc>
        <w:tc>
          <w:tcPr>
            <w:tcW w:w="1560" w:type="dxa"/>
            <w:gridSpan w:val="2"/>
            <w:vAlign w:val="center"/>
          </w:tcPr>
          <w:p w14:paraId="78C4EA10">
            <w:pPr>
              <w:pStyle w:val="78"/>
            </w:pPr>
            <w:r>
              <w:t>措施合理，无相关隐患点</w:t>
            </w:r>
          </w:p>
        </w:tc>
        <w:tc>
          <w:tcPr>
            <w:tcW w:w="709" w:type="dxa"/>
            <w:gridSpan w:val="2"/>
            <w:vAlign w:val="center"/>
          </w:tcPr>
          <w:p w14:paraId="355454AF">
            <w:pPr>
              <w:pStyle w:val="78"/>
            </w:pPr>
            <w:r>
              <w:rPr>
                <w:rFonts w:hint="eastAsia"/>
              </w:rPr>
              <w:t>无</w:t>
            </w:r>
          </w:p>
        </w:tc>
        <w:tc>
          <w:tcPr>
            <w:tcW w:w="991" w:type="dxa"/>
            <w:vAlign w:val="center"/>
          </w:tcPr>
          <w:p w14:paraId="7F419490">
            <w:pPr>
              <w:pStyle w:val="78"/>
            </w:pPr>
            <w:r>
              <w:rPr>
                <w:rFonts w:hint="eastAsia"/>
              </w:rPr>
              <w:t>/</w:t>
            </w:r>
          </w:p>
        </w:tc>
        <w:tc>
          <w:tcPr>
            <w:tcW w:w="568" w:type="dxa"/>
            <w:vAlign w:val="center"/>
          </w:tcPr>
          <w:p w14:paraId="11ED5419">
            <w:pPr>
              <w:pStyle w:val="78"/>
            </w:pPr>
          </w:p>
        </w:tc>
      </w:tr>
      <w:tr w14:paraId="79BC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0456A915">
            <w:pPr>
              <w:pStyle w:val="78"/>
            </w:pPr>
            <w:r>
              <w:rPr>
                <w:rFonts w:hint="eastAsia"/>
              </w:rPr>
              <w:t>9</w:t>
            </w:r>
          </w:p>
        </w:tc>
        <w:tc>
          <w:tcPr>
            <w:tcW w:w="1396" w:type="dxa"/>
            <w:vAlign w:val="center"/>
          </w:tcPr>
          <w:p w14:paraId="0BA14C1F">
            <w:pPr>
              <w:pStyle w:val="78"/>
            </w:pPr>
            <w:r>
              <w:rPr>
                <w:rFonts w:hint="eastAsia"/>
              </w:rPr>
              <w:t>散装液体转运与运输</w:t>
            </w:r>
          </w:p>
        </w:tc>
        <w:tc>
          <w:tcPr>
            <w:tcW w:w="1559" w:type="dxa"/>
            <w:vAlign w:val="center"/>
          </w:tcPr>
          <w:p w14:paraId="45F1EB4C">
            <w:pPr>
              <w:pStyle w:val="78"/>
            </w:pPr>
            <w:r>
              <w:rPr>
                <w:rFonts w:hint="eastAsia"/>
              </w:rPr>
              <w:t>污水提升泵</w:t>
            </w:r>
          </w:p>
        </w:tc>
        <w:tc>
          <w:tcPr>
            <w:tcW w:w="1134" w:type="dxa"/>
            <w:vAlign w:val="center"/>
          </w:tcPr>
          <w:p w14:paraId="6CDC98A0">
            <w:pPr>
              <w:pStyle w:val="78"/>
            </w:pPr>
            <w:r>
              <w:rPr>
                <w:rFonts w:hint="eastAsia"/>
              </w:rPr>
              <w:t>渗漏、是否防渗等</w:t>
            </w:r>
          </w:p>
        </w:tc>
        <w:tc>
          <w:tcPr>
            <w:tcW w:w="708" w:type="dxa"/>
            <w:vAlign w:val="center"/>
          </w:tcPr>
          <w:p w14:paraId="65D8200B">
            <w:pPr>
              <w:pStyle w:val="78"/>
            </w:pPr>
            <w:r>
              <w:t>8</w:t>
            </w:r>
            <w:r>
              <w:rPr>
                <w:rFonts w:hint="eastAsia"/>
              </w:rPr>
              <w:t>月2</w:t>
            </w:r>
            <w:r>
              <w:t>7</w:t>
            </w:r>
            <w:r>
              <w:rPr>
                <w:rFonts w:hint="eastAsia"/>
              </w:rPr>
              <w:t>日</w:t>
            </w:r>
          </w:p>
        </w:tc>
        <w:tc>
          <w:tcPr>
            <w:tcW w:w="1560" w:type="dxa"/>
            <w:gridSpan w:val="2"/>
            <w:vAlign w:val="center"/>
          </w:tcPr>
          <w:p w14:paraId="2F5231D2">
            <w:pPr>
              <w:pStyle w:val="78"/>
            </w:pPr>
            <w:r>
              <w:t>措施合理，无相关隐患点</w:t>
            </w:r>
          </w:p>
        </w:tc>
        <w:tc>
          <w:tcPr>
            <w:tcW w:w="709" w:type="dxa"/>
            <w:gridSpan w:val="2"/>
            <w:vAlign w:val="center"/>
          </w:tcPr>
          <w:p w14:paraId="7F4E075F">
            <w:pPr>
              <w:pStyle w:val="78"/>
            </w:pPr>
            <w:r>
              <w:rPr>
                <w:rFonts w:hint="eastAsia"/>
              </w:rPr>
              <w:t>无</w:t>
            </w:r>
          </w:p>
        </w:tc>
        <w:tc>
          <w:tcPr>
            <w:tcW w:w="991" w:type="dxa"/>
            <w:vAlign w:val="center"/>
          </w:tcPr>
          <w:p w14:paraId="6F7DCFA7">
            <w:pPr>
              <w:pStyle w:val="78"/>
            </w:pPr>
            <w:r>
              <w:rPr>
                <w:rFonts w:hint="eastAsia"/>
              </w:rPr>
              <w:t>/</w:t>
            </w:r>
          </w:p>
        </w:tc>
        <w:tc>
          <w:tcPr>
            <w:tcW w:w="568" w:type="dxa"/>
            <w:vAlign w:val="center"/>
          </w:tcPr>
          <w:p w14:paraId="48943B85">
            <w:pPr>
              <w:pStyle w:val="78"/>
            </w:pPr>
          </w:p>
        </w:tc>
      </w:tr>
      <w:tr w14:paraId="4952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51" w:hRule="atLeast"/>
          <w:jc w:val="center"/>
        </w:trPr>
        <w:tc>
          <w:tcPr>
            <w:tcW w:w="442" w:type="dxa"/>
            <w:vAlign w:val="center"/>
          </w:tcPr>
          <w:p w14:paraId="2B5F9582">
            <w:pPr>
              <w:pStyle w:val="78"/>
            </w:pPr>
            <w:r>
              <w:rPr>
                <w:rFonts w:hint="eastAsia"/>
              </w:rPr>
              <w:t>1</w:t>
            </w:r>
            <w:r>
              <w:t>0</w:t>
            </w:r>
          </w:p>
        </w:tc>
        <w:tc>
          <w:tcPr>
            <w:tcW w:w="1396" w:type="dxa"/>
            <w:vAlign w:val="center"/>
          </w:tcPr>
          <w:p w14:paraId="0CF76DE2">
            <w:pPr>
              <w:pStyle w:val="78"/>
            </w:pPr>
            <w:r>
              <w:rPr>
                <w:rFonts w:hint="eastAsia"/>
              </w:rPr>
              <w:t>散装液体转运与运输</w:t>
            </w:r>
          </w:p>
        </w:tc>
        <w:tc>
          <w:tcPr>
            <w:tcW w:w="1559" w:type="dxa"/>
            <w:vAlign w:val="center"/>
          </w:tcPr>
          <w:p w14:paraId="0B3F3200">
            <w:pPr>
              <w:pStyle w:val="78"/>
            </w:pPr>
            <w:r>
              <w:rPr>
                <w:rFonts w:hint="eastAsia"/>
              </w:rPr>
              <w:t>物料传输泵</w:t>
            </w:r>
          </w:p>
        </w:tc>
        <w:tc>
          <w:tcPr>
            <w:tcW w:w="1134" w:type="dxa"/>
            <w:vAlign w:val="center"/>
          </w:tcPr>
          <w:p w14:paraId="126DD4A3">
            <w:pPr>
              <w:pStyle w:val="78"/>
            </w:pPr>
            <w:r>
              <w:rPr>
                <w:rFonts w:hint="eastAsia"/>
              </w:rPr>
              <w:t>渗漏、是否防渗等</w:t>
            </w:r>
          </w:p>
        </w:tc>
        <w:tc>
          <w:tcPr>
            <w:tcW w:w="708" w:type="dxa"/>
            <w:vAlign w:val="center"/>
          </w:tcPr>
          <w:p w14:paraId="1A833241">
            <w:pPr>
              <w:pStyle w:val="78"/>
            </w:pPr>
            <w:r>
              <w:t>8</w:t>
            </w:r>
            <w:r>
              <w:rPr>
                <w:rFonts w:hint="eastAsia"/>
              </w:rPr>
              <w:t>月2</w:t>
            </w:r>
            <w:r>
              <w:t>7</w:t>
            </w:r>
            <w:r>
              <w:rPr>
                <w:rFonts w:hint="eastAsia"/>
              </w:rPr>
              <w:t>日</w:t>
            </w:r>
          </w:p>
        </w:tc>
        <w:tc>
          <w:tcPr>
            <w:tcW w:w="1560" w:type="dxa"/>
            <w:gridSpan w:val="2"/>
            <w:vAlign w:val="center"/>
          </w:tcPr>
          <w:p w14:paraId="362BB491">
            <w:pPr>
              <w:pStyle w:val="78"/>
            </w:pPr>
            <w:r>
              <w:t>措施合理，无相关隐患点</w:t>
            </w:r>
          </w:p>
        </w:tc>
        <w:tc>
          <w:tcPr>
            <w:tcW w:w="709" w:type="dxa"/>
            <w:gridSpan w:val="2"/>
            <w:vAlign w:val="center"/>
          </w:tcPr>
          <w:p w14:paraId="45BAE70E">
            <w:pPr>
              <w:pStyle w:val="78"/>
            </w:pPr>
            <w:r>
              <w:rPr>
                <w:rFonts w:hint="eastAsia"/>
              </w:rPr>
              <w:t>无</w:t>
            </w:r>
          </w:p>
        </w:tc>
        <w:tc>
          <w:tcPr>
            <w:tcW w:w="991" w:type="dxa"/>
            <w:vAlign w:val="center"/>
          </w:tcPr>
          <w:p w14:paraId="2E3EEFC2">
            <w:pPr>
              <w:pStyle w:val="78"/>
            </w:pPr>
            <w:r>
              <w:rPr>
                <w:rFonts w:hint="eastAsia"/>
              </w:rPr>
              <w:t>/</w:t>
            </w:r>
          </w:p>
        </w:tc>
        <w:tc>
          <w:tcPr>
            <w:tcW w:w="568" w:type="dxa"/>
            <w:vAlign w:val="center"/>
          </w:tcPr>
          <w:p w14:paraId="3F80BFFE">
            <w:pPr>
              <w:pStyle w:val="78"/>
            </w:pPr>
          </w:p>
        </w:tc>
      </w:tr>
      <w:tr w14:paraId="0D0C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53FEFE21">
            <w:pPr>
              <w:pStyle w:val="78"/>
            </w:pPr>
            <w:r>
              <w:rPr>
                <w:rFonts w:hint="eastAsia"/>
              </w:rPr>
              <w:t>1</w:t>
            </w:r>
            <w:r>
              <w:t>1</w:t>
            </w:r>
          </w:p>
        </w:tc>
        <w:tc>
          <w:tcPr>
            <w:tcW w:w="1396" w:type="dxa"/>
            <w:vAlign w:val="center"/>
          </w:tcPr>
          <w:p w14:paraId="7868254E">
            <w:pPr>
              <w:pStyle w:val="78"/>
            </w:pPr>
            <w:r>
              <w:rPr>
                <w:rFonts w:hint="eastAsia"/>
              </w:rPr>
              <w:t>货物的储存和运输</w:t>
            </w:r>
          </w:p>
        </w:tc>
        <w:tc>
          <w:tcPr>
            <w:tcW w:w="1559" w:type="dxa"/>
            <w:vAlign w:val="center"/>
          </w:tcPr>
          <w:p w14:paraId="4E6C2210">
            <w:pPr>
              <w:pStyle w:val="78"/>
            </w:pPr>
            <w:r>
              <w:rPr>
                <w:rFonts w:hint="eastAsia"/>
              </w:rPr>
              <w:t>原料仓库、化学品仓库</w:t>
            </w:r>
          </w:p>
        </w:tc>
        <w:tc>
          <w:tcPr>
            <w:tcW w:w="1134" w:type="dxa"/>
            <w:vAlign w:val="center"/>
          </w:tcPr>
          <w:p w14:paraId="25639C0D">
            <w:pPr>
              <w:pStyle w:val="78"/>
            </w:pPr>
            <w:r>
              <w:rPr>
                <w:rFonts w:hint="eastAsia"/>
              </w:rPr>
              <w:t>渗漏、是否防渗等</w:t>
            </w:r>
          </w:p>
        </w:tc>
        <w:tc>
          <w:tcPr>
            <w:tcW w:w="708" w:type="dxa"/>
            <w:vAlign w:val="center"/>
          </w:tcPr>
          <w:p w14:paraId="79666933">
            <w:pPr>
              <w:pStyle w:val="78"/>
            </w:pPr>
            <w:r>
              <w:t>8</w:t>
            </w:r>
            <w:r>
              <w:rPr>
                <w:rFonts w:hint="eastAsia"/>
              </w:rPr>
              <w:t>月2</w:t>
            </w:r>
            <w:r>
              <w:t>7</w:t>
            </w:r>
            <w:r>
              <w:rPr>
                <w:rFonts w:hint="eastAsia"/>
              </w:rPr>
              <w:t>日</w:t>
            </w:r>
          </w:p>
        </w:tc>
        <w:tc>
          <w:tcPr>
            <w:tcW w:w="1560" w:type="dxa"/>
            <w:gridSpan w:val="2"/>
            <w:vAlign w:val="center"/>
          </w:tcPr>
          <w:p w14:paraId="68DEB87E">
            <w:pPr>
              <w:pStyle w:val="78"/>
            </w:pPr>
            <w:r>
              <w:t>措施合理，无相关隐患点</w:t>
            </w:r>
          </w:p>
        </w:tc>
        <w:tc>
          <w:tcPr>
            <w:tcW w:w="709" w:type="dxa"/>
            <w:gridSpan w:val="2"/>
            <w:vAlign w:val="center"/>
          </w:tcPr>
          <w:p w14:paraId="4358BA6D">
            <w:pPr>
              <w:pStyle w:val="78"/>
            </w:pPr>
            <w:r>
              <w:rPr>
                <w:rFonts w:hint="eastAsia"/>
              </w:rPr>
              <w:t>无</w:t>
            </w:r>
          </w:p>
        </w:tc>
        <w:tc>
          <w:tcPr>
            <w:tcW w:w="991" w:type="dxa"/>
            <w:vAlign w:val="center"/>
          </w:tcPr>
          <w:p w14:paraId="3DF4BCB7">
            <w:pPr>
              <w:pStyle w:val="78"/>
            </w:pPr>
            <w:r>
              <w:rPr>
                <w:rFonts w:hint="eastAsia"/>
              </w:rPr>
              <w:t>/</w:t>
            </w:r>
          </w:p>
        </w:tc>
        <w:tc>
          <w:tcPr>
            <w:tcW w:w="568" w:type="dxa"/>
            <w:vAlign w:val="center"/>
          </w:tcPr>
          <w:p w14:paraId="70F89F81">
            <w:pPr>
              <w:pStyle w:val="78"/>
            </w:pPr>
          </w:p>
        </w:tc>
      </w:tr>
      <w:tr w14:paraId="6EC5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565B07E1">
            <w:pPr>
              <w:pStyle w:val="78"/>
            </w:pPr>
            <w:r>
              <w:rPr>
                <w:rFonts w:hint="eastAsia"/>
              </w:rPr>
              <w:t>1</w:t>
            </w:r>
            <w:r>
              <w:t>2</w:t>
            </w:r>
          </w:p>
        </w:tc>
        <w:tc>
          <w:tcPr>
            <w:tcW w:w="1396" w:type="dxa"/>
            <w:vAlign w:val="center"/>
          </w:tcPr>
          <w:p w14:paraId="7D4A360D">
            <w:pPr>
              <w:pStyle w:val="78"/>
            </w:pPr>
            <w:r>
              <w:rPr>
                <w:rFonts w:hint="eastAsia"/>
              </w:rPr>
              <w:t>生产区</w:t>
            </w:r>
          </w:p>
        </w:tc>
        <w:tc>
          <w:tcPr>
            <w:tcW w:w="1559" w:type="dxa"/>
            <w:vAlign w:val="center"/>
          </w:tcPr>
          <w:p w14:paraId="23087F78">
            <w:pPr>
              <w:pStyle w:val="78"/>
            </w:pPr>
            <w:r>
              <w:rPr>
                <w:rFonts w:hint="eastAsia"/>
              </w:rPr>
              <w:t>原料化单元</w:t>
            </w:r>
          </w:p>
        </w:tc>
        <w:tc>
          <w:tcPr>
            <w:tcW w:w="1134" w:type="dxa"/>
            <w:vAlign w:val="center"/>
          </w:tcPr>
          <w:p w14:paraId="180EE40E">
            <w:pPr>
              <w:pStyle w:val="78"/>
            </w:pPr>
            <w:r>
              <w:rPr>
                <w:rFonts w:hint="eastAsia"/>
              </w:rPr>
              <w:t>渗漏、是否防渗等</w:t>
            </w:r>
          </w:p>
        </w:tc>
        <w:tc>
          <w:tcPr>
            <w:tcW w:w="708" w:type="dxa"/>
            <w:vAlign w:val="center"/>
          </w:tcPr>
          <w:p w14:paraId="0E4FAF2D">
            <w:pPr>
              <w:pStyle w:val="78"/>
            </w:pPr>
            <w:r>
              <w:t>8</w:t>
            </w:r>
            <w:r>
              <w:rPr>
                <w:rFonts w:hint="eastAsia"/>
              </w:rPr>
              <w:t>月2</w:t>
            </w:r>
            <w:r>
              <w:t>7</w:t>
            </w:r>
            <w:r>
              <w:rPr>
                <w:rFonts w:hint="eastAsia"/>
              </w:rPr>
              <w:t>日</w:t>
            </w:r>
          </w:p>
        </w:tc>
        <w:tc>
          <w:tcPr>
            <w:tcW w:w="1560" w:type="dxa"/>
            <w:gridSpan w:val="2"/>
            <w:vAlign w:val="center"/>
          </w:tcPr>
          <w:p w14:paraId="22000CC5">
            <w:pPr>
              <w:pStyle w:val="78"/>
            </w:pPr>
            <w:r>
              <w:t>措施合理，无相关隐患点</w:t>
            </w:r>
          </w:p>
        </w:tc>
        <w:tc>
          <w:tcPr>
            <w:tcW w:w="709" w:type="dxa"/>
            <w:gridSpan w:val="2"/>
            <w:vAlign w:val="center"/>
          </w:tcPr>
          <w:p w14:paraId="76F6969D">
            <w:pPr>
              <w:pStyle w:val="78"/>
            </w:pPr>
            <w:r>
              <w:rPr>
                <w:rFonts w:hint="eastAsia"/>
              </w:rPr>
              <w:t>无</w:t>
            </w:r>
          </w:p>
        </w:tc>
        <w:tc>
          <w:tcPr>
            <w:tcW w:w="991" w:type="dxa"/>
            <w:vAlign w:val="center"/>
          </w:tcPr>
          <w:p w14:paraId="6CFCF5F3">
            <w:pPr>
              <w:pStyle w:val="78"/>
            </w:pPr>
            <w:r>
              <w:rPr>
                <w:rFonts w:hint="eastAsia"/>
              </w:rPr>
              <w:t>/</w:t>
            </w:r>
          </w:p>
        </w:tc>
        <w:tc>
          <w:tcPr>
            <w:tcW w:w="568" w:type="dxa"/>
            <w:vAlign w:val="center"/>
          </w:tcPr>
          <w:p w14:paraId="3F74614A">
            <w:pPr>
              <w:pStyle w:val="78"/>
            </w:pPr>
          </w:p>
        </w:tc>
      </w:tr>
      <w:tr w14:paraId="51A6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4BAD806E">
            <w:pPr>
              <w:pStyle w:val="78"/>
            </w:pPr>
            <w:r>
              <w:rPr>
                <w:rFonts w:hint="eastAsia"/>
              </w:rPr>
              <w:t>1</w:t>
            </w:r>
            <w:r>
              <w:t>3</w:t>
            </w:r>
          </w:p>
        </w:tc>
        <w:tc>
          <w:tcPr>
            <w:tcW w:w="1396" w:type="dxa"/>
            <w:vAlign w:val="center"/>
          </w:tcPr>
          <w:p w14:paraId="5A24E2C3">
            <w:pPr>
              <w:pStyle w:val="78"/>
            </w:pPr>
            <w:r>
              <w:rPr>
                <w:rFonts w:hint="eastAsia"/>
              </w:rPr>
              <w:t>生产区</w:t>
            </w:r>
          </w:p>
        </w:tc>
        <w:tc>
          <w:tcPr>
            <w:tcW w:w="1559" w:type="dxa"/>
            <w:vAlign w:val="center"/>
          </w:tcPr>
          <w:p w14:paraId="541C34C5">
            <w:pPr>
              <w:pStyle w:val="78"/>
            </w:pPr>
            <w:r>
              <w:rPr>
                <w:rFonts w:hint="eastAsia"/>
              </w:rPr>
              <w:t>裂解单元</w:t>
            </w:r>
          </w:p>
        </w:tc>
        <w:tc>
          <w:tcPr>
            <w:tcW w:w="1134" w:type="dxa"/>
            <w:vAlign w:val="center"/>
          </w:tcPr>
          <w:p w14:paraId="592152EA">
            <w:pPr>
              <w:pStyle w:val="78"/>
            </w:pPr>
            <w:r>
              <w:rPr>
                <w:rFonts w:hint="eastAsia"/>
              </w:rPr>
              <w:t>渗漏、是否防渗等</w:t>
            </w:r>
          </w:p>
        </w:tc>
        <w:tc>
          <w:tcPr>
            <w:tcW w:w="708" w:type="dxa"/>
            <w:vAlign w:val="center"/>
          </w:tcPr>
          <w:p w14:paraId="6E76C3AE">
            <w:pPr>
              <w:pStyle w:val="78"/>
            </w:pPr>
            <w:r>
              <w:t>8</w:t>
            </w:r>
            <w:r>
              <w:rPr>
                <w:rFonts w:hint="eastAsia"/>
              </w:rPr>
              <w:t>月2</w:t>
            </w:r>
            <w:r>
              <w:t>7</w:t>
            </w:r>
            <w:r>
              <w:rPr>
                <w:rFonts w:hint="eastAsia"/>
              </w:rPr>
              <w:t>日</w:t>
            </w:r>
          </w:p>
        </w:tc>
        <w:tc>
          <w:tcPr>
            <w:tcW w:w="1560" w:type="dxa"/>
            <w:gridSpan w:val="2"/>
            <w:vAlign w:val="center"/>
          </w:tcPr>
          <w:p w14:paraId="5D3DE0E5">
            <w:pPr>
              <w:pStyle w:val="78"/>
            </w:pPr>
            <w:r>
              <w:t>措施合理，无相关隐患点</w:t>
            </w:r>
          </w:p>
        </w:tc>
        <w:tc>
          <w:tcPr>
            <w:tcW w:w="709" w:type="dxa"/>
            <w:gridSpan w:val="2"/>
            <w:vAlign w:val="center"/>
          </w:tcPr>
          <w:p w14:paraId="29E9A69B">
            <w:pPr>
              <w:pStyle w:val="78"/>
            </w:pPr>
            <w:r>
              <w:rPr>
                <w:rFonts w:hint="eastAsia"/>
              </w:rPr>
              <w:t>无</w:t>
            </w:r>
          </w:p>
        </w:tc>
        <w:tc>
          <w:tcPr>
            <w:tcW w:w="991" w:type="dxa"/>
            <w:vAlign w:val="center"/>
          </w:tcPr>
          <w:p w14:paraId="03A953FD">
            <w:pPr>
              <w:pStyle w:val="78"/>
            </w:pPr>
            <w:r>
              <w:rPr>
                <w:rFonts w:hint="eastAsia"/>
              </w:rPr>
              <w:t>/</w:t>
            </w:r>
          </w:p>
        </w:tc>
        <w:tc>
          <w:tcPr>
            <w:tcW w:w="568" w:type="dxa"/>
            <w:vAlign w:val="center"/>
          </w:tcPr>
          <w:p w14:paraId="1207D5EC">
            <w:pPr>
              <w:pStyle w:val="78"/>
            </w:pPr>
          </w:p>
        </w:tc>
      </w:tr>
      <w:tr w14:paraId="4182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51" w:hRule="atLeast"/>
          <w:jc w:val="center"/>
        </w:trPr>
        <w:tc>
          <w:tcPr>
            <w:tcW w:w="442" w:type="dxa"/>
            <w:vAlign w:val="center"/>
          </w:tcPr>
          <w:p w14:paraId="3325213E">
            <w:pPr>
              <w:pStyle w:val="78"/>
            </w:pPr>
            <w:r>
              <w:rPr>
                <w:rFonts w:hint="eastAsia"/>
              </w:rPr>
              <w:t>1</w:t>
            </w:r>
            <w:r>
              <w:t>4</w:t>
            </w:r>
          </w:p>
        </w:tc>
        <w:tc>
          <w:tcPr>
            <w:tcW w:w="1396" w:type="dxa"/>
            <w:vAlign w:val="center"/>
          </w:tcPr>
          <w:p w14:paraId="3279208A">
            <w:pPr>
              <w:pStyle w:val="78"/>
            </w:pPr>
            <w:r>
              <w:rPr>
                <w:rFonts w:hint="eastAsia"/>
              </w:rPr>
              <w:t>其他活动区</w:t>
            </w:r>
          </w:p>
        </w:tc>
        <w:tc>
          <w:tcPr>
            <w:tcW w:w="1559" w:type="dxa"/>
            <w:vAlign w:val="center"/>
          </w:tcPr>
          <w:p w14:paraId="6BE21FE1">
            <w:pPr>
              <w:pStyle w:val="78"/>
            </w:pPr>
            <w:r>
              <w:t>废水排水系统</w:t>
            </w:r>
          </w:p>
        </w:tc>
        <w:tc>
          <w:tcPr>
            <w:tcW w:w="1134" w:type="dxa"/>
            <w:vAlign w:val="center"/>
          </w:tcPr>
          <w:p w14:paraId="5CEDDB18">
            <w:pPr>
              <w:pStyle w:val="78"/>
            </w:pPr>
            <w:r>
              <w:rPr>
                <w:rFonts w:hint="eastAsia"/>
              </w:rPr>
              <w:t>渗漏、是否防渗等</w:t>
            </w:r>
          </w:p>
        </w:tc>
        <w:tc>
          <w:tcPr>
            <w:tcW w:w="708" w:type="dxa"/>
            <w:vAlign w:val="center"/>
          </w:tcPr>
          <w:p w14:paraId="2BFB1856">
            <w:pPr>
              <w:pStyle w:val="78"/>
            </w:pPr>
            <w:r>
              <w:t>8</w:t>
            </w:r>
            <w:r>
              <w:rPr>
                <w:rFonts w:hint="eastAsia"/>
              </w:rPr>
              <w:t>月2</w:t>
            </w:r>
            <w:r>
              <w:t>7</w:t>
            </w:r>
            <w:r>
              <w:rPr>
                <w:rFonts w:hint="eastAsia"/>
              </w:rPr>
              <w:t>日</w:t>
            </w:r>
          </w:p>
        </w:tc>
        <w:tc>
          <w:tcPr>
            <w:tcW w:w="1560" w:type="dxa"/>
            <w:gridSpan w:val="2"/>
            <w:vAlign w:val="center"/>
          </w:tcPr>
          <w:p w14:paraId="5AE1754E">
            <w:pPr>
              <w:pStyle w:val="78"/>
            </w:pPr>
            <w:r>
              <w:t>措施合理，无相关隐患点</w:t>
            </w:r>
          </w:p>
        </w:tc>
        <w:tc>
          <w:tcPr>
            <w:tcW w:w="709" w:type="dxa"/>
            <w:gridSpan w:val="2"/>
            <w:vAlign w:val="center"/>
          </w:tcPr>
          <w:p w14:paraId="165E17EA">
            <w:pPr>
              <w:pStyle w:val="78"/>
            </w:pPr>
            <w:r>
              <w:rPr>
                <w:rFonts w:hint="eastAsia"/>
              </w:rPr>
              <w:t>无</w:t>
            </w:r>
          </w:p>
        </w:tc>
        <w:tc>
          <w:tcPr>
            <w:tcW w:w="991" w:type="dxa"/>
            <w:vAlign w:val="center"/>
          </w:tcPr>
          <w:p w14:paraId="32C83909">
            <w:pPr>
              <w:pStyle w:val="78"/>
            </w:pPr>
            <w:r>
              <w:rPr>
                <w:rFonts w:hint="eastAsia"/>
              </w:rPr>
              <w:t>/</w:t>
            </w:r>
          </w:p>
        </w:tc>
        <w:tc>
          <w:tcPr>
            <w:tcW w:w="568" w:type="dxa"/>
            <w:vAlign w:val="center"/>
          </w:tcPr>
          <w:p w14:paraId="4640DD9E">
            <w:pPr>
              <w:pStyle w:val="78"/>
            </w:pPr>
          </w:p>
        </w:tc>
      </w:tr>
      <w:tr w14:paraId="45E2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51" w:hRule="atLeast"/>
          <w:jc w:val="center"/>
        </w:trPr>
        <w:tc>
          <w:tcPr>
            <w:tcW w:w="442" w:type="dxa"/>
            <w:vAlign w:val="center"/>
          </w:tcPr>
          <w:p w14:paraId="0E467A58">
            <w:pPr>
              <w:pStyle w:val="78"/>
            </w:pPr>
            <w:r>
              <w:rPr>
                <w:rFonts w:hint="eastAsia"/>
              </w:rPr>
              <w:t>1</w:t>
            </w:r>
            <w:r>
              <w:t>5</w:t>
            </w:r>
          </w:p>
        </w:tc>
        <w:tc>
          <w:tcPr>
            <w:tcW w:w="1396" w:type="dxa"/>
            <w:vAlign w:val="center"/>
          </w:tcPr>
          <w:p w14:paraId="40D03DB0">
            <w:pPr>
              <w:pStyle w:val="78"/>
            </w:pPr>
            <w:r>
              <w:rPr>
                <w:rFonts w:hint="eastAsia"/>
              </w:rPr>
              <w:t>其他活动区</w:t>
            </w:r>
          </w:p>
        </w:tc>
        <w:tc>
          <w:tcPr>
            <w:tcW w:w="1559" w:type="dxa"/>
            <w:vAlign w:val="center"/>
          </w:tcPr>
          <w:p w14:paraId="0FDB59DD">
            <w:pPr>
              <w:pStyle w:val="78"/>
            </w:pPr>
            <w:r>
              <w:rPr>
                <w:rFonts w:hint="eastAsia"/>
              </w:rPr>
              <w:t>应急收集系统（事故水池、雨水监控池）</w:t>
            </w:r>
          </w:p>
        </w:tc>
        <w:tc>
          <w:tcPr>
            <w:tcW w:w="1134" w:type="dxa"/>
            <w:vAlign w:val="center"/>
          </w:tcPr>
          <w:p w14:paraId="6D132D5A">
            <w:pPr>
              <w:pStyle w:val="78"/>
            </w:pPr>
            <w:r>
              <w:rPr>
                <w:rFonts w:hint="eastAsia"/>
              </w:rPr>
              <w:t>渗漏、是否防渗等</w:t>
            </w:r>
          </w:p>
        </w:tc>
        <w:tc>
          <w:tcPr>
            <w:tcW w:w="708" w:type="dxa"/>
            <w:vAlign w:val="center"/>
          </w:tcPr>
          <w:p w14:paraId="13BFCD22">
            <w:pPr>
              <w:pStyle w:val="78"/>
            </w:pPr>
            <w:r>
              <w:t>8</w:t>
            </w:r>
            <w:r>
              <w:rPr>
                <w:rFonts w:hint="eastAsia"/>
              </w:rPr>
              <w:t>月2</w:t>
            </w:r>
            <w:r>
              <w:t>7</w:t>
            </w:r>
            <w:r>
              <w:rPr>
                <w:rFonts w:hint="eastAsia"/>
              </w:rPr>
              <w:t>日</w:t>
            </w:r>
          </w:p>
        </w:tc>
        <w:tc>
          <w:tcPr>
            <w:tcW w:w="1560" w:type="dxa"/>
            <w:gridSpan w:val="2"/>
            <w:vAlign w:val="center"/>
          </w:tcPr>
          <w:p w14:paraId="402D5982">
            <w:pPr>
              <w:pStyle w:val="78"/>
            </w:pPr>
            <w:r>
              <w:t>措施合理，无相关隐患点</w:t>
            </w:r>
          </w:p>
        </w:tc>
        <w:tc>
          <w:tcPr>
            <w:tcW w:w="709" w:type="dxa"/>
            <w:gridSpan w:val="2"/>
            <w:vAlign w:val="center"/>
          </w:tcPr>
          <w:p w14:paraId="26CFA6FF">
            <w:pPr>
              <w:pStyle w:val="78"/>
            </w:pPr>
            <w:r>
              <w:rPr>
                <w:rFonts w:hint="eastAsia"/>
              </w:rPr>
              <w:t>无</w:t>
            </w:r>
          </w:p>
        </w:tc>
        <w:tc>
          <w:tcPr>
            <w:tcW w:w="991" w:type="dxa"/>
            <w:vAlign w:val="center"/>
          </w:tcPr>
          <w:p w14:paraId="07464527">
            <w:pPr>
              <w:pStyle w:val="78"/>
            </w:pPr>
            <w:r>
              <w:rPr>
                <w:rFonts w:hint="eastAsia"/>
              </w:rPr>
              <w:t>/</w:t>
            </w:r>
          </w:p>
        </w:tc>
        <w:tc>
          <w:tcPr>
            <w:tcW w:w="568" w:type="dxa"/>
            <w:vAlign w:val="center"/>
          </w:tcPr>
          <w:p w14:paraId="2DD7ABB5">
            <w:pPr>
              <w:pStyle w:val="78"/>
            </w:pPr>
          </w:p>
        </w:tc>
      </w:tr>
      <w:tr w14:paraId="37C2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32FC8343">
            <w:pPr>
              <w:pStyle w:val="78"/>
            </w:pPr>
            <w:r>
              <w:rPr>
                <w:rFonts w:hint="eastAsia"/>
              </w:rPr>
              <w:t>1</w:t>
            </w:r>
            <w:r>
              <w:t>6</w:t>
            </w:r>
          </w:p>
        </w:tc>
        <w:tc>
          <w:tcPr>
            <w:tcW w:w="1396" w:type="dxa"/>
            <w:vAlign w:val="center"/>
          </w:tcPr>
          <w:p w14:paraId="1C446048">
            <w:pPr>
              <w:pStyle w:val="78"/>
            </w:pPr>
            <w:r>
              <w:rPr>
                <w:rFonts w:hint="eastAsia"/>
              </w:rPr>
              <w:t>其他活动区</w:t>
            </w:r>
          </w:p>
        </w:tc>
        <w:tc>
          <w:tcPr>
            <w:tcW w:w="1559" w:type="dxa"/>
            <w:vAlign w:val="center"/>
          </w:tcPr>
          <w:p w14:paraId="062E73D1">
            <w:pPr>
              <w:pStyle w:val="78"/>
            </w:pPr>
            <w:r>
              <w:rPr>
                <w:rFonts w:hint="eastAsia"/>
              </w:rPr>
              <w:t>应急收集系统（事故管网系统、雨水监控池进出水阀门、事故水池进水阀门）</w:t>
            </w:r>
          </w:p>
        </w:tc>
        <w:tc>
          <w:tcPr>
            <w:tcW w:w="1134" w:type="dxa"/>
            <w:vAlign w:val="center"/>
          </w:tcPr>
          <w:p w14:paraId="3F1DBB3E">
            <w:pPr>
              <w:pStyle w:val="78"/>
            </w:pPr>
            <w:r>
              <w:rPr>
                <w:rFonts w:hint="eastAsia"/>
              </w:rPr>
              <w:t>渗漏、是否防渗等</w:t>
            </w:r>
          </w:p>
        </w:tc>
        <w:tc>
          <w:tcPr>
            <w:tcW w:w="708" w:type="dxa"/>
            <w:vAlign w:val="center"/>
          </w:tcPr>
          <w:p w14:paraId="72A51AB4">
            <w:pPr>
              <w:pStyle w:val="78"/>
            </w:pPr>
            <w:r>
              <w:t>8</w:t>
            </w:r>
            <w:r>
              <w:rPr>
                <w:rFonts w:hint="eastAsia"/>
              </w:rPr>
              <w:t>月2</w:t>
            </w:r>
            <w:r>
              <w:t>7</w:t>
            </w:r>
            <w:r>
              <w:rPr>
                <w:rFonts w:hint="eastAsia"/>
              </w:rPr>
              <w:t>日</w:t>
            </w:r>
          </w:p>
        </w:tc>
        <w:tc>
          <w:tcPr>
            <w:tcW w:w="1560" w:type="dxa"/>
            <w:gridSpan w:val="2"/>
            <w:vAlign w:val="center"/>
          </w:tcPr>
          <w:p w14:paraId="42FE5BC9">
            <w:pPr>
              <w:pStyle w:val="78"/>
            </w:pPr>
            <w:r>
              <w:t>措施合理，无相关隐患点</w:t>
            </w:r>
          </w:p>
        </w:tc>
        <w:tc>
          <w:tcPr>
            <w:tcW w:w="709" w:type="dxa"/>
            <w:gridSpan w:val="2"/>
            <w:vAlign w:val="center"/>
          </w:tcPr>
          <w:p w14:paraId="3313F32E">
            <w:pPr>
              <w:pStyle w:val="78"/>
            </w:pPr>
            <w:r>
              <w:rPr>
                <w:rFonts w:hint="eastAsia"/>
              </w:rPr>
              <w:t>无</w:t>
            </w:r>
          </w:p>
        </w:tc>
        <w:tc>
          <w:tcPr>
            <w:tcW w:w="991" w:type="dxa"/>
            <w:vAlign w:val="center"/>
          </w:tcPr>
          <w:p w14:paraId="1F64F84A">
            <w:pPr>
              <w:pStyle w:val="78"/>
            </w:pPr>
            <w:r>
              <w:rPr>
                <w:rFonts w:hint="eastAsia"/>
              </w:rPr>
              <w:t>/</w:t>
            </w:r>
          </w:p>
        </w:tc>
        <w:tc>
          <w:tcPr>
            <w:tcW w:w="568" w:type="dxa"/>
            <w:vAlign w:val="center"/>
          </w:tcPr>
          <w:p w14:paraId="7F95FAC8">
            <w:pPr>
              <w:pStyle w:val="78"/>
            </w:pPr>
          </w:p>
        </w:tc>
      </w:tr>
      <w:tr w14:paraId="6D48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51" w:hRule="atLeast"/>
          <w:jc w:val="center"/>
        </w:trPr>
        <w:tc>
          <w:tcPr>
            <w:tcW w:w="442" w:type="dxa"/>
            <w:vAlign w:val="center"/>
          </w:tcPr>
          <w:p w14:paraId="2B2081E2">
            <w:pPr>
              <w:pStyle w:val="78"/>
            </w:pPr>
            <w:r>
              <w:rPr>
                <w:rFonts w:hint="eastAsia"/>
              </w:rPr>
              <w:t>1</w:t>
            </w:r>
            <w:r>
              <w:t>7</w:t>
            </w:r>
          </w:p>
        </w:tc>
        <w:tc>
          <w:tcPr>
            <w:tcW w:w="1396" w:type="dxa"/>
            <w:vAlign w:val="center"/>
          </w:tcPr>
          <w:p w14:paraId="1923862F">
            <w:pPr>
              <w:pStyle w:val="78"/>
            </w:pPr>
            <w:r>
              <w:rPr>
                <w:rFonts w:hint="eastAsia"/>
              </w:rPr>
              <w:t>其他活动区</w:t>
            </w:r>
          </w:p>
        </w:tc>
        <w:tc>
          <w:tcPr>
            <w:tcW w:w="1559" w:type="dxa"/>
            <w:vAlign w:val="center"/>
          </w:tcPr>
          <w:p w14:paraId="02DF6CB4">
            <w:pPr>
              <w:pStyle w:val="78"/>
            </w:pPr>
            <w:r>
              <w:t>分析</w:t>
            </w:r>
            <w:r>
              <w:rPr>
                <w:rFonts w:hint="eastAsia"/>
              </w:rPr>
              <w:t>化验</w:t>
            </w:r>
            <w:r>
              <w:t>室</w:t>
            </w:r>
          </w:p>
        </w:tc>
        <w:tc>
          <w:tcPr>
            <w:tcW w:w="1134" w:type="dxa"/>
            <w:vAlign w:val="center"/>
          </w:tcPr>
          <w:p w14:paraId="5059EEA3">
            <w:pPr>
              <w:pStyle w:val="78"/>
            </w:pPr>
            <w:r>
              <w:rPr>
                <w:rFonts w:hint="eastAsia"/>
              </w:rPr>
              <w:t>渗漏、是否防渗等</w:t>
            </w:r>
          </w:p>
        </w:tc>
        <w:tc>
          <w:tcPr>
            <w:tcW w:w="708" w:type="dxa"/>
            <w:vAlign w:val="center"/>
          </w:tcPr>
          <w:p w14:paraId="2524B45E">
            <w:pPr>
              <w:pStyle w:val="78"/>
            </w:pPr>
            <w:r>
              <w:t>8</w:t>
            </w:r>
            <w:r>
              <w:rPr>
                <w:rFonts w:hint="eastAsia"/>
              </w:rPr>
              <w:t>月2</w:t>
            </w:r>
            <w:r>
              <w:t>7</w:t>
            </w:r>
            <w:r>
              <w:rPr>
                <w:rFonts w:hint="eastAsia"/>
              </w:rPr>
              <w:t>日</w:t>
            </w:r>
          </w:p>
        </w:tc>
        <w:tc>
          <w:tcPr>
            <w:tcW w:w="1560" w:type="dxa"/>
            <w:gridSpan w:val="2"/>
            <w:vAlign w:val="center"/>
          </w:tcPr>
          <w:p w14:paraId="0C2839C4">
            <w:pPr>
              <w:pStyle w:val="78"/>
            </w:pPr>
            <w:r>
              <w:t>措施合理，无相关隐患点</w:t>
            </w:r>
          </w:p>
        </w:tc>
        <w:tc>
          <w:tcPr>
            <w:tcW w:w="709" w:type="dxa"/>
            <w:gridSpan w:val="2"/>
            <w:vAlign w:val="center"/>
          </w:tcPr>
          <w:p w14:paraId="7E3CCFD8">
            <w:pPr>
              <w:pStyle w:val="78"/>
            </w:pPr>
            <w:r>
              <w:rPr>
                <w:rFonts w:hint="eastAsia"/>
              </w:rPr>
              <w:t>无</w:t>
            </w:r>
          </w:p>
        </w:tc>
        <w:tc>
          <w:tcPr>
            <w:tcW w:w="991" w:type="dxa"/>
            <w:vAlign w:val="center"/>
          </w:tcPr>
          <w:p w14:paraId="7DFE81C8">
            <w:pPr>
              <w:pStyle w:val="78"/>
            </w:pPr>
            <w:r>
              <w:rPr>
                <w:rFonts w:hint="eastAsia"/>
              </w:rPr>
              <w:t>/</w:t>
            </w:r>
          </w:p>
        </w:tc>
        <w:tc>
          <w:tcPr>
            <w:tcW w:w="568" w:type="dxa"/>
            <w:vAlign w:val="center"/>
          </w:tcPr>
          <w:p w14:paraId="27C5E0A6">
            <w:pPr>
              <w:pStyle w:val="78"/>
            </w:pPr>
          </w:p>
        </w:tc>
      </w:tr>
      <w:tr w14:paraId="63E0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1273B6BF">
            <w:pPr>
              <w:pStyle w:val="78"/>
            </w:pPr>
            <w:r>
              <w:rPr>
                <w:rFonts w:hint="eastAsia"/>
              </w:rPr>
              <w:t>1</w:t>
            </w:r>
            <w:r>
              <w:t>8</w:t>
            </w:r>
          </w:p>
        </w:tc>
        <w:tc>
          <w:tcPr>
            <w:tcW w:w="1396" w:type="dxa"/>
            <w:vAlign w:val="center"/>
          </w:tcPr>
          <w:p w14:paraId="7C3671FC">
            <w:pPr>
              <w:pStyle w:val="78"/>
            </w:pPr>
            <w:r>
              <w:rPr>
                <w:rFonts w:hint="eastAsia"/>
              </w:rPr>
              <w:t>其他活动区</w:t>
            </w:r>
          </w:p>
        </w:tc>
        <w:tc>
          <w:tcPr>
            <w:tcW w:w="1559" w:type="dxa"/>
            <w:vAlign w:val="center"/>
          </w:tcPr>
          <w:p w14:paraId="4FBFBE04">
            <w:pPr>
              <w:pStyle w:val="78"/>
            </w:pPr>
            <w:r>
              <w:t>一般</w:t>
            </w:r>
            <w:r>
              <w:rPr>
                <w:rFonts w:hint="eastAsia"/>
              </w:rPr>
              <w:t>工业固废</w:t>
            </w:r>
            <w:r>
              <w:t>库</w:t>
            </w:r>
          </w:p>
        </w:tc>
        <w:tc>
          <w:tcPr>
            <w:tcW w:w="1134" w:type="dxa"/>
            <w:vAlign w:val="center"/>
          </w:tcPr>
          <w:p w14:paraId="09E987D5">
            <w:pPr>
              <w:pStyle w:val="78"/>
            </w:pPr>
            <w:r>
              <w:rPr>
                <w:rFonts w:hint="eastAsia"/>
              </w:rPr>
              <w:t>渗漏、是否防渗等</w:t>
            </w:r>
          </w:p>
        </w:tc>
        <w:tc>
          <w:tcPr>
            <w:tcW w:w="708" w:type="dxa"/>
            <w:vAlign w:val="center"/>
          </w:tcPr>
          <w:p w14:paraId="5F0CAAD4">
            <w:pPr>
              <w:pStyle w:val="78"/>
            </w:pPr>
            <w:r>
              <w:t>8</w:t>
            </w:r>
            <w:r>
              <w:rPr>
                <w:rFonts w:hint="eastAsia"/>
              </w:rPr>
              <w:t>月2</w:t>
            </w:r>
            <w:r>
              <w:t>7</w:t>
            </w:r>
            <w:r>
              <w:rPr>
                <w:rFonts w:hint="eastAsia"/>
              </w:rPr>
              <w:t>日</w:t>
            </w:r>
          </w:p>
        </w:tc>
        <w:tc>
          <w:tcPr>
            <w:tcW w:w="1560" w:type="dxa"/>
            <w:gridSpan w:val="2"/>
            <w:vAlign w:val="center"/>
          </w:tcPr>
          <w:p w14:paraId="0402668E">
            <w:pPr>
              <w:pStyle w:val="78"/>
            </w:pPr>
            <w:r>
              <w:t>措施合理，无相关隐患点</w:t>
            </w:r>
          </w:p>
        </w:tc>
        <w:tc>
          <w:tcPr>
            <w:tcW w:w="709" w:type="dxa"/>
            <w:gridSpan w:val="2"/>
            <w:vAlign w:val="center"/>
          </w:tcPr>
          <w:p w14:paraId="6B24F966">
            <w:pPr>
              <w:pStyle w:val="78"/>
            </w:pPr>
            <w:r>
              <w:rPr>
                <w:rFonts w:hint="eastAsia"/>
              </w:rPr>
              <w:t>无</w:t>
            </w:r>
          </w:p>
        </w:tc>
        <w:tc>
          <w:tcPr>
            <w:tcW w:w="991" w:type="dxa"/>
            <w:vAlign w:val="center"/>
          </w:tcPr>
          <w:p w14:paraId="0480B784">
            <w:pPr>
              <w:pStyle w:val="78"/>
            </w:pPr>
            <w:r>
              <w:rPr>
                <w:rFonts w:hint="eastAsia"/>
              </w:rPr>
              <w:t>/</w:t>
            </w:r>
          </w:p>
        </w:tc>
        <w:tc>
          <w:tcPr>
            <w:tcW w:w="568" w:type="dxa"/>
            <w:vAlign w:val="center"/>
          </w:tcPr>
          <w:p w14:paraId="590D075D">
            <w:pPr>
              <w:pStyle w:val="78"/>
            </w:pPr>
          </w:p>
        </w:tc>
      </w:tr>
      <w:tr w14:paraId="2D82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40" w:hRule="atLeast"/>
          <w:jc w:val="center"/>
        </w:trPr>
        <w:tc>
          <w:tcPr>
            <w:tcW w:w="442" w:type="dxa"/>
            <w:vAlign w:val="center"/>
          </w:tcPr>
          <w:p w14:paraId="0B79BF48">
            <w:pPr>
              <w:pStyle w:val="78"/>
            </w:pPr>
            <w:r>
              <w:rPr>
                <w:rFonts w:hint="eastAsia"/>
              </w:rPr>
              <w:t>1</w:t>
            </w:r>
            <w:r>
              <w:t>9</w:t>
            </w:r>
          </w:p>
        </w:tc>
        <w:tc>
          <w:tcPr>
            <w:tcW w:w="1396" w:type="dxa"/>
            <w:vAlign w:val="center"/>
          </w:tcPr>
          <w:p w14:paraId="58ABF157">
            <w:pPr>
              <w:pStyle w:val="78"/>
            </w:pPr>
            <w:r>
              <w:rPr>
                <w:rFonts w:hint="eastAsia"/>
              </w:rPr>
              <w:t>其他活动区</w:t>
            </w:r>
          </w:p>
        </w:tc>
        <w:tc>
          <w:tcPr>
            <w:tcW w:w="1559" w:type="dxa"/>
            <w:vAlign w:val="center"/>
          </w:tcPr>
          <w:p w14:paraId="57567BAF">
            <w:pPr>
              <w:pStyle w:val="78"/>
            </w:pPr>
            <w:r>
              <w:rPr>
                <w:rFonts w:hint="eastAsia"/>
              </w:rPr>
              <w:t>危废库</w:t>
            </w:r>
          </w:p>
        </w:tc>
        <w:tc>
          <w:tcPr>
            <w:tcW w:w="1134" w:type="dxa"/>
            <w:vAlign w:val="center"/>
          </w:tcPr>
          <w:p w14:paraId="2BD3C3B0">
            <w:pPr>
              <w:pStyle w:val="78"/>
            </w:pPr>
            <w:r>
              <w:rPr>
                <w:rFonts w:hint="eastAsia"/>
              </w:rPr>
              <w:t>渗漏、是否防渗等</w:t>
            </w:r>
          </w:p>
        </w:tc>
        <w:tc>
          <w:tcPr>
            <w:tcW w:w="708" w:type="dxa"/>
            <w:vAlign w:val="center"/>
          </w:tcPr>
          <w:p w14:paraId="76070BFA">
            <w:pPr>
              <w:pStyle w:val="78"/>
            </w:pPr>
            <w:r>
              <w:t>8</w:t>
            </w:r>
            <w:r>
              <w:rPr>
                <w:rFonts w:hint="eastAsia"/>
              </w:rPr>
              <w:t>月2</w:t>
            </w:r>
            <w:r>
              <w:t>7</w:t>
            </w:r>
            <w:r>
              <w:rPr>
                <w:rFonts w:hint="eastAsia"/>
              </w:rPr>
              <w:t>日</w:t>
            </w:r>
          </w:p>
        </w:tc>
        <w:tc>
          <w:tcPr>
            <w:tcW w:w="1560" w:type="dxa"/>
            <w:gridSpan w:val="2"/>
            <w:vAlign w:val="center"/>
          </w:tcPr>
          <w:p w14:paraId="07637C3F">
            <w:pPr>
              <w:pStyle w:val="78"/>
            </w:pPr>
            <w:r>
              <w:t>措施合理，无相关隐患点</w:t>
            </w:r>
          </w:p>
        </w:tc>
        <w:tc>
          <w:tcPr>
            <w:tcW w:w="709" w:type="dxa"/>
            <w:gridSpan w:val="2"/>
            <w:vAlign w:val="center"/>
          </w:tcPr>
          <w:p w14:paraId="0EA22B45">
            <w:pPr>
              <w:pStyle w:val="78"/>
            </w:pPr>
            <w:r>
              <w:rPr>
                <w:rFonts w:hint="eastAsia"/>
              </w:rPr>
              <w:t>无</w:t>
            </w:r>
          </w:p>
        </w:tc>
        <w:tc>
          <w:tcPr>
            <w:tcW w:w="991" w:type="dxa"/>
            <w:vAlign w:val="center"/>
          </w:tcPr>
          <w:p w14:paraId="7E62BA3F">
            <w:pPr>
              <w:pStyle w:val="78"/>
            </w:pPr>
            <w:r>
              <w:rPr>
                <w:rFonts w:hint="eastAsia"/>
              </w:rPr>
              <w:t>/</w:t>
            </w:r>
          </w:p>
        </w:tc>
        <w:tc>
          <w:tcPr>
            <w:tcW w:w="568" w:type="dxa"/>
            <w:vAlign w:val="center"/>
          </w:tcPr>
          <w:p w14:paraId="2C900E54">
            <w:pPr>
              <w:pStyle w:val="78"/>
            </w:pPr>
          </w:p>
        </w:tc>
      </w:tr>
    </w:tbl>
    <w:p w14:paraId="44698794">
      <w:pPr>
        <w:rPr>
          <w:rFonts w:hint="eastAsia"/>
        </w:rPr>
      </w:pPr>
    </w:p>
    <w:p w14:paraId="62A4DA7C">
      <w:pPr>
        <w:rPr>
          <w:rFonts w:hint="eastAsia"/>
        </w:rPr>
        <w:sectPr>
          <w:pgSz w:w="11906" w:h="16838"/>
          <w:pgMar w:top="1440" w:right="1800" w:bottom="1440" w:left="1800" w:header="851" w:footer="992" w:gutter="0"/>
          <w:cols w:space="425" w:num="1"/>
          <w:docGrid w:type="lines" w:linePitch="326" w:charSpace="0"/>
        </w:sectPr>
      </w:pPr>
    </w:p>
    <w:p w14:paraId="4F8B57E5">
      <w:pPr>
        <w:pStyle w:val="2"/>
        <w:spacing w:before="326" w:after="652"/>
      </w:pPr>
      <w:bookmarkStart w:id="79" w:name="_Toc210915279"/>
      <w:r>
        <w:rPr>
          <w:rFonts w:hint="eastAsia"/>
        </w:rPr>
        <w:t>结论与建议</w:t>
      </w:r>
      <w:bookmarkEnd w:id="79"/>
    </w:p>
    <w:p w14:paraId="0AB24C95">
      <w:pPr>
        <w:pStyle w:val="4"/>
      </w:pPr>
      <w:bookmarkStart w:id="80" w:name="_Toc210915280"/>
      <w:r>
        <w:t>隐患排查结论</w:t>
      </w:r>
      <w:bookmarkEnd w:id="80"/>
    </w:p>
    <w:p w14:paraId="631CE350">
      <w:pPr>
        <w:pStyle w:val="3"/>
        <w:ind w:firstLine="480"/>
      </w:pPr>
      <w:r>
        <w:t>根据现场排查的结果显示，公司涉及有潜在的土壤污染隐患的重点场所或重点设施设备为</w:t>
      </w:r>
      <w:r>
        <w:rPr>
          <w:rFonts w:hint="eastAsia"/>
        </w:rPr>
        <w:t>球罐组、初期雨水收集池、化学品仓库、危废库、除盐水站加药间、物料管廊、球罐组泵区、装卸车设施、原料化单元、裂解单元、</w:t>
      </w:r>
      <w:r>
        <w:t>废水排水系统、应急收集系统（</w:t>
      </w:r>
      <w:r>
        <w:rPr>
          <w:rFonts w:hint="eastAsia"/>
        </w:rPr>
        <w:t>事故水池、</w:t>
      </w:r>
      <w:r>
        <w:t>事故管网系统）、分析</w:t>
      </w:r>
      <w:r>
        <w:rPr>
          <w:rFonts w:hint="eastAsia"/>
        </w:rPr>
        <w:t>化验</w:t>
      </w:r>
      <w:r>
        <w:t>室</w:t>
      </w:r>
      <w:r>
        <w:rPr>
          <w:rFonts w:hint="eastAsia"/>
        </w:rPr>
        <w:t>、一般工业固体废物库、危废库等</w:t>
      </w:r>
      <w:r>
        <w:t>，根据现场调查结果可知，针对各个重点场所或重点设施设备，均采取了相应的防渗漏、防流失措施，厂区范围内无明显的污染物泄漏情况出现。本次排查</w:t>
      </w:r>
      <w:r>
        <w:rPr>
          <w:rFonts w:hint="eastAsia"/>
        </w:rPr>
        <w:t>反映</w:t>
      </w:r>
      <w:r>
        <w:t>我单位总体上的生产经营对于造成土壤污染的风险较小。</w:t>
      </w:r>
    </w:p>
    <w:p w14:paraId="54487812">
      <w:pPr>
        <w:pStyle w:val="3"/>
        <w:ind w:firstLine="480"/>
      </w:pPr>
      <w:r>
        <w:t>为进一步减少影响，我司继续保持原有的防渗措施，并严格对照《《重点监管单位土壤污染隐患排查指南（试行）》（生态环境部公告2021年第1号）附录A中的技术要点，查漏补缺，争取以后做到更好，减少土壤污染。</w:t>
      </w:r>
    </w:p>
    <w:p w14:paraId="51A859FE">
      <w:pPr>
        <w:pStyle w:val="4"/>
      </w:pPr>
      <w:bookmarkStart w:id="81" w:name="_Toc210915281"/>
      <w:r>
        <w:t>隐患整改方案或建议</w:t>
      </w:r>
      <w:bookmarkEnd w:id="81"/>
    </w:p>
    <w:p w14:paraId="539BDEF5">
      <w:pPr>
        <w:pStyle w:val="3"/>
        <w:ind w:firstLine="480"/>
      </w:pPr>
      <w:r>
        <w:t>通过排查可知，我司存在土壤污染环节较多，但防渗措施已做好，造成土壤污染风险小。为方便日后管理，我司会尽快制定土壤隐患排查制度、防渗效果检查管理制度；将排查方法和内容纳入日常巡查记录，并建立排查台账；对潜在的土壤污染隐患的重点场所或重点设施设备加强巡查和日常维护</w:t>
      </w:r>
      <w:r>
        <w:rPr>
          <w:rFonts w:hint="eastAsia"/>
        </w:rPr>
        <w:t>。</w:t>
      </w:r>
    </w:p>
    <w:p w14:paraId="1AF845CF">
      <w:pPr>
        <w:pStyle w:val="4"/>
      </w:pPr>
      <w:bookmarkStart w:id="82" w:name="_Toc210915282"/>
      <w:r>
        <w:t>对土壤和地下水自行监测工作建议</w:t>
      </w:r>
      <w:bookmarkEnd w:id="82"/>
    </w:p>
    <w:p w14:paraId="680168B3">
      <w:pPr>
        <w:pStyle w:val="3"/>
        <w:ind w:firstLine="480"/>
      </w:pPr>
      <w:r>
        <w:t>本企业为土壤污染重点监管单位，为进一步降低对厂区土壤环境的影响，会尽量减少液体物料的泄漏，降低土壤污染风险。我司会按照江门市土壤环境重点监管、排污许可证以及自行监测方案的要求，对各项污染因子进行监测工作，并根据实际情况，定期开展土壤和地下水监测工作。</w:t>
      </w:r>
    </w:p>
    <w:p w14:paraId="2AE8D1CD">
      <w:pPr>
        <w:rPr>
          <w:rFonts w:hint="eastAsia"/>
        </w:rPr>
      </w:pPr>
    </w:p>
    <w:p w14:paraId="4D4CED7F">
      <w:pPr>
        <w:rPr>
          <w:rFonts w:hint="eastAsia"/>
        </w:rPr>
        <w:sectPr>
          <w:pgSz w:w="11906" w:h="16838"/>
          <w:pgMar w:top="1440" w:right="1800" w:bottom="1440" w:left="1800" w:header="851" w:footer="992" w:gutter="0"/>
          <w:cols w:space="425" w:num="1"/>
          <w:docGrid w:type="lines" w:linePitch="326" w:charSpace="0"/>
        </w:sectPr>
      </w:pPr>
    </w:p>
    <w:p w14:paraId="21C65296">
      <w:pPr>
        <w:pStyle w:val="262"/>
        <w:ind w:firstLine="0" w:firstLineChars="0"/>
        <w:outlineLvl w:val="0"/>
        <w:rPr>
          <w:rFonts w:ascii="Times New Roman" w:hAnsi="Times New Roman" w:cs="Times New Roman"/>
          <w:b/>
          <w:color w:val="auto"/>
        </w:rPr>
      </w:pPr>
      <w:bookmarkStart w:id="83" w:name="_Toc210915283"/>
      <w:bookmarkStart w:id="84" w:name="_Toc200527740"/>
      <w:r>
        <w:rPr>
          <w:rFonts w:hint="eastAsia" w:ascii="Times New Roman" w:hAnsi="Times New Roman" w:cs="Times New Roman"/>
          <w:b/>
          <w:bCs/>
          <w:color w:val="auto"/>
        </w:rPr>
        <w:t>附图</w:t>
      </w:r>
      <w:r>
        <w:rPr>
          <w:rFonts w:ascii="Times New Roman" w:hAnsi="Times New Roman" w:cs="Times New Roman"/>
          <w:b/>
          <w:bCs/>
          <w:color w:val="auto"/>
        </w:rPr>
        <w:t xml:space="preserve">1 </w:t>
      </w:r>
      <w:r>
        <w:rPr>
          <w:rFonts w:hint="eastAsia" w:ascii="Times New Roman" w:hAnsi="Times New Roman" w:cs="Times New Roman"/>
          <w:b/>
          <w:color w:val="auto"/>
        </w:rPr>
        <w:t>项目地理位置</w:t>
      </w:r>
      <w:bookmarkEnd w:id="83"/>
    </w:p>
    <w:p w14:paraId="03B9E568">
      <w:pPr>
        <w:pStyle w:val="14"/>
        <w:rPr>
          <w:rFonts w:cs="Times New Roman"/>
          <w:color w:val="auto"/>
        </w:rPr>
      </w:pPr>
    </w:p>
    <w:p w14:paraId="54BA5432">
      <w:pPr>
        <w:pStyle w:val="78"/>
        <w:sectPr>
          <w:pgSz w:w="16838" w:h="11906" w:orient="landscape"/>
          <w:pgMar w:top="1800" w:right="1440" w:bottom="1800" w:left="1440" w:header="851" w:footer="992" w:gutter="0"/>
          <w:cols w:space="425" w:num="1"/>
          <w:docGrid w:type="lines" w:linePitch="326" w:charSpace="0"/>
        </w:sectPr>
      </w:pPr>
      <w:r>
        <w:drawing>
          <wp:inline distT="0" distB="0" distL="0" distR="0">
            <wp:extent cx="6523990" cy="4714875"/>
            <wp:effectExtent l="0" t="0" r="0" b="0"/>
            <wp:docPr id="200138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8913" name="图片 1"/>
                    <pic:cNvPicPr>
                      <a:picLocks noChangeAspect="1" noChangeArrowheads="1"/>
                    </pic:cNvPicPr>
                  </pic:nvPicPr>
                  <pic:blipFill>
                    <a:blip r:embed="rId74"/>
                    <a:srcRect/>
                    <a:stretch>
                      <a:fillRect/>
                    </a:stretch>
                  </pic:blipFill>
                  <pic:spPr>
                    <a:xfrm>
                      <a:off x="0" y="0"/>
                      <a:ext cx="6541744" cy="4727630"/>
                    </a:xfrm>
                    <a:prstGeom prst="rect">
                      <a:avLst/>
                    </a:prstGeom>
                    <a:noFill/>
                    <a:ln>
                      <a:noFill/>
                    </a:ln>
                  </pic:spPr>
                </pic:pic>
              </a:graphicData>
            </a:graphic>
          </wp:inline>
        </w:drawing>
      </w:r>
    </w:p>
    <w:p w14:paraId="65B939D5">
      <w:pPr>
        <w:pStyle w:val="262"/>
        <w:ind w:firstLine="0" w:firstLineChars="0"/>
        <w:outlineLvl w:val="0"/>
        <w:rPr>
          <w:rFonts w:ascii="Times New Roman" w:hAnsi="Times New Roman" w:cs="Times New Roman"/>
          <w:b/>
          <w:color w:val="auto"/>
        </w:rPr>
      </w:pPr>
      <w:bookmarkStart w:id="85" w:name="_Toc210915284"/>
      <w:r>
        <w:rPr>
          <w:rFonts w:hint="eastAsia" w:ascii="Times New Roman" w:hAnsi="Times New Roman" w:cs="Times New Roman"/>
          <w:b/>
          <w:bCs/>
          <w:color w:val="auto"/>
        </w:rPr>
        <w:t>附图</w:t>
      </w:r>
      <w:r>
        <w:rPr>
          <w:rFonts w:ascii="Times New Roman" w:hAnsi="Times New Roman" w:cs="Times New Roman"/>
          <w:b/>
          <w:bCs/>
          <w:color w:val="auto"/>
        </w:rPr>
        <w:t xml:space="preserve">2 </w:t>
      </w:r>
      <w:r>
        <w:rPr>
          <w:rFonts w:hint="eastAsia" w:ascii="Times New Roman" w:hAnsi="Times New Roman" w:cs="Times New Roman"/>
          <w:b/>
          <w:color w:val="auto"/>
        </w:rPr>
        <w:t>公司标识牌示意图</w:t>
      </w:r>
      <w:bookmarkEnd w:id="85"/>
    </w:p>
    <w:tbl>
      <w:tblPr>
        <w:tblStyle w:val="42"/>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6"/>
        <w:gridCol w:w="5886"/>
      </w:tblGrid>
      <w:tr w14:paraId="31DE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0" w:hRule="atLeast"/>
        </w:trPr>
        <w:tc>
          <w:tcPr>
            <w:tcW w:w="5670" w:type="dxa"/>
            <w:vAlign w:val="center"/>
          </w:tcPr>
          <w:p w14:paraId="31735A20">
            <w:pPr>
              <w:pStyle w:val="14"/>
              <w:rPr>
                <w:rFonts w:cs="Times New Roman"/>
                <w:color w:val="auto"/>
              </w:rPr>
            </w:pPr>
            <w:r>
              <w:rPr>
                <w:rFonts w:cs="Times New Roman"/>
                <w:color w:val="auto"/>
              </w:rPr>
              <w:drawing>
                <wp:inline distT="0" distB="0" distL="0" distR="0">
                  <wp:extent cx="3599180" cy="2179320"/>
                  <wp:effectExtent l="0" t="0" r="1270" b="0"/>
                  <wp:docPr id="18" name="图片 18" descr="D:\WeChat Files\WeChat Files\wxid_14jjoftr0p1j22\FileStorage\Temp\239b71400f58b6ef86fc3a418cc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WeChat Files\WeChat Files\wxid_14jjoftr0p1j22\FileStorage\Temp\239b71400f58b6ef86fc3a418cc1755.jpg"/>
                          <pic:cNvPicPr>
                            <a:picLocks noChangeAspect="1" noChangeArrowheads="1"/>
                          </pic:cNvPicPr>
                        </pic:nvPicPr>
                        <pic:blipFill>
                          <a:blip r:embed="rId75"/>
                          <a:srcRect/>
                          <a:stretch>
                            <a:fillRect/>
                          </a:stretch>
                        </pic:blipFill>
                        <pic:spPr>
                          <a:xfrm>
                            <a:off x="0" y="0"/>
                            <a:ext cx="3604445" cy="2182446"/>
                          </a:xfrm>
                          <a:prstGeom prst="rect">
                            <a:avLst/>
                          </a:prstGeom>
                          <a:noFill/>
                          <a:ln>
                            <a:noFill/>
                          </a:ln>
                        </pic:spPr>
                      </pic:pic>
                    </a:graphicData>
                  </a:graphic>
                </wp:inline>
              </w:drawing>
            </w:r>
            <w:r>
              <w:rPr>
                <w:rFonts w:cs="Times New Roman"/>
                <w:color w:val="auto"/>
              </w:rPr>
              <w:drawing>
                <wp:inline distT="0" distB="0" distL="0" distR="0">
                  <wp:extent cx="3597275" cy="2423160"/>
                  <wp:effectExtent l="0" t="0" r="3175" b="0"/>
                  <wp:docPr id="19" name="图片 19" descr="D:\WeChat Files\WeChat Files\wxid_14jjoftr0p1j22\FileStorage\Temp\55269eb36fdfaa67e0f56978f33d6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WeChat Files\WeChat Files\wxid_14jjoftr0p1j22\FileStorage\Temp\55269eb36fdfaa67e0f56978f33d6ad.jpg"/>
                          <pic:cNvPicPr>
                            <a:picLocks noChangeAspect="1" noChangeArrowheads="1"/>
                          </pic:cNvPicPr>
                        </pic:nvPicPr>
                        <pic:blipFill>
                          <a:blip r:embed="rId76"/>
                          <a:srcRect/>
                          <a:stretch>
                            <a:fillRect/>
                          </a:stretch>
                        </pic:blipFill>
                        <pic:spPr>
                          <a:xfrm>
                            <a:off x="0" y="0"/>
                            <a:ext cx="3629613" cy="2445405"/>
                          </a:xfrm>
                          <a:prstGeom prst="rect">
                            <a:avLst/>
                          </a:prstGeom>
                          <a:noFill/>
                          <a:ln>
                            <a:noFill/>
                          </a:ln>
                        </pic:spPr>
                      </pic:pic>
                    </a:graphicData>
                  </a:graphic>
                </wp:inline>
              </w:drawing>
            </w:r>
          </w:p>
        </w:tc>
        <w:tc>
          <w:tcPr>
            <w:tcW w:w="5886" w:type="dxa"/>
            <w:vAlign w:val="center"/>
          </w:tcPr>
          <w:p w14:paraId="31555657">
            <w:pPr>
              <w:pStyle w:val="14"/>
              <w:rPr>
                <w:rFonts w:cs="Times New Roman"/>
                <w:color w:val="auto"/>
              </w:rPr>
            </w:pPr>
            <w:r>
              <w:rPr>
                <w:color w:val="auto"/>
              </w:rPr>
              <w:drawing>
                <wp:inline distT="0" distB="0" distL="0" distR="0">
                  <wp:extent cx="3598545" cy="2264410"/>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7"/>
                          <a:stretch>
                            <a:fillRect/>
                          </a:stretch>
                        </pic:blipFill>
                        <pic:spPr>
                          <a:xfrm>
                            <a:off x="0" y="0"/>
                            <a:ext cx="3602776" cy="2267048"/>
                          </a:xfrm>
                          <a:prstGeom prst="rect">
                            <a:avLst/>
                          </a:prstGeom>
                        </pic:spPr>
                      </pic:pic>
                    </a:graphicData>
                  </a:graphic>
                </wp:inline>
              </w:drawing>
            </w:r>
            <w:r>
              <w:rPr>
                <w:color w:val="auto"/>
              </w:rPr>
              <w:drawing>
                <wp:inline distT="0" distB="0" distL="0" distR="0">
                  <wp:extent cx="3599180" cy="2370455"/>
                  <wp:effectExtent l="0" t="0" r="127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8"/>
                          <a:stretch>
                            <a:fillRect/>
                          </a:stretch>
                        </pic:blipFill>
                        <pic:spPr>
                          <a:xfrm>
                            <a:off x="0" y="0"/>
                            <a:ext cx="3603538" cy="2373775"/>
                          </a:xfrm>
                          <a:prstGeom prst="rect">
                            <a:avLst/>
                          </a:prstGeom>
                        </pic:spPr>
                      </pic:pic>
                    </a:graphicData>
                  </a:graphic>
                </wp:inline>
              </w:drawing>
            </w:r>
          </w:p>
        </w:tc>
      </w:tr>
    </w:tbl>
    <w:p w14:paraId="0DEC9199">
      <w:pPr>
        <w:pStyle w:val="14"/>
        <w:rPr>
          <w:rFonts w:cs="Times New Roman"/>
          <w:color w:val="auto"/>
        </w:rPr>
      </w:pPr>
    </w:p>
    <w:p w14:paraId="3FDF573C">
      <w:pPr>
        <w:rPr>
          <w:rFonts w:hint="eastAsia"/>
        </w:rPr>
        <w:sectPr>
          <w:pgSz w:w="16838" w:h="11906" w:orient="landscape"/>
          <w:pgMar w:top="1800" w:right="1440" w:bottom="1800" w:left="1440" w:header="851" w:footer="992" w:gutter="0"/>
          <w:cols w:space="425" w:num="1"/>
          <w:docGrid w:type="lines" w:linePitch="326" w:charSpace="0"/>
        </w:sectPr>
      </w:pPr>
    </w:p>
    <w:p w14:paraId="23AEC7C7">
      <w:pPr>
        <w:pStyle w:val="262"/>
        <w:ind w:firstLine="0" w:firstLineChars="0"/>
        <w:outlineLvl w:val="0"/>
        <w:rPr>
          <w:rFonts w:ascii="Times New Roman" w:hAnsi="Times New Roman" w:cs="Times New Roman"/>
          <w:b/>
          <w:color w:val="auto"/>
        </w:rPr>
      </w:pPr>
      <w:bookmarkStart w:id="86" w:name="_Toc210915285"/>
      <w:r>
        <w:rPr>
          <w:rFonts w:hint="eastAsia" w:ascii="Times New Roman" w:hAnsi="Times New Roman" w:cs="Times New Roman"/>
          <w:b/>
          <w:bCs/>
          <w:color w:val="auto"/>
        </w:rPr>
        <w:t>附图</w:t>
      </w:r>
      <w:r>
        <w:rPr>
          <w:rFonts w:ascii="Times New Roman" w:hAnsi="Times New Roman" w:cs="Times New Roman"/>
          <w:b/>
          <w:bCs/>
          <w:color w:val="auto"/>
        </w:rPr>
        <w:t xml:space="preserve">3 </w:t>
      </w:r>
      <w:r>
        <w:rPr>
          <w:rFonts w:hint="eastAsia" w:ascii="Times New Roman" w:hAnsi="Times New Roman" w:cs="Times New Roman"/>
          <w:b/>
          <w:color w:val="auto"/>
        </w:rPr>
        <w:t>公司安全制度文件清单截图</w:t>
      </w:r>
      <w:bookmarkEnd w:id="86"/>
    </w:p>
    <w:p w14:paraId="4158F752">
      <w:pPr>
        <w:pStyle w:val="78"/>
        <w:rPr>
          <w:rFonts w:cs="Times New Roman"/>
          <w:b/>
        </w:rPr>
      </w:pPr>
      <w:r>
        <w:drawing>
          <wp:inline distT="0" distB="0" distL="0" distR="0">
            <wp:extent cx="8324850" cy="4530725"/>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9"/>
                    <a:stretch>
                      <a:fillRect/>
                    </a:stretch>
                  </pic:blipFill>
                  <pic:spPr>
                    <a:xfrm>
                      <a:off x="0" y="0"/>
                      <a:ext cx="8334940" cy="4536062"/>
                    </a:xfrm>
                    <a:prstGeom prst="rect">
                      <a:avLst/>
                    </a:prstGeom>
                  </pic:spPr>
                </pic:pic>
              </a:graphicData>
            </a:graphic>
          </wp:inline>
        </w:drawing>
      </w:r>
    </w:p>
    <w:p w14:paraId="196411E6">
      <w:pPr>
        <w:pStyle w:val="3"/>
        <w:ind w:firstLine="0" w:firstLineChars="0"/>
      </w:pPr>
    </w:p>
    <w:p w14:paraId="18DE26A3">
      <w:pPr>
        <w:pStyle w:val="262"/>
        <w:ind w:firstLine="0" w:firstLineChars="0"/>
        <w:outlineLvl w:val="0"/>
        <w:rPr>
          <w:rFonts w:ascii="Times New Roman" w:hAnsi="Times New Roman" w:cs="Times New Roman"/>
          <w:b/>
          <w:bCs/>
          <w:color w:val="auto"/>
        </w:rPr>
        <w:sectPr>
          <w:pgSz w:w="16838" w:h="11906" w:orient="landscape"/>
          <w:pgMar w:top="1800" w:right="1440" w:bottom="1800" w:left="1440" w:header="851" w:footer="992" w:gutter="0"/>
          <w:cols w:space="425" w:num="1"/>
          <w:docGrid w:type="lines" w:linePitch="326" w:charSpace="0"/>
        </w:sectPr>
      </w:pPr>
    </w:p>
    <w:p w14:paraId="7F4C42C6">
      <w:pPr>
        <w:pStyle w:val="262"/>
        <w:ind w:firstLine="0" w:firstLineChars="0"/>
        <w:outlineLvl w:val="0"/>
        <w:rPr>
          <w:rFonts w:ascii="Times New Roman" w:hAnsi="Times New Roman" w:cs="Times New Roman"/>
          <w:b/>
          <w:color w:val="auto"/>
        </w:rPr>
      </w:pPr>
      <w:bookmarkStart w:id="87" w:name="_Toc210915286"/>
      <w:r>
        <w:rPr>
          <w:rFonts w:ascii="Times New Roman" w:hAnsi="Times New Roman" w:cs="Times New Roman"/>
          <w:b/>
          <w:bCs/>
          <w:color w:val="auto"/>
        </w:rPr>
        <w:t xml:space="preserve">附件1 </w:t>
      </w:r>
      <w:r>
        <w:rPr>
          <w:rFonts w:ascii="Times New Roman" w:hAnsi="Times New Roman" w:cs="Times New Roman"/>
          <w:b/>
          <w:color w:val="auto"/>
        </w:rPr>
        <w:t>人员访谈表</w:t>
      </w:r>
      <w:bookmarkEnd w:id="84"/>
      <w:bookmarkEnd w:id="87"/>
    </w:p>
    <w:p w14:paraId="3D419CA2">
      <w:pPr>
        <w:pStyle w:val="14"/>
        <w:rPr>
          <w:rFonts w:cs="Times New Roman"/>
          <w:color w:val="auto"/>
        </w:rPr>
      </w:pPr>
      <w:r>
        <w:rPr>
          <w:color w:val="auto"/>
        </w:rPr>
        <w:drawing>
          <wp:inline distT="0" distB="0" distL="0" distR="0">
            <wp:extent cx="4721860" cy="7472680"/>
            <wp:effectExtent l="171450" t="114300" r="173990" b="1092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0"/>
                    <a:stretch>
                      <a:fillRect/>
                    </a:stretch>
                  </pic:blipFill>
                  <pic:spPr>
                    <a:xfrm rot="21443320">
                      <a:off x="0" y="0"/>
                      <a:ext cx="4728161" cy="7482746"/>
                    </a:xfrm>
                    <a:prstGeom prst="rect">
                      <a:avLst/>
                    </a:prstGeom>
                  </pic:spPr>
                </pic:pic>
              </a:graphicData>
            </a:graphic>
          </wp:inline>
        </w:drawing>
      </w:r>
    </w:p>
    <w:p w14:paraId="678FDD7A">
      <w:pPr>
        <w:rPr>
          <w:rFonts w:hint="eastAsia"/>
        </w:rPr>
      </w:pPr>
      <w:r>
        <w:drawing>
          <wp:inline distT="0" distB="0" distL="0" distR="0">
            <wp:extent cx="5274310" cy="7229475"/>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1"/>
                    <a:srcRect b="870"/>
                    <a:stretch>
                      <a:fillRect/>
                    </a:stretch>
                  </pic:blipFill>
                  <pic:spPr>
                    <a:xfrm>
                      <a:off x="0" y="0"/>
                      <a:ext cx="5274310" cy="7229475"/>
                    </a:xfrm>
                    <a:prstGeom prst="rect">
                      <a:avLst/>
                    </a:prstGeom>
                    <a:ln>
                      <a:noFill/>
                    </a:ln>
                  </pic:spPr>
                </pic:pic>
              </a:graphicData>
            </a:graphic>
          </wp:inline>
        </w:drawing>
      </w:r>
      <w:r>
        <w:drawing>
          <wp:inline distT="0" distB="0" distL="0" distR="0">
            <wp:extent cx="5274310" cy="8437880"/>
            <wp:effectExtent l="0" t="0" r="254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2"/>
                    <a:stretch>
                      <a:fillRect/>
                    </a:stretch>
                  </pic:blipFill>
                  <pic:spPr>
                    <a:xfrm>
                      <a:off x="0" y="0"/>
                      <a:ext cx="5274310" cy="8437880"/>
                    </a:xfrm>
                    <a:prstGeom prst="rect">
                      <a:avLst/>
                    </a:prstGeom>
                  </pic:spPr>
                </pic:pic>
              </a:graphicData>
            </a:graphic>
          </wp:inline>
        </w:drawing>
      </w:r>
      <w:r>
        <w:drawing>
          <wp:inline distT="0" distB="0" distL="0" distR="0">
            <wp:extent cx="5274310" cy="8131175"/>
            <wp:effectExtent l="0" t="0" r="254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3"/>
                    <a:stretch>
                      <a:fillRect/>
                    </a:stretch>
                  </pic:blipFill>
                  <pic:spPr>
                    <a:xfrm>
                      <a:off x="0" y="0"/>
                      <a:ext cx="5274310" cy="8131175"/>
                    </a:xfrm>
                    <a:prstGeom prst="rect">
                      <a:avLst/>
                    </a:prstGeom>
                  </pic:spPr>
                </pic:pic>
              </a:graphicData>
            </a:graphic>
          </wp:inline>
        </w:drawing>
      </w:r>
      <w:r>
        <w:drawing>
          <wp:inline distT="0" distB="0" distL="0" distR="0">
            <wp:extent cx="5274310" cy="7788910"/>
            <wp:effectExtent l="171450" t="114300" r="173990" b="1168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4"/>
                    <a:stretch>
                      <a:fillRect/>
                    </a:stretch>
                  </pic:blipFill>
                  <pic:spPr>
                    <a:xfrm rot="21449227">
                      <a:off x="0" y="0"/>
                      <a:ext cx="5274310" cy="7788910"/>
                    </a:xfrm>
                    <a:prstGeom prst="rect">
                      <a:avLst/>
                    </a:prstGeom>
                  </pic:spPr>
                </pic:pic>
              </a:graphicData>
            </a:graphic>
          </wp:inline>
        </w:drawing>
      </w:r>
      <w:r>
        <w:drawing>
          <wp:inline distT="0" distB="0" distL="0" distR="0">
            <wp:extent cx="5274310" cy="833056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5"/>
                    <a:stretch>
                      <a:fillRect/>
                    </a:stretch>
                  </pic:blipFill>
                  <pic:spPr>
                    <a:xfrm>
                      <a:off x="0" y="0"/>
                      <a:ext cx="5274310" cy="8330565"/>
                    </a:xfrm>
                    <a:prstGeom prst="rect">
                      <a:avLst/>
                    </a:prstGeom>
                  </pic:spPr>
                </pic:pic>
              </a:graphicData>
            </a:graphic>
          </wp:inline>
        </w:drawing>
      </w:r>
    </w:p>
    <w:p w14:paraId="60D58A94">
      <w:pPr>
        <w:rPr>
          <w:rFonts w:hint="eastAsia"/>
        </w:rPr>
        <w:sectPr>
          <w:pgSz w:w="11906" w:h="16838"/>
          <w:pgMar w:top="1440" w:right="1800" w:bottom="1440" w:left="1800" w:header="851" w:footer="992" w:gutter="0"/>
          <w:cols w:space="425" w:num="1"/>
          <w:docGrid w:type="lines" w:linePitch="312" w:charSpace="0"/>
        </w:sectPr>
      </w:pPr>
    </w:p>
    <w:p w14:paraId="54D830D4">
      <w:pPr>
        <w:pStyle w:val="262"/>
        <w:ind w:firstLine="0" w:firstLineChars="0"/>
        <w:outlineLvl w:val="0"/>
        <w:rPr>
          <w:rFonts w:ascii="Times New Roman" w:hAnsi="Times New Roman" w:cs="Times New Roman"/>
          <w:b/>
          <w:color w:val="auto"/>
        </w:rPr>
      </w:pPr>
      <w:bookmarkStart w:id="88" w:name="_Toc200527741"/>
      <w:bookmarkStart w:id="89" w:name="_Toc210915287"/>
      <w:r>
        <w:rPr>
          <w:rFonts w:ascii="Times New Roman" w:hAnsi="Times New Roman" w:cs="Times New Roman"/>
          <w:b/>
          <w:bCs/>
          <w:color w:val="auto"/>
        </w:rPr>
        <w:t xml:space="preserve">附件2 </w:t>
      </w:r>
      <w:r>
        <w:rPr>
          <w:rFonts w:ascii="Times New Roman" w:hAnsi="Times New Roman" w:cs="Times New Roman"/>
          <w:b/>
          <w:color w:val="auto"/>
        </w:rPr>
        <w:t>评审会议签到表</w:t>
      </w:r>
      <w:bookmarkEnd w:id="88"/>
      <w:bookmarkEnd w:id="89"/>
    </w:p>
    <w:p w14:paraId="08AD171E">
      <w:pPr>
        <w:pStyle w:val="78"/>
      </w:pPr>
      <w:r>
        <w:drawing>
          <wp:inline distT="0" distB="0" distL="0" distR="0">
            <wp:extent cx="5161280" cy="7369175"/>
            <wp:effectExtent l="0" t="0" r="127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6"/>
                    <a:srcRect l="3834" t="5997" r="3647" b="3"/>
                    <a:stretch>
                      <a:fillRect/>
                    </a:stretch>
                  </pic:blipFill>
                  <pic:spPr>
                    <a:xfrm>
                      <a:off x="0" y="0"/>
                      <a:ext cx="5181807" cy="7398515"/>
                    </a:xfrm>
                    <a:prstGeom prst="rect">
                      <a:avLst/>
                    </a:prstGeom>
                    <a:ln>
                      <a:noFill/>
                    </a:ln>
                  </pic:spPr>
                </pic:pic>
              </a:graphicData>
            </a:graphic>
          </wp:inline>
        </w:drawing>
      </w:r>
    </w:p>
    <w:p w14:paraId="6CFA8632">
      <w:pPr>
        <w:pStyle w:val="78"/>
        <w:rPr>
          <w:bCs/>
        </w:rPr>
      </w:pPr>
    </w:p>
    <w:p w14:paraId="789CB8C8">
      <w:pPr>
        <w:pStyle w:val="78"/>
        <w:rPr>
          <w:bCs/>
        </w:rPr>
      </w:pPr>
    </w:p>
    <w:p w14:paraId="532F4D5F">
      <w:pPr>
        <w:pStyle w:val="262"/>
        <w:ind w:firstLine="0" w:firstLineChars="0"/>
        <w:outlineLvl w:val="0"/>
        <w:rPr>
          <w:rFonts w:ascii="Times New Roman" w:hAnsi="Times New Roman" w:cs="Times New Roman"/>
          <w:b/>
          <w:bCs/>
          <w:color w:val="auto"/>
        </w:rPr>
        <w:sectPr>
          <w:pgSz w:w="11906" w:h="16838"/>
          <w:pgMar w:top="1440" w:right="1800" w:bottom="1440" w:left="1800" w:header="851" w:footer="992" w:gutter="0"/>
          <w:cols w:space="425" w:num="1"/>
          <w:docGrid w:type="lines" w:linePitch="312" w:charSpace="0"/>
        </w:sectPr>
      </w:pPr>
    </w:p>
    <w:p w14:paraId="3046BE8B">
      <w:pPr>
        <w:pStyle w:val="262"/>
        <w:ind w:firstLine="0" w:firstLineChars="0"/>
        <w:outlineLvl w:val="0"/>
        <w:rPr>
          <w:rFonts w:ascii="Times New Roman" w:hAnsi="Times New Roman" w:cs="Times New Roman"/>
          <w:b/>
          <w:color w:val="auto"/>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b/>
          <w:bCs/>
          <w:color w:val="auto"/>
        </w:rPr>
        <w:t>附件</w:t>
      </w:r>
      <w:r>
        <w:rPr>
          <w:rFonts w:ascii="Times New Roman" w:hAnsi="Times New Roman" w:cs="Times New Roman"/>
          <w:b/>
          <w:bCs/>
          <w:color w:val="auto"/>
        </w:rPr>
        <w:t xml:space="preserve">3 </w:t>
      </w:r>
      <w:r>
        <w:rPr>
          <w:rFonts w:hint="eastAsia" w:ascii="Times New Roman" w:hAnsi="Times New Roman" w:cs="Times New Roman"/>
          <w:b/>
          <w:color w:val="auto"/>
        </w:rPr>
        <w:t>专家评审意见</w:t>
      </w:r>
      <w:r>
        <w:drawing>
          <wp:inline distT="0" distB="0" distL="0" distR="0">
            <wp:extent cx="5274310" cy="7270115"/>
            <wp:effectExtent l="0" t="0" r="25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7"/>
                    <a:stretch>
                      <a:fillRect/>
                    </a:stretch>
                  </pic:blipFill>
                  <pic:spPr>
                    <a:xfrm>
                      <a:off x="0" y="0"/>
                      <a:ext cx="5274310" cy="7270115"/>
                    </a:xfrm>
                    <a:prstGeom prst="rect">
                      <a:avLst/>
                    </a:prstGeom>
                  </pic:spPr>
                </pic:pic>
              </a:graphicData>
            </a:graphic>
          </wp:inline>
        </w:drawing>
      </w:r>
    </w:p>
    <w:p w14:paraId="74010403">
      <w:pPr>
        <w:pStyle w:val="262"/>
        <w:ind w:firstLine="0" w:firstLineChars="0"/>
        <w:outlineLvl w:val="0"/>
        <w:rPr>
          <w:rFonts w:ascii="Times New Roman" w:hAnsi="Times New Roman" w:cs="Times New Roman"/>
          <w:b/>
          <w:color w:val="auto"/>
        </w:rPr>
      </w:pPr>
      <w:r>
        <w:rPr>
          <w:rFonts w:ascii="Times New Roman" w:hAnsi="Times New Roman" w:cs="Times New Roman"/>
          <w:b/>
          <w:bCs/>
          <w:color w:val="auto"/>
        </w:rPr>
        <w:t xml:space="preserve">附件4 </w:t>
      </w:r>
      <w:r>
        <w:rPr>
          <w:rFonts w:hint="eastAsia" w:ascii="Times New Roman" w:hAnsi="Times New Roman" w:cs="Times New Roman"/>
          <w:b/>
          <w:color w:val="auto"/>
        </w:rPr>
        <w:t>专家意见修改说明</w:t>
      </w:r>
    </w:p>
    <w:p w14:paraId="37A5DA50">
      <w:pPr>
        <w:pStyle w:val="78"/>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685"/>
        <w:gridCol w:w="3623"/>
      </w:tblGrid>
      <w:tr w14:paraId="6FF6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22168B08">
            <w:pPr>
              <w:pStyle w:val="78"/>
              <w:rPr>
                <w:b/>
              </w:rPr>
            </w:pPr>
            <w:bookmarkStart w:id="90" w:name="_Hlk213254652"/>
            <w:r>
              <w:rPr>
                <w:rFonts w:hint="eastAsia"/>
                <w:b/>
              </w:rPr>
              <w:t>序号</w:t>
            </w:r>
          </w:p>
        </w:tc>
        <w:tc>
          <w:tcPr>
            <w:tcW w:w="3685" w:type="dxa"/>
            <w:vAlign w:val="center"/>
          </w:tcPr>
          <w:p w14:paraId="55E06D8C">
            <w:pPr>
              <w:pStyle w:val="78"/>
              <w:rPr>
                <w:b/>
              </w:rPr>
            </w:pPr>
            <w:r>
              <w:rPr>
                <w:rFonts w:hint="eastAsia"/>
                <w:b/>
              </w:rPr>
              <w:t>专家评审意见</w:t>
            </w:r>
          </w:p>
        </w:tc>
        <w:tc>
          <w:tcPr>
            <w:tcW w:w="3623" w:type="dxa"/>
            <w:vAlign w:val="center"/>
          </w:tcPr>
          <w:p w14:paraId="1DD7842E">
            <w:pPr>
              <w:pStyle w:val="78"/>
              <w:rPr>
                <w:b/>
              </w:rPr>
            </w:pPr>
            <w:r>
              <w:rPr>
                <w:rFonts w:hint="eastAsia"/>
                <w:b/>
              </w:rPr>
              <w:t>修改说明</w:t>
            </w:r>
          </w:p>
        </w:tc>
      </w:tr>
      <w:tr w14:paraId="7B22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6207EC9D">
            <w:pPr>
              <w:pStyle w:val="78"/>
            </w:pPr>
            <w:r>
              <w:rPr>
                <w:rFonts w:hint="eastAsia"/>
              </w:rPr>
              <w:t>1</w:t>
            </w:r>
          </w:p>
        </w:tc>
        <w:tc>
          <w:tcPr>
            <w:tcW w:w="3685" w:type="dxa"/>
            <w:vAlign w:val="center"/>
          </w:tcPr>
          <w:p w14:paraId="650D3500">
            <w:pPr>
              <w:pStyle w:val="78"/>
            </w:pPr>
            <w:r>
              <w:rPr>
                <w:rFonts w:hint="eastAsia"/>
              </w:rPr>
              <w:t>核实特征污染物及检测因子</w:t>
            </w:r>
          </w:p>
        </w:tc>
        <w:tc>
          <w:tcPr>
            <w:tcW w:w="3623" w:type="dxa"/>
            <w:vAlign w:val="center"/>
          </w:tcPr>
          <w:p w14:paraId="46B72567">
            <w:pPr>
              <w:pStyle w:val="78"/>
            </w:pPr>
            <w:r>
              <w:rPr>
                <w:rFonts w:hint="eastAsia"/>
              </w:rPr>
              <w:t>详见自行监测方案5</w:t>
            </w:r>
            <w:r>
              <w:t>.2</w:t>
            </w:r>
            <w:r>
              <w:rPr>
                <w:rFonts w:hint="eastAsia"/>
              </w:rPr>
              <w:t>监测因子选取及原因分析，,核实了特征污染物及地下水检测因子，补充了土壤监测因子石油烃（C</w:t>
            </w:r>
            <w:r>
              <w:t>5-</w:t>
            </w:r>
            <w:r>
              <w:rPr>
                <w:rFonts w:hint="eastAsia"/>
              </w:rPr>
              <w:t>C</w:t>
            </w:r>
            <w:r>
              <w:t>9</w:t>
            </w:r>
            <w:r>
              <w:rPr>
                <w:rFonts w:hint="eastAsia"/>
              </w:rPr>
              <w:t>）。</w:t>
            </w:r>
          </w:p>
        </w:tc>
      </w:tr>
      <w:tr w14:paraId="5E97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009AAD45">
            <w:pPr>
              <w:pStyle w:val="78"/>
            </w:pPr>
            <w:r>
              <w:rPr>
                <w:rFonts w:hint="eastAsia"/>
              </w:rPr>
              <w:t>2</w:t>
            </w:r>
          </w:p>
        </w:tc>
        <w:tc>
          <w:tcPr>
            <w:tcW w:w="3685" w:type="dxa"/>
            <w:vAlign w:val="center"/>
          </w:tcPr>
          <w:p w14:paraId="48F5E68A">
            <w:pPr>
              <w:pStyle w:val="78"/>
            </w:pPr>
            <w:r>
              <w:rPr>
                <w:rFonts w:hint="eastAsia"/>
              </w:rPr>
              <w:t>明确厂内地下管道、地下池体的埋深及炉渣储存位置</w:t>
            </w:r>
          </w:p>
        </w:tc>
        <w:tc>
          <w:tcPr>
            <w:tcW w:w="3623" w:type="dxa"/>
            <w:vAlign w:val="center"/>
          </w:tcPr>
          <w:p w14:paraId="20F13224">
            <w:pPr>
              <w:pStyle w:val="78"/>
            </w:pPr>
            <w:r>
              <w:rPr>
                <w:rFonts w:hint="eastAsia"/>
              </w:rPr>
              <w:t>见表4</w:t>
            </w:r>
            <w:r>
              <w:t>.1-1</w:t>
            </w:r>
            <w:r>
              <w:rPr>
                <w:rFonts w:hint="eastAsia"/>
              </w:rPr>
              <w:t>生产废水池现状情况中第（1）条，补充说明了生产废水池埋深深度在4</w:t>
            </w:r>
            <w:r>
              <w:t>.5</w:t>
            </w:r>
            <w:r>
              <w:rPr>
                <w:rFonts w:hint="eastAsia"/>
              </w:rPr>
              <w:t>m以内。</w:t>
            </w:r>
          </w:p>
          <w:p w14:paraId="1C9A1800">
            <w:pPr>
              <w:pStyle w:val="78"/>
            </w:pPr>
            <w:bookmarkStart w:id="91" w:name="OLE_LINK3"/>
            <w:bookmarkStart w:id="92" w:name="OLE_LINK4"/>
            <w:r>
              <w:rPr>
                <w:rFonts w:hint="eastAsia"/>
              </w:rPr>
              <w:t>见表4</w:t>
            </w:r>
            <w:r>
              <w:t>.1-2</w:t>
            </w:r>
            <w:bookmarkEnd w:id="91"/>
            <w:bookmarkEnd w:id="92"/>
            <w:r>
              <w:rPr>
                <w:rFonts w:hint="eastAsia"/>
              </w:rPr>
              <w:t>污水管道现状情况中第（1）条，补充说明了厂内地下污水管道埋深为0</w:t>
            </w:r>
            <w:r>
              <w:t>.5-1</w:t>
            </w:r>
            <w:r>
              <w:rPr>
                <w:rFonts w:hint="eastAsia"/>
              </w:rPr>
              <w:t>m；；见表4</w:t>
            </w:r>
            <w:r>
              <w:t>.1-4</w:t>
            </w:r>
            <w:r>
              <w:rPr>
                <w:rFonts w:hint="eastAsia"/>
              </w:rPr>
              <w:t>中裂解单元</w:t>
            </w:r>
            <w:r>
              <w:t>生产加工装置现状情况</w:t>
            </w:r>
            <w:r>
              <w:rPr>
                <w:rFonts w:hint="eastAsia"/>
              </w:rPr>
              <w:t>中第（5）条描述，补充说明了本项目厂内不暂存炉渣，即产即运。</w:t>
            </w:r>
          </w:p>
        </w:tc>
      </w:tr>
      <w:tr w14:paraId="414C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71F499A3">
            <w:pPr>
              <w:pStyle w:val="78"/>
            </w:pPr>
            <w:r>
              <w:rPr>
                <w:rFonts w:hint="eastAsia"/>
              </w:rPr>
              <w:t>3</w:t>
            </w:r>
          </w:p>
        </w:tc>
        <w:tc>
          <w:tcPr>
            <w:tcW w:w="3685" w:type="dxa"/>
            <w:vAlign w:val="center"/>
          </w:tcPr>
          <w:p w14:paraId="4FB6F035">
            <w:pPr>
              <w:pStyle w:val="78"/>
            </w:pPr>
            <w:r>
              <w:rPr>
                <w:rFonts w:hint="eastAsia"/>
              </w:rPr>
              <w:t>进一步完善一类单元的识别</w:t>
            </w:r>
          </w:p>
        </w:tc>
        <w:tc>
          <w:tcPr>
            <w:tcW w:w="3623" w:type="dxa"/>
            <w:vAlign w:val="center"/>
          </w:tcPr>
          <w:p w14:paraId="382A13F8">
            <w:pPr>
              <w:pStyle w:val="78"/>
            </w:pPr>
            <w:r>
              <w:rPr>
                <w:rFonts w:hint="eastAsia"/>
              </w:rPr>
              <w:t>详见监测方案第4章以及表4</w:t>
            </w:r>
            <w:r>
              <w:t xml:space="preserve">.1-1 </w:t>
            </w:r>
            <w:r>
              <w:rPr>
                <w:rFonts w:hint="eastAsia"/>
              </w:rPr>
              <w:t>重点设施及意思污染区域识别汇总表，已经完善了一类单元的识别工作，重新识别了危废仓库、球罐组（储罐区）作为一类单元，并且重新核实了监测点位（表5</w:t>
            </w:r>
            <w:r>
              <w:t>.1-2</w:t>
            </w:r>
            <w:r>
              <w:rPr>
                <w:rFonts w:hint="eastAsia"/>
              </w:rPr>
              <w:t>）。</w:t>
            </w:r>
          </w:p>
        </w:tc>
      </w:tr>
      <w:tr w14:paraId="578D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3F64BE6B">
            <w:pPr>
              <w:pStyle w:val="78"/>
            </w:pPr>
            <w:r>
              <w:rPr>
                <w:rFonts w:hint="eastAsia"/>
              </w:rPr>
              <w:t>4</w:t>
            </w:r>
          </w:p>
        </w:tc>
        <w:tc>
          <w:tcPr>
            <w:tcW w:w="3685" w:type="dxa"/>
            <w:vAlign w:val="center"/>
          </w:tcPr>
          <w:p w14:paraId="16E9E664">
            <w:pPr>
              <w:pStyle w:val="78"/>
            </w:pPr>
            <w:r>
              <w:rPr>
                <w:rFonts w:hint="eastAsia"/>
              </w:rPr>
              <w:t>明确厂内各池体的防渗情况</w:t>
            </w:r>
          </w:p>
        </w:tc>
        <w:tc>
          <w:tcPr>
            <w:tcW w:w="3623" w:type="dxa"/>
            <w:vAlign w:val="center"/>
          </w:tcPr>
          <w:p w14:paraId="263843CD">
            <w:pPr>
              <w:pStyle w:val="78"/>
            </w:pPr>
            <w:r>
              <w:rPr>
                <w:rFonts w:hint="eastAsia"/>
              </w:rPr>
              <w:t>见表4</w:t>
            </w:r>
            <w:r>
              <w:t>.1-1</w:t>
            </w:r>
            <w:r>
              <w:rPr>
                <w:rFonts w:hint="eastAsia"/>
              </w:rPr>
              <w:t>初期雨水池现状情况及表4</w:t>
            </w:r>
            <w:r>
              <w:t>.1-5</w:t>
            </w:r>
            <w:r>
              <w:rPr>
                <w:rFonts w:hint="eastAsia"/>
              </w:rPr>
              <w:t>应急收集系统（事故雨水池、雨水监控池）现状情况中，补充说明了初期雨水池、事故水池、雨水监控池的防渗情况。</w:t>
            </w:r>
          </w:p>
        </w:tc>
      </w:tr>
      <w:bookmarkEnd w:id="90"/>
    </w:tbl>
    <w:p w14:paraId="7D38B1E2">
      <w:pPr>
        <w:pStyle w:val="262"/>
        <w:ind w:firstLine="0" w:firstLineChars="0"/>
        <w:outlineLvl w:val="0"/>
        <w:rPr>
          <w:rFonts w:ascii="Times New Roman" w:hAnsi="Times New Roman" w:cs="Times New Roman"/>
          <w:b/>
          <w:color w:val="auto"/>
        </w:rPr>
      </w:pPr>
    </w:p>
    <w:sectPr>
      <w:pgSz w:w="11906" w:h="16838"/>
      <w:pgMar w:top="1440" w:right="1800" w:bottom="1440" w:left="1800"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等线"/>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IDFon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2409780"/>
      <w:docPartObj>
        <w:docPartGallery w:val="AutoText"/>
      </w:docPartObj>
    </w:sdtPr>
    <w:sdtContent>
      <w:p w14:paraId="21B4DC45">
        <w:pPr>
          <w:pStyle w:val="26"/>
        </w:pPr>
        <w:r>
          <w:fldChar w:fldCharType="begin"/>
        </w:r>
        <w:r>
          <w:instrText xml:space="preserve">PAGE   \* MERGEFORMAT</w:instrText>
        </w:r>
        <w:r>
          <w:fldChar w:fldCharType="separate"/>
        </w:r>
        <w:r>
          <w:rPr>
            <w:lang w:val="zh-CN"/>
          </w:rPr>
          <w:t>1</w:t>
        </w:r>
        <w:r>
          <w:fldChar w:fldCharType="end"/>
        </w:r>
      </w:p>
    </w:sdtContent>
  </w:sdt>
  <w:p w14:paraId="3273095A">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400112"/>
      <w:docPartObj>
        <w:docPartGallery w:val="AutoText"/>
      </w:docPartObj>
    </w:sdtPr>
    <w:sdtContent>
      <w:p w14:paraId="19DB9192">
        <w:pPr>
          <w:pStyle w:val="26"/>
        </w:pPr>
        <w:r>
          <w:fldChar w:fldCharType="begin"/>
        </w:r>
        <w:r>
          <w:instrText xml:space="preserve">PAGE   \* MERGEFORMAT</w:instrText>
        </w:r>
        <w:r>
          <w:fldChar w:fldCharType="separate"/>
        </w:r>
        <w:r>
          <w:rPr>
            <w:lang w:val="zh-CN"/>
          </w:rPr>
          <w:t>1</w:t>
        </w:r>
        <w:r>
          <w:fldChar w:fldCharType="end"/>
        </w:r>
      </w:p>
    </w:sdtContent>
  </w:sdt>
  <w:p w14:paraId="176C4737">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85980">
    <w:pPr>
      <w:pStyle w:val="26"/>
    </w:pPr>
  </w:p>
  <w:p w14:paraId="475E6F06">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39B01">
    <w:pPr>
      <w:pStyle w:val="26"/>
    </w:pPr>
    <w:r>
      <w:fldChar w:fldCharType="begin"/>
    </w:r>
    <w:r>
      <w:instrText xml:space="preserve">PAGE   \* MERGEFORMAT</w:instrText>
    </w:r>
    <w:r>
      <w:fldChar w:fldCharType="separate"/>
    </w:r>
    <w:r>
      <w:rPr>
        <w:lang w:val="zh-CN"/>
      </w:rPr>
      <w:t>122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7529A4"/>
    <w:multiLevelType w:val="multilevel"/>
    <w:tmpl w:val="0C7529A4"/>
    <w:lvl w:ilvl="0" w:tentative="0">
      <w:start w:val="1"/>
      <w:numFmt w:val="decimal"/>
      <w:pStyle w:val="2"/>
      <w:lvlText w:val="%1"/>
      <w:lvlJc w:val="left"/>
      <w:pPr>
        <w:tabs>
          <w:tab w:val="left" w:pos="5820"/>
        </w:tabs>
        <w:ind w:left="5820"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1288"/>
        </w:tabs>
        <w:ind w:left="1288" w:hanging="720"/>
      </w:pPr>
    </w:lvl>
    <w:lvl w:ilvl="3" w:tentative="0">
      <w:start w:val="1"/>
      <w:numFmt w:val="decimal"/>
      <w:pStyle w:val="6"/>
      <w:suff w:val="nothing"/>
      <w:lvlText w:val="%1.%2.%3.%4"/>
      <w:lvlJc w:val="left"/>
      <w:pPr>
        <w:ind w:left="1844"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45505DBC"/>
    <w:multiLevelType w:val="multilevel"/>
    <w:tmpl w:val="45505DBC"/>
    <w:lvl w:ilvl="0" w:tentative="0">
      <w:start w:val="1"/>
      <w:numFmt w:val="decimal"/>
      <w:pStyle w:val="36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5E21010"/>
    <w:multiLevelType w:val="multilevel"/>
    <w:tmpl w:val="55E21010"/>
    <w:lvl w:ilvl="0" w:tentative="0">
      <w:start w:val="1"/>
      <w:numFmt w:val="decimal"/>
      <w:pStyle w:val="346"/>
      <w:lvlText w:val="%1."/>
      <w:lvlJc w:val="left"/>
      <w:pPr>
        <w:ind w:left="0" w:firstLine="0"/>
      </w:pPr>
      <w:rPr>
        <w:rFonts w:hint="eastAsia"/>
      </w:rPr>
    </w:lvl>
    <w:lvl w:ilvl="1" w:tentative="0">
      <w:start w:val="1"/>
      <w:numFmt w:val="decimal"/>
      <w:lvlText w:val="%1.%2."/>
      <w:lvlJc w:val="left"/>
      <w:pPr>
        <w:ind w:left="426" w:firstLine="0"/>
      </w:pPr>
      <w:rPr>
        <w:rFonts w:hint="eastAsia"/>
      </w:rPr>
    </w:lvl>
    <w:lvl w:ilvl="2" w:tentative="0">
      <w:start w:val="1"/>
      <w:numFmt w:val="decimal"/>
      <w:isLgl/>
      <w:lvlText w:val="%2.%1.%3."/>
      <w:lvlJc w:val="left"/>
      <w:pPr>
        <w:ind w:left="0" w:firstLine="0"/>
      </w:pPr>
      <w:rPr>
        <w:rFonts w:hint="eastAsia"/>
      </w:rPr>
    </w:lvl>
    <w:lvl w:ilvl="3" w:tentative="0">
      <w:start w:val="1"/>
      <w:numFmt w:val="decimal"/>
      <w:pStyle w:val="352"/>
      <w:lvlText w:val="%1.%2.%3.%4."/>
      <w:lvlJc w:val="left"/>
      <w:pPr>
        <w:ind w:left="0" w:firstLine="0"/>
      </w:pPr>
      <w:rPr>
        <w:rFonts w:hint="eastAsia"/>
      </w:rPr>
    </w:lvl>
    <w:lvl w:ilvl="4" w:tentative="0">
      <w:start w:val="1"/>
      <w:numFmt w:val="decimal"/>
      <w:lvlRestart w:val="2"/>
      <w:pStyle w:val="353"/>
      <w:suff w:val="nothing"/>
      <w:lvlText w:val="表%1.%2.-%5"/>
      <w:lvlJc w:val="center"/>
      <w:pPr>
        <w:ind w:left="3540" w:firstLine="288"/>
      </w:pPr>
      <w:rPr>
        <w:rFonts w:hint="eastAsia"/>
      </w:rPr>
    </w:lvl>
    <w:lvl w:ilvl="5" w:tentative="0">
      <w:start w:val="1"/>
      <w:numFmt w:val="decimal"/>
      <w:lvlRestart w:val="2"/>
      <w:suff w:val="nothing"/>
      <w:lvlText w:val="图%1.%2-%6"/>
      <w:lvlJc w:val="center"/>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63B5721D"/>
    <w:multiLevelType w:val="multilevel"/>
    <w:tmpl w:val="63B5721D"/>
    <w:lvl w:ilvl="0" w:tentative="0">
      <w:start w:val="1"/>
      <w:numFmt w:val="decimal"/>
      <w:pStyle w:val="61"/>
      <w:lvlText w:val="%1、"/>
      <w:lvlJc w:val="left"/>
      <w:pPr>
        <w:ind w:left="860" w:hanging="440"/>
      </w:pPr>
      <w:rPr>
        <w:rFonts w:hint="default" w:ascii="Times New Roman" w:hAnsi="Times New Roman" w:eastAsia="宋体"/>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69EA0141"/>
    <w:multiLevelType w:val="multilevel"/>
    <w:tmpl w:val="69EA0141"/>
    <w:lvl w:ilvl="0" w:tentative="0">
      <w:start w:val="1"/>
      <w:numFmt w:val="decimal"/>
      <w:lvlText w:val="（%1）"/>
      <w:lvlJc w:val="left"/>
      <w:pPr>
        <w:tabs>
          <w:tab w:val="left" w:pos="1204"/>
        </w:tabs>
        <w:ind w:left="31" w:firstLine="455"/>
      </w:pPr>
      <w:rPr>
        <w:rFonts w:hint="eastAsia"/>
      </w:rPr>
    </w:lvl>
    <w:lvl w:ilvl="1" w:tentative="0">
      <w:start w:val="1"/>
      <w:numFmt w:val="decimal"/>
      <w:pStyle w:val="348"/>
      <w:lvlText w:val="（%2）"/>
      <w:lvlJc w:val="left"/>
      <w:pPr>
        <w:tabs>
          <w:tab w:val="left" w:pos="1140"/>
        </w:tabs>
        <w:ind w:left="1140" w:hanging="720"/>
      </w:pPr>
      <w:rPr>
        <w:rFonts w:hint="default"/>
      </w:rPr>
    </w:lvl>
    <w:lvl w:ilvl="2" w:tentative="0">
      <w:start w:val="2"/>
      <w:numFmt w:val="bullet"/>
      <w:pStyle w:val="350"/>
      <w:lvlText w:val="●"/>
      <w:lvlJc w:val="left"/>
      <w:pPr>
        <w:tabs>
          <w:tab w:val="left" w:pos="1200"/>
        </w:tabs>
        <w:ind w:left="1200" w:hanging="360"/>
      </w:pPr>
      <w:rPr>
        <w:rFonts w:hint="eastAsia" w:ascii="宋体" w:hAnsi="宋体" w:eastAsia="宋体" w:cs="宋体"/>
      </w:rPr>
    </w:lvl>
    <w:lvl w:ilvl="3" w:tentative="0">
      <w:start w:val="1"/>
      <w:numFmt w:val="decimalEnclosedCircle"/>
      <w:lvlText w:val="%4"/>
      <w:lvlJc w:val="left"/>
      <w:pPr>
        <w:tabs>
          <w:tab w:val="left" w:pos="1620"/>
        </w:tabs>
        <w:ind w:left="1620" w:hanging="360"/>
      </w:pPr>
      <w:rPr>
        <w:rFonts w:hint="default" w:hAnsi="宋体"/>
      </w:rPr>
    </w:lvl>
    <w:lvl w:ilvl="4" w:tentative="0">
      <w:start w:val="1"/>
      <w:numFmt w:val="lowerLetter"/>
      <w:lvlText w:val="%5)"/>
      <w:lvlJc w:val="left"/>
      <w:pPr>
        <w:tabs>
          <w:tab w:val="left" w:pos="2100"/>
        </w:tabs>
        <w:ind w:left="2100" w:hanging="420"/>
      </w:pPr>
    </w:lvl>
    <w:lvl w:ilvl="5" w:tentative="0">
      <w:start w:val="1"/>
      <w:numFmt w:val="lowerRoman"/>
      <w:pStyle w:val="8"/>
      <w:lvlText w:val="%6."/>
      <w:lvlJc w:val="right"/>
      <w:pPr>
        <w:tabs>
          <w:tab w:val="left" w:pos="2520"/>
        </w:tabs>
        <w:ind w:left="2520" w:hanging="420"/>
      </w:pPr>
    </w:lvl>
    <w:lvl w:ilvl="6" w:tentative="0">
      <w:start w:val="1"/>
      <w:numFmt w:val="decimal"/>
      <w:pStyle w:val="9"/>
      <w:lvlText w:val="%7."/>
      <w:lvlJc w:val="left"/>
      <w:pPr>
        <w:tabs>
          <w:tab w:val="left" w:pos="2940"/>
        </w:tabs>
        <w:ind w:left="2940" w:hanging="420"/>
      </w:pPr>
    </w:lvl>
    <w:lvl w:ilvl="7" w:tentative="0">
      <w:start w:val="1"/>
      <w:numFmt w:val="lowerLetter"/>
      <w:pStyle w:val="10"/>
      <w:lvlText w:val="%8)"/>
      <w:lvlJc w:val="left"/>
      <w:pPr>
        <w:tabs>
          <w:tab w:val="left" w:pos="3360"/>
        </w:tabs>
        <w:ind w:left="3360" w:hanging="420"/>
      </w:pPr>
    </w:lvl>
    <w:lvl w:ilvl="8" w:tentative="0">
      <w:start w:val="1"/>
      <w:numFmt w:val="lowerRoman"/>
      <w:pStyle w:val="11"/>
      <w:lvlText w:val="%9."/>
      <w:lvlJc w:val="right"/>
      <w:pPr>
        <w:tabs>
          <w:tab w:val="left" w:pos="3780"/>
        </w:tabs>
        <w:ind w:left="378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55E"/>
    <w:rsid w:val="000163B7"/>
    <w:rsid w:val="00017522"/>
    <w:rsid w:val="00017BC0"/>
    <w:rsid w:val="00027015"/>
    <w:rsid w:val="00027131"/>
    <w:rsid w:val="0003151B"/>
    <w:rsid w:val="00031BD9"/>
    <w:rsid w:val="00033D01"/>
    <w:rsid w:val="00054A73"/>
    <w:rsid w:val="0005719D"/>
    <w:rsid w:val="000641BA"/>
    <w:rsid w:val="00073F23"/>
    <w:rsid w:val="00076CF7"/>
    <w:rsid w:val="00076E0F"/>
    <w:rsid w:val="000774DF"/>
    <w:rsid w:val="00077B99"/>
    <w:rsid w:val="00085989"/>
    <w:rsid w:val="000911E3"/>
    <w:rsid w:val="000A0688"/>
    <w:rsid w:val="000B6D13"/>
    <w:rsid w:val="000D6C92"/>
    <w:rsid w:val="000E7323"/>
    <w:rsid w:val="000E7487"/>
    <w:rsid w:val="000F084F"/>
    <w:rsid w:val="000F2563"/>
    <w:rsid w:val="000F4521"/>
    <w:rsid w:val="00101171"/>
    <w:rsid w:val="00102401"/>
    <w:rsid w:val="00107B87"/>
    <w:rsid w:val="0011071C"/>
    <w:rsid w:val="00114A25"/>
    <w:rsid w:val="0012726A"/>
    <w:rsid w:val="001315E3"/>
    <w:rsid w:val="0013232A"/>
    <w:rsid w:val="00144550"/>
    <w:rsid w:val="00146D51"/>
    <w:rsid w:val="00151ED7"/>
    <w:rsid w:val="00154CE1"/>
    <w:rsid w:val="0016442B"/>
    <w:rsid w:val="00166907"/>
    <w:rsid w:val="00166C18"/>
    <w:rsid w:val="00166C4D"/>
    <w:rsid w:val="00172AFB"/>
    <w:rsid w:val="00176F96"/>
    <w:rsid w:val="0017767D"/>
    <w:rsid w:val="001845AB"/>
    <w:rsid w:val="001862FC"/>
    <w:rsid w:val="001A0814"/>
    <w:rsid w:val="001A10F1"/>
    <w:rsid w:val="001B03B6"/>
    <w:rsid w:val="001B1A85"/>
    <w:rsid w:val="001B37D7"/>
    <w:rsid w:val="001B3F92"/>
    <w:rsid w:val="001B76DB"/>
    <w:rsid w:val="001D3F76"/>
    <w:rsid w:val="001D7607"/>
    <w:rsid w:val="001E0717"/>
    <w:rsid w:val="001E1590"/>
    <w:rsid w:val="001E1AFA"/>
    <w:rsid w:val="001E4C32"/>
    <w:rsid w:val="001E6755"/>
    <w:rsid w:val="001F0D70"/>
    <w:rsid w:val="001F43AB"/>
    <w:rsid w:val="001F6F64"/>
    <w:rsid w:val="001F722C"/>
    <w:rsid w:val="00201908"/>
    <w:rsid w:val="00205F98"/>
    <w:rsid w:val="00210402"/>
    <w:rsid w:val="002127A7"/>
    <w:rsid w:val="00213724"/>
    <w:rsid w:val="0021569A"/>
    <w:rsid w:val="002222F8"/>
    <w:rsid w:val="00231853"/>
    <w:rsid w:val="002423E4"/>
    <w:rsid w:val="00242E79"/>
    <w:rsid w:val="00244EF6"/>
    <w:rsid w:val="0024511F"/>
    <w:rsid w:val="00257F7C"/>
    <w:rsid w:val="00271445"/>
    <w:rsid w:val="00275978"/>
    <w:rsid w:val="00281D8D"/>
    <w:rsid w:val="0028495B"/>
    <w:rsid w:val="00285833"/>
    <w:rsid w:val="0028661A"/>
    <w:rsid w:val="00292CA0"/>
    <w:rsid w:val="00293E17"/>
    <w:rsid w:val="00296F08"/>
    <w:rsid w:val="002979F4"/>
    <w:rsid w:val="002A122C"/>
    <w:rsid w:val="002A48A5"/>
    <w:rsid w:val="002B2D45"/>
    <w:rsid w:val="002B33BA"/>
    <w:rsid w:val="002B49A9"/>
    <w:rsid w:val="002C1B46"/>
    <w:rsid w:val="002C7D71"/>
    <w:rsid w:val="002D138A"/>
    <w:rsid w:val="002D2521"/>
    <w:rsid w:val="002D45C7"/>
    <w:rsid w:val="002E3093"/>
    <w:rsid w:val="002E5419"/>
    <w:rsid w:val="002E76D0"/>
    <w:rsid w:val="00300C10"/>
    <w:rsid w:val="003117DC"/>
    <w:rsid w:val="00311928"/>
    <w:rsid w:val="00313925"/>
    <w:rsid w:val="0031588E"/>
    <w:rsid w:val="00333407"/>
    <w:rsid w:val="003526EA"/>
    <w:rsid w:val="003722E2"/>
    <w:rsid w:val="0037283C"/>
    <w:rsid w:val="00375E7A"/>
    <w:rsid w:val="0038013E"/>
    <w:rsid w:val="00386156"/>
    <w:rsid w:val="00394058"/>
    <w:rsid w:val="0039408F"/>
    <w:rsid w:val="00394423"/>
    <w:rsid w:val="003A2F02"/>
    <w:rsid w:val="003A6051"/>
    <w:rsid w:val="003A77AC"/>
    <w:rsid w:val="003B145D"/>
    <w:rsid w:val="003B7C8C"/>
    <w:rsid w:val="003D5AD7"/>
    <w:rsid w:val="003F184F"/>
    <w:rsid w:val="003F4BE9"/>
    <w:rsid w:val="003F57BD"/>
    <w:rsid w:val="00404514"/>
    <w:rsid w:val="00404765"/>
    <w:rsid w:val="00407D10"/>
    <w:rsid w:val="00412D0B"/>
    <w:rsid w:val="004174C3"/>
    <w:rsid w:val="004247D6"/>
    <w:rsid w:val="004252E1"/>
    <w:rsid w:val="00430A42"/>
    <w:rsid w:val="004350F2"/>
    <w:rsid w:val="004371B9"/>
    <w:rsid w:val="00440667"/>
    <w:rsid w:val="004550D4"/>
    <w:rsid w:val="0046520A"/>
    <w:rsid w:val="0046740D"/>
    <w:rsid w:val="0046743C"/>
    <w:rsid w:val="004707CF"/>
    <w:rsid w:val="00491255"/>
    <w:rsid w:val="00495CD0"/>
    <w:rsid w:val="00496F09"/>
    <w:rsid w:val="004A499F"/>
    <w:rsid w:val="004B008F"/>
    <w:rsid w:val="004B46CD"/>
    <w:rsid w:val="004B5824"/>
    <w:rsid w:val="004C003D"/>
    <w:rsid w:val="004C5DED"/>
    <w:rsid w:val="004D0A5A"/>
    <w:rsid w:val="004D5486"/>
    <w:rsid w:val="004F2F4E"/>
    <w:rsid w:val="004F308E"/>
    <w:rsid w:val="005140B1"/>
    <w:rsid w:val="00515FAD"/>
    <w:rsid w:val="00522367"/>
    <w:rsid w:val="0052522B"/>
    <w:rsid w:val="0052617B"/>
    <w:rsid w:val="00535AF2"/>
    <w:rsid w:val="00536190"/>
    <w:rsid w:val="00536F4C"/>
    <w:rsid w:val="0053724E"/>
    <w:rsid w:val="005422E0"/>
    <w:rsid w:val="00547AC4"/>
    <w:rsid w:val="00552BAF"/>
    <w:rsid w:val="00555816"/>
    <w:rsid w:val="00563D3F"/>
    <w:rsid w:val="00572140"/>
    <w:rsid w:val="00573FB6"/>
    <w:rsid w:val="005743FA"/>
    <w:rsid w:val="00577D14"/>
    <w:rsid w:val="00580BBF"/>
    <w:rsid w:val="00583EE6"/>
    <w:rsid w:val="005849A0"/>
    <w:rsid w:val="00592645"/>
    <w:rsid w:val="00595B52"/>
    <w:rsid w:val="005A2899"/>
    <w:rsid w:val="005A45B2"/>
    <w:rsid w:val="005A46F6"/>
    <w:rsid w:val="005A679E"/>
    <w:rsid w:val="005B3155"/>
    <w:rsid w:val="005B55BD"/>
    <w:rsid w:val="005C27A1"/>
    <w:rsid w:val="005C5AE8"/>
    <w:rsid w:val="005D2F68"/>
    <w:rsid w:val="005D581F"/>
    <w:rsid w:val="005D7921"/>
    <w:rsid w:val="005E045E"/>
    <w:rsid w:val="005F3C88"/>
    <w:rsid w:val="005F473E"/>
    <w:rsid w:val="006069FE"/>
    <w:rsid w:val="006201A7"/>
    <w:rsid w:val="006260D3"/>
    <w:rsid w:val="0063076B"/>
    <w:rsid w:val="0063388E"/>
    <w:rsid w:val="00635ED1"/>
    <w:rsid w:val="00636C95"/>
    <w:rsid w:val="00637DF8"/>
    <w:rsid w:val="006470FE"/>
    <w:rsid w:val="00647E0E"/>
    <w:rsid w:val="00661369"/>
    <w:rsid w:val="00661ABA"/>
    <w:rsid w:val="006637F9"/>
    <w:rsid w:val="00664B77"/>
    <w:rsid w:val="0066639B"/>
    <w:rsid w:val="00671605"/>
    <w:rsid w:val="00674335"/>
    <w:rsid w:val="006763E9"/>
    <w:rsid w:val="00676537"/>
    <w:rsid w:val="006843EA"/>
    <w:rsid w:val="006933E3"/>
    <w:rsid w:val="006A18B0"/>
    <w:rsid w:val="006A4C32"/>
    <w:rsid w:val="006A50CB"/>
    <w:rsid w:val="006C0759"/>
    <w:rsid w:val="006D4A04"/>
    <w:rsid w:val="006D6FC2"/>
    <w:rsid w:val="006E2E07"/>
    <w:rsid w:val="006E549B"/>
    <w:rsid w:val="006E7D36"/>
    <w:rsid w:val="006E7F7D"/>
    <w:rsid w:val="006F21C4"/>
    <w:rsid w:val="006F658C"/>
    <w:rsid w:val="0070240A"/>
    <w:rsid w:val="00707EAC"/>
    <w:rsid w:val="00710A3F"/>
    <w:rsid w:val="00712BB3"/>
    <w:rsid w:val="007152A1"/>
    <w:rsid w:val="00731532"/>
    <w:rsid w:val="00743076"/>
    <w:rsid w:val="00744B96"/>
    <w:rsid w:val="007454FA"/>
    <w:rsid w:val="007515F2"/>
    <w:rsid w:val="0075274B"/>
    <w:rsid w:val="0076059F"/>
    <w:rsid w:val="007613A1"/>
    <w:rsid w:val="007616CE"/>
    <w:rsid w:val="00771779"/>
    <w:rsid w:val="007754AD"/>
    <w:rsid w:val="0077652F"/>
    <w:rsid w:val="007836B4"/>
    <w:rsid w:val="0078395E"/>
    <w:rsid w:val="00797604"/>
    <w:rsid w:val="00797832"/>
    <w:rsid w:val="007A2523"/>
    <w:rsid w:val="007A67E5"/>
    <w:rsid w:val="007A7255"/>
    <w:rsid w:val="007B3DC5"/>
    <w:rsid w:val="007B4906"/>
    <w:rsid w:val="007B62B8"/>
    <w:rsid w:val="007C38C8"/>
    <w:rsid w:val="007D265C"/>
    <w:rsid w:val="007E191B"/>
    <w:rsid w:val="007E5014"/>
    <w:rsid w:val="007E5BB8"/>
    <w:rsid w:val="007E6FC3"/>
    <w:rsid w:val="007F1F30"/>
    <w:rsid w:val="007F4439"/>
    <w:rsid w:val="007F6967"/>
    <w:rsid w:val="0080140B"/>
    <w:rsid w:val="00810072"/>
    <w:rsid w:val="00811545"/>
    <w:rsid w:val="00813D54"/>
    <w:rsid w:val="00826DE2"/>
    <w:rsid w:val="00832CCC"/>
    <w:rsid w:val="008458D6"/>
    <w:rsid w:val="00854DDB"/>
    <w:rsid w:val="00863020"/>
    <w:rsid w:val="008715A1"/>
    <w:rsid w:val="0088109F"/>
    <w:rsid w:val="008810B2"/>
    <w:rsid w:val="00883361"/>
    <w:rsid w:val="00886DB2"/>
    <w:rsid w:val="00896807"/>
    <w:rsid w:val="00897FBC"/>
    <w:rsid w:val="008A0C0B"/>
    <w:rsid w:val="008B3A8C"/>
    <w:rsid w:val="008B4ED7"/>
    <w:rsid w:val="008B5135"/>
    <w:rsid w:val="008B6F85"/>
    <w:rsid w:val="008C0B70"/>
    <w:rsid w:val="008D377C"/>
    <w:rsid w:val="008D4135"/>
    <w:rsid w:val="009039D4"/>
    <w:rsid w:val="009046BD"/>
    <w:rsid w:val="009059F8"/>
    <w:rsid w:val="00913B14"/>
    <w:rsid w:val="0091465F"/>
    <w:rsid w:val="00920686"/>
    <w:rsid w:val="00923D13"/>
    <w:rsid w:val="009242D0"/>
    <w:rsid w:val="00926AB7"/>
    <w:rsid w:val="00930AF1"/>
    <w:rsid w:val="00933823"/>
    <w:rsid w:val="00941BD2"/>
    <w:rsid w:val="0094530F"/>
    <w:rsid w:val="00945781"/>
    <w:rsid w:val="0095633E"/>
    <w:rsid w:val="0096004B"/>
    <w:rsid w:val="00960B0B"/>
    <w:rsid w:val="00962395"/>
    <w:rsid w:val="0096443F"/>
    <w:rsid w:val="00966A9C"/>
    <w:rsid w:val="009677BB"/>
    <w:rsid w:val="00974A66"/>
    <w:rsid w:val="009861FB"/>
    <w:rsid w:val="00994D79"/>
    <w:rsid w:val="009A199E"/>
    <w:rsid w:val="009A499B"/>
    <w:rsid w:val="009A6603"/>
    <w:rsid w:val="009B34CC"/>
    <w:rsid w:val="009B7BA8"/>
    <w:rsid w:val="009C0775"/>
    <w:rsid w:val="009C562E"/>
    <w:rsid w:val="009C5E25"/>
    <w:rsid w:val="009C656A"/>
    <w:rsid w:val="009C7924"/>
    <w:rsid w:val="009D6B02"/>
    <w:rsid w:val="009E02D2"/>
    <w:rsid w:val="009F1197"/>
    <w:rsid w:val="009F4D4F"/>
    <w:rsid w:val="00A01098"/>
    <w:rsid w:val="00A01F57"/>
    <w:rsid w:val="00A07972"/>
    <w:rsid w:val="00A20111"/>
    <w:rsid w:val="00A22C5A"/>
    <w:rsid w:val="00A22F1C"/>
    <w:rsid w:val="00A243F8"/>
    <w:rsid w:val="00A25AC7"/>
    <w:rsid w:val="00A4047E"/>
    <w:rsid w:val="00A41133"/>
    <w:rsid w:val="00A4689D"/>
    <w:rsid w:val="00A50327"/>
    <w:rsid w:val="00A65842"/>
    <w:rsid w:val="00A67C52"/>
    <w:rsid w:val="00A70672"/>
    <w:rsid w:val="00A739BC"/>
    <w:rsid w:val="00A82E25"/>
    <w:rsid w:val="00A913C2"/>
    <w:rsid w:val="00A95AD9"/>
    <w:rsid w:val="00AA0F0D"/>
    <w:rsid w:val="00AA3F3B"/>
    <w:rsid w:val="00AA5841"/>
    <w:rsid w:val="00AA60A8"/>
    <w:rsid w:val="00AC1AE4"/>
    <w:rsid w:val="00AC4D6D"/>
    <w:rsid w:val="00AC670A"/>
    <w:rsid w:val="00AD0999"/>
    <w:rsid w:val="00AD6E1C"/>
    <w:rsid w:val="00AD77F2"/>
    <w:rsid w:val="00AE1A62"/>
    <w:rsid w:val="00AE5ACD"/>
    <w:rsid w:val="00AF24CC"/>
    <w:rsid w:val="00AF3792"/>
    <w:rsid w:val="00B05AD2"/>
    <w:rsid w:val="00B061C2"/>
    <w:rsid w:val="00B134B2"/>
    <w:rsid w:val="00B140B5"/>
    <w:rsid w:val="00B14A47"/>
    <w:rsid w:val="00B17539"/>
    <w:rsid w:val="00B211FC"/>
    <w:rsid w:val="00B2353D"/>
    <w:rsid w:val="00B24133"/>
    <w:rsid w:val="00B24EB8"/>
    <w:rsid w:val="00B252A7"/>
    <w:rsid w:val="00B2569B"/>
    <w:rsid w:val="00B36018"/>
    <w:rsid w:val="00B40664"/>
    <w:rsid w:val="00B44E2D"/>
    <w:rsid w:val="00B45D7A"/>
    <w:rsid w:val="00B55C0F"/>
    <w:rsid w:val="00B71C1C"/>
    <w:rsid w:val="00B72F42"/>
    <w:rsid w:val="00B75161"/>
    <w:rsid w:val="00B75382"/>
    <w:rsid w:val="00B82AF4"/>
    <w:rsid w:val="00B833FD"/>
    <w:rsid w:val="00B853FE"/>
    <w:rsid w:val="00B8658C"/>
    <w:rsid w:val="00B96367"/>
    <w:rsid w:val="00BA25EC"/>
    <w:rsid w:val="00BC0461"/>
    <w:rsid w:val="00BC4582"/>
    <w:rsid w:val="00BD77EA"/>
    <w:rsid w:val="00BE16FF"/>
    <w:rsid w:val="00BE4E7C"/>
    <w:rsid w:val="00BE7FBE"/>
    <w:rsid w:val="00BF0022"/>
    <w:rsid w:val="00BF7CCC"/>
    <w:rsid w:val="00C11426"/>
    <w:rsid w:val="00C13C8A"/>
    <w:rsid w:val="00C15D8C"/>
    <w:rsid w:val="00C2319B"/>
    <w:rsid w:val="00C240E4"/>
    <w:rsid w:val="00C25BF4"/>
    <w:rsid w:val="00C302E3"/>
    <w:rsid w:val="00C335D6"/>
    <w:rsid w:val="00C33772"/>
    <w:rsid w:val="00C36CBF"/>
    <w:rsid w:val="00C40566"/>
    <w:rsid w:val="00C4280E"/>
    <w:rsid w:val="00C468A9"/>
    <w:rsid w:val="00C55197"/>
    <w:rsid w:val="00C55842"/>
    <w:rsid w:val="00C559E6"/>
    <w:rsid w:val="00C56AC0"/>
    <w:rsid w:val="00C644E5"/>
    <w:rsid w:val="00C85042"/>
    <w:rsid w:val="00C86566"/>
    <w:rsid w:val="00C92890"/>
    <w:rsid w:val="00C928E2"/>
    <w:rsid w:val="00C93859"/>
    <w:rsid w:val="00C94B13"/>
    <w:rsid w:val="00C96651"/>
    <w:rsid w:val="00C96F95"/>
    <w:rsid w:val="00CA3645"/>
    <w:rsid w:val="00CB11D1"/>
    <w:rsid w:val="00CC1D22"/>
    <w:rsid w:val="00CD704E"/>
    <w:rsid w:val="00CE5E07"/>
    <w:rsid w:val="00CE6F05"/>
    <w:rsid w:val="00CF08B6"/>
    <w:rsid w:val="00CF6BEC"/>
    <w:rsid w:val="00CF73A5"/>
    <w:rsid w:val="00D00BDD"/>
    <w:rsid w:val="00D075D5"/>
    <w:rsid w:val="00D12B87"/>
    <w:rsid w:val="00D151E9"/>
    <w:rsid w:val="00D210D2"/>
    <w:rsid w:val="00D22B00"/>
    <w:rsid w:val="00D355EA"/>
    <w:rsid w:val="00D44B57"/>
    <w:rsid w:val="00D50662"/>
    <w:rsid w:val="00D548CD"/>
    <w:rsid w:val="00D5518A"/>
    <w:rsid w:val="00D562D9"/>
    <w:rsid w:val="00D67D23"/>
    <w:rsid w:val="00D75184"/>
    <w:rsid w:val="00D76EB1"/>
    <w:rsid w:val="00D8132C"/>
    <w:rsid w:val="00D838A9"/>
    <w:rsid w:val="00D91BE1"/>
    <w:rsid w:val="00D95C89"/>
    <w:rsid w:val="00D9727E"/>
    <w:rsid w:val="00D97F33"/>
    <w:rsid w:val="00DB10C7"/>
    <w:rsid w:val="00DB20B4"/>
    <w:rsid w:val="00DB6BD2"/>
    <w:rsid w:val="00DC056F"/>
    <w:rsid w:val="00DC1A01"/>
    <w:rsid w:val="00DC77A5"/>
    <w:rsid w:val="00DD1367"/>
    <w:rsid w:val="00DD6AF4"/>
    <w:rsid w:val="00DE0D03"/>
    <w:rsid w:val="00DE513B"/>
    <w:rsid w:val="00DE628D"/>
    <w:rsid w:val="00DE7F50"/>
    <w:rsid w:val="00DF226D"/>
    <w:rsid w:val="00DF5B92"/>
    <w:rsid w:val="00DF799B"/>
    <w:rsid w:val="00E0031D"/>
    <w:rsid w:val="00E04ABF"/>
    <w:rsid w:val="00E04E54"/>
    <w:rsid w:val="00E0543B"/>
    <w:rsid w:val="00E05CD0"/>
    <w:rsid w:val="00E06561"/>
    <w:rsid w:val="00E15FE8"/>
    <w:rsid w:val="00E21DD5"/>
    <w:rsid w:val="00E21F30"/>
    <w:rsid w:val="00E24292"/>
    <w:rsid w:val="00E47774"/>
    <w:rsid w:val="00E64A27"/>
    <w:rsid w:val="00E65D06"/>
    <w:rsid w:val="00E713BF"/>
    <w:rsid w:val="00E72E5E"/>
    <w:rsid w:val="00E772B2"/>
    <w:rsid w:val="00E802CC"/>
    <w:rsid w:val="00E8049E"/>
    <w:rsid w:val="00E80E43"/>
    <w:rsid w:val="00E92DC4"/>
    <w:rsid w:val="00E93BE1"/>
    <w:rsid w:val="00E9536B"/>
    <w:rsid w:val="00EA275F"/>
    <w:rsid w:val="00EA4169"/>
    <w:rsid w:val="00EA4394"/>
    <w:rsid w:val="00EA5445"/>
    <w:rsid w:val="00EB229C"/>
    <w:rsid w:val="00EB6A13"/>
    <w:rsid w:val="00ED0A12"/>
    <w:rsid w:val="00ED289B"/>
    <w:rsid w:val="00EE1315"/>
    <w:rsid w:val="00EE4F8F"/>
    <w:rsid w:val="00EE628E"/>
    <w:rsid w:val="00EF651A"/>
    <w:rsid w:val="00F02281"/>
    <w:rsid w:val="00F0668F"/>
    <w:rsid w:val="00F074F2"/>
    <w:rsid w:val="00F11AE8"/>
    <w:rsid w:val="00F1455E"/>
    <w:rsid w:val="00F16508"/>
    <w:rsid w:val="00F1700A"/>
    <w:rsid w:val="00F22869"/>
    <w:rsid w:val="00F2312E"/>
    <w:rsid w:val="00F30211"/>
    <w:rsid w:val="00F35B4F"/>
    <w:rsid w:val="00F42674"/>
    <w:rsid w:val="00F50FFB"/>
    <w:rsid w:val="00F526CC"/>
    <w:rsid w:val="00F53AD9"/>
    <w:rsid w:val="00F60609"/>
    <w:rsid w:val="00F60EBF"/>
    <w:rsid w:val="00F74182"/>
    <w:rsid w:val="00F76670"/>
    <w:rsid w:val="00F769B6"/>
    <w:rsid w:val="00F82814"/>
    <w:rsid w:val="00F84AF8"/>
    <w:rsid w:val="00F85349"/>
    <w:rsid w:val="00F8622A"/>
    <w:rsid w:val="00F94859"/>
    <w:rsid w:val="00F9505A"/>
    <w:rsid w:val="00F96987"/>
    <w:rsid w:val="00FA23C6"/>
    <w:rsid w:val="00FA3201"/>
    <w:rsid w:val="00FC0893"/>
    <w:rsid w:val="00FC73EF"/>
    <w:rsid w:val="00FD15E6"/>
    <w:rsid w:val="00FD414E"/>
    <w:rsid w:val="00FD54CC"/>
    <w:rsid w:val="00FD69D2"/>
    <w:rsid w:val="00FD783F"/>
    <w:rsid w:val="00FD79AA"/>
    <w:rsid w:val="00FF1569"/>
    <w:rsid w:val="2F021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qFormat="1" w:uiPriority="0"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qFormat="1"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iPriority="99" w:name="footnote text"/>
    <w:lsdException w:qFormat="1" w:uiPriority="0" w:semiHidden="0" w:name="annotation text"/>
    <w:lsdException w:uiPriority="99" w:semiHidden="0" w:name="header"/>
    <w:lsdException w:qFormat="1" w:uiPriority="99"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nhideWhenUsed="0" w:uiPriority="0" w:semiHidden="0" w:name="Date"/>
    <w:lsdException w:unhideWhenUsed="0" w:uiPriority="0" w:semiHidden="0" w:name="Body Text First Indent"/>
    <w:lsdException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name="Placeholder Text"/>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iPriority="29" w:semiHidden="0" w:name="Quote"/>
    <w:lsdException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next w:val="3"/>
    <w:link w:val="52"/>
    <w:qFormat/>
    <w:uiPriority w:val="9"/>
    <w:pPr>
      <w:keepNext/>
      <w:keepLines/>
      <w:widowControl w:val="0"/>
      <w:numPr>
        <w:ilvl w:val="0"/>
        <w:numId w:val="1"/>
      </w:numPr>
      <w:tabs>
        <w:tab w:val="clear" w:pos="5820"/>
      </w:tabs>
      <w:spacing w:before="312" w:beforeLines="100" w:after="624" w:afterLines="200" w:line="360" w:lineRule="auto"/>
      <w:ind w:left="0" w:firstLine="0"/>
      <w:jc w:val="center"/>
      <w:outlineLvl w:val="0"/>
    </w:pPr>
    <w:rPr>
      <w:rFonts w:ascii="Times New Roman" w:hAnsi="Times New Roman" w:eastAsia="宋体" w:cs="Times New Roman"/>
      <w:b/>
      <w:bCs/>
      <w:kern w:val="44"/>
      <w:sz w:val="44"/>
      <w:szCs w:val="44"/>
      <w:lang w:val="en-US" w:eastAsia="zh-CN" w:bidi="ar-SA"/>
    </w:rPr>
  </w:style>
  <w:style w:type="paragraph" w:styleId="4">
    <w:name w:val="heading 2"/>
    <w:next w:val="3"/>
    <w:link w:val="53"/>
    <w:qFormat/>
    <w:uiPriority w:val="9"/>
    <w:pPr>
      <w:keepNext/>
      <w:keepLines/>
      <w:widowControl w:val="0"/>
      <w:numPr>
        <w:ilvl w:val="1"/>
        <w:numId w:val="2"/>
      </w:numPr>
      <w:tabs>
        <w:tab w:val="left" w:pos="480"/>
        <w:tab w:val="left" w:pos="576"/>
        <w:tab w:val="left" w:pos="630"/>
      </w:tabs>
      <w:spacing w:line="360" w:lineRule="auto"/>
      <w:jc w:val="both"/>
      <w:outlineLvl w:val="1"/>
    </w:pPr>
    <w:rPr>
      <w:rFonts w:ascii="Times New Roman" w:hAnsi="Times New Roman" w:eastAsia="宋体" w:cs="Times New Roman"/>
      <w:b/>
      <w:bCs/>
      <w:kern w:val="2"/>
      <w:sz w:val="32"/>
      <w:szCs w:val="32"/>
      <w:lang w:val="en-US" w:eastAsia="zh-CN" w:bidi="ar-SA"/>
    </w:rPr>
  </w:style>
  <w:style w:type="paragraph" w:styleId="5">
    <w:name w:val="heading 3"/>
    <w:next w:val="3"/>
    <w:link w:val="54"/>
    <w:qFormat/>
    <w:uiPriority w:val="99"/>
    <w:pPr>
      <w:keepNext/>
      <w:keepLines/>
      <w:widowControl w:val="0"/>
      <w:numPr>
        <w:ilvl w:val="2"/>
        <w:numId w:val="1"/>
      </w:numPr>
      <w:tabs>
        <w:tab w:val="left" w:pos="720"/>
        <w:tab w:val="clear" w:pos="1288"/>
      </w:tabs>
      <w:adjustRightInd w:val="0"/>
      <w:snapToGrid w:val="0"/>
      <w:spacing w:line="360" w:lineRule="auto"/>
      <w:ind w:left="0" w:firstLine="0"/>
      <w:outlineLvl w:val="2"/>
    </w:pPr>
    <w:rPr>
      <w:rFonts w:ascii="Times New Roman" w:hAnsi="Times New Roman" w:eastAsia="宋体" w:cs="Times New Roman"/>
      <w:b/>
      <w:bCs/>
      <w:color w:val="000000" w:themeColor="text1"/>
      <w:kern w:val="2"/>
      <w:sz w:val="28"/>
      <w:szCs w:val="32"/>
      <w:lang w:val="en-US" w:eastAsia="zh-CN" w:bidi="ar-SA"/>
      <w14:textFill>
        <w14:solidFill>
          <w14:schemeClr w14:val="tx1"/>
        </w14:solidFill>
      </w14:textFill>
    </w:rPr>
  </w:style>
  <w:style w:type="paragraph" w:styleId="6">
    <w:name w:val="heading 4"/>
    <w:next w:val="3"/>
    <w:link w:val="55"/>
    <w:qFormat/>
    <w:uiPriority w:val="99"/>
    <w:pPr>
      <w:keepNext/>
      <w:keepLines/>
      <w:numPr>
        <w:ilvl w:val="3"/>
        <w:numId w:val="2"/>
      </w:numPr>
      <w:tabs>
        <w:tab w:val="left" w:pos="1615"/>
      </w:tabs>
      <w:adjustRightInd w:val="0"/>
      <w:snapToGrid w:val="0"/>
      <w:spacing w:line="360" w:lineRule="auto"/>
      <w:ind w:left="0"/>
      <w:outlineLvl w:val="3"/>
    </w:pPr>
    <w:rPr>
      <w:rFonts w:ascii="Times New Roman" w:hAnsi="Times New Roman" w:eastAsia="宋体" w:cs="Times New Roman"/>
      <w:b/>
      <w:bCs/>
      <w:kern w:val="2"/>
      <w:sz w:val="24"/>
      <w:szCs w:val="28"/>
      <w:lang w:val="en-US" w:eastAsia="zh-CN" w:bidi="ar-SA"/>
    </w:rPr>
  </w:style>
  <w:style w:type="paragraph" w:styleId="7">
    <w:name w:val="heading 5"/>
    <w:basedOn w:val="1"/>
    <w:next w:val="3"/>
    <w:link w:val="56"/>
    <w:unhideWhenUsed/>
    <w:qFormat/>
    <w:uiPriority w:val="0"/>
    <w:pPr>
      <w:keepNext/>
      <w:widowControl w:val="0"/>
      <w:tabs>
        <w:tab w:val="left" w:leader="middleDot" w:pos="0"/>
      </w:tabs>
      <w:spacing w:before="120" w:line="360" w:lineRule="auto"/>
      <w:outlineLvl w:val="4"/>
    </w:pPr>
    <w:rPr>
      <w:rFonts w:ascii="Times New Roman" w:hAnsi="Times New Roman"/>
      <w:b/>
      <w:color w:val="000000" w:themeColor="text1"/>
      <w14:textFill>
        <w14:solidFill>
          <w14:schemeClr w14:val="tx1"/>
        </w14:solidFill>
      </w14:textFill>
    </w:rPr>
  </w:style>
  <w:style w:type="paragraph" w:styleId="8">
    <w:name w:val="heading 6"/>
    <w:basedOn w:val="1"/>
    <w:next w:val="1"/>
    <w:link w:val="57"/>
    <w:unhideWhenUsed/>
    <w:qFormat/>
    <w:uiPriority w:val="0"/>
    <w:pPr>
      <w:keepNext/>
      <w:keepLines/>
      <w:numPr>
        <w:ilvl w:val="5"/>
        <w:numId w:val="3"/>
      </w:numPr>
      <w:spacing w:before="40"/>
      <w:outlineLvl w:val="5"/>
    </w:pPr>
  </w:style>
  <w:style w:type="paragraph" w:styleId="9">
    <w:name w:val="heading 7"/>
    <w:basedOn w:val="1"/>
    <w:next w:val="1"/>
    <w:link w:val="58"/>
    <w:unhideWhenUsed/>
    <w:qFormat/>
    <w:uiPriority w:val="9"/>
    <w:pPr>
      <w:keepNext/>
      <w:keepLines/>
      <w:numPr>
        <w:ilvl w:val="6"/>
        <w:numId w:val="3"/>
      </w:numPr>
      <w:spacing w:before="40"/>
      <w:outlineLvl w:val="6"/>
    </w:pPr>
    <w:rPr>
      <w:i/>
      <w:iCs/>
    </w:rPr>
  </w:style>
  <w:style w:type="paragraph" w:styleId="10">
    <w:name w:val="heading 8"/>
    <w:basedOn w:val="1"/>
    <w:next w:val="1"/>
    <w:link w:val="59"/>
    <w:unhideWhenUsed/>
    <w:qFormat/>
    <w:uiPriority w:val="9"/>
    <w:pPr>
      <w:keepNext/>
      <w:keepLines/>
      <w:numPr>
        <w:ilvl w:val="7"/>
        <w:numId w:val="3"/>
      </w:numPr>
      <w:spacing w:before="40"/>
      <w:outlineLvl w:val="7"/>
    </w:pPr>
    <w:rPr>
      <w:color w:val="262626"/>
      <w:sz w:val="21"/>
      <w:szCs w:val="21"/>
    </w:rPr>
  </w:style>
  <w:style w:type="paragraph" w:styleId="11">
    <w:name w:val="heading 9"/>
    <w:basedOn w:val="1"/>
    <w:next w:val="1"/>
    <w:link w:val="60"/>
    <w:unhideWhenUsed/>
    <w:qFormat/>
    <w:uiPriority w:val="9"/>
    <w:pPr>
      <w:keepNext/>
      <w:keepLines/>
      <w:numPr>
        <w:ilvl w:val="8"/>
        <w:numId w:val="3"/>
      </w:numPr>
      <w:spacing w:before="40"/>
      <w:outlineLvl w:val="8"/>
    </w:pPr>
    <w:rPr>
      <w:i/>
      <w:iCs/>
      <w:color w:val="262626"/>
      <w:sz w:val="21"/>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customStyle="1" w:styleId="3">
    <w:name w:val="报告正文"/>
    <w:link w:val="51"/>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12">
    <w:name w:val="toc 7"/>
    <w:basedOn w:val="1"/>
    <w:next w:val="1"/>
    <w:autoRedefine/>
    <w:unhideWhenUsed/>
    <w:qFormat/>
    <w:uiPriority w:val="39"/>
    <w:pPr>
      <w:ind w:left="1440"/>
    </w:pPr>
    <w:rPr>
      <w:rFonts w:asciiTheme="minorHAnsi" w:eastAsiaTheme="minorHAnsi"/>
      <w:sz w:val="18"/>
      <w:szCs w:val="18"/>
    </w:rPr>
  </w:style>
  <w:style w:type="paragraph" w:styleId="13">
    <w:name w:val="Normal Indent"/>
    <w:basedOn w:val="1"/>
    <w:link w:val="357"/>
    <w:uiPriority w:val="0"/>
    <w:pPr>
      <w:widowControl w:val="0"/>
      <w:spacing w:line="360" w:lineRule="auto"/>
      <w:ind w:firstLine="420" w:firstLineChars="200"/>
      <w:jc w:val="both"/>
    </w:pPr>
    <w:rPr>
      <w:rFonts w:ascii="Times New Roman" w:hAnsi="Times New Roman" w:cs="Times New Roman"/>
      <w:kern w:val="2"/>
      <w:lang w:val="zh-CN"/>
    </w:rPr>
  </w:style>
  <w:style w:type="paragraph" w:styleId="14">
    <w:name w:val="caption"/>
    <w:basedOn w:val="1"/>
    <w:next w:val="1"/>
    <w:link w:val="64"/>
    <w:unhideWhenUsed/>
    <w:qFormat/>
    <w:uiPriority w:val="99"/>
    <w:pPr>
      <w:jc w:val="center"/>
    </w:pPr>
    <w:rPr>
      <w:rFonts w:ascii="Times New Roman" w:hAnsi="Times New Roman"/>
      <w:b/>
      <w:iCs/>
      <w:color w:val="000000" w:themeColor="text1"/>
      <w:sz w:val="21"/>
      <w:szCs w:val="18"/>
      <w14:textFill>
        <w14:solidFill>
          <w14:schemeClr w14:val="tx1"/>
        </w14:solidFill>
      </w14:textFill>
    </w:rPr>
  </w:style>
  <w:style w:type="paragraph" w:styleId="15">
    <w:name w:val="annotation text"/>
    <w:basedOn w:val="1"/>
    <w:link w:val="92"/>
    <w:unhideWhenUsed/>
    <w:qFormat/>
    <w:uiPriority w:val="0"/>
  </w:style>
  <w:style w:type="paragraph" w:styleId="16">
    <w:name w:val="index 6"/>
    <w:basedOn w:val="1"/>
    <w:next w:val="1"/>
    <w:autoRedefine/>
    <w:semiHidden/>
    <w:unhideWhenUsed/>
    <w:qFormat/>
    <w:uiPriority w:val="99"/>
    <w:pPr>
      <w:ind w:left="1000" w:leftChars="1000"/>
    </w:pPr>
  </w:style>
  <w:style w:type="paragraph" w:styleId="17">
    <w:name w:val="Body Text"/>
    <w:basedOn w:val="1"/>
    <w:link w:val="344"/>
    <w:uiPriority w:val="0"/>
    <w:pPr>
      <w:widowControl w:val="0"/>
      <w:spacing w:after="120"/>
      <w:jc w:val="both"/>
    </w:pPr>
    <w:rPr>
      <w:rFonts w:ascii="Times New Roman" w:hAnsi="Times New Roman" w:cs="Times New Roman"/>
      <w:kern w:val="2"/>
      <w:sz w:val="21"/>
    </w:rPr>
  </w:style>
  <w:style w:type="paragraph" w:styleId="18">
    <w:name w:val="Body Text Indent"/>
    <w:basedOn w:val="1"/>
    <w:link w:val="115"/>
    <w:unhideWhenUsed/>
    <w:qFormat/>
    <w:uiPriority w:val="0"/>
    <w:pPr>
      <w:spacing w:after="120"/>
      <w:ind w:left="420" w:leftChars="200"/>
    </w:pPr>
  </w:style>
  <w:style w:type="paragraph" w:styleId="19">
    <w:name w:val="toc 5"/>
    <w:basedOn w:val="1"/>
    <w:next w:val="1"/>
    <w:autoRedefine/>
    <w:unhideWhenUsed/>
    <w:qFormat/>
    <w:uiPriority w:val="39"/>
    <w:pPr>
      <w:ind w:left="960"/>
    </w:pPr>
    <w:rPr>
      <w:rFonts w:asciiTheme="minorHAnsi" w:eastAsiaTheme="minorHAnsi"/>
      <w:sz w:val="18"/>
      <w:szCs w:val="18"/>
    </w:rPr>
  </w:style>
  <w:style w:type="paragraph" w:styleId="20">
    <w:name w:val="toc 3"/>
    <w:next w:val="3"/>
    <w:unhideWhenUsed/>
    <w:qFormat/>
    <w:uiPriority w:val="39"/>
    <w:pPr>
      <w:ind w:left="480"/>
    </w:pPr>
    <w:rPr>
      <w:rFonts w:hAnsi="宋体" w:cs="宋体" w:asciiTheme="minorHAnsi" w:eastAsiaTheme="minorHAnsi"/>
      <w:i/>
      <w:iCs/>
      <w:kern w:val="0"/>
      <w:sz w:val="20"/>
      <w:szCs w:val="20"/>
      <w:lang w:val="en-US" w:eastAsia="zh-CN" w:bidi="ar-SA"/>
    </w:rPr>
  </w:style>
  <w:style w:type="paragraph" w:styleId="21">
    <w:name w:val="Plain Text"/>
    <w:link w:val="65"/>
    <w:uiPriority w:val="0"/>
    <w:pPr>
      <w:jc w:val="center"/>
    </w:pPr>
    <w:rPr>
      <w:rFonts w:ascii="Times New Roman" w:hAnsi="Times New Roman" w:eastAsia="宋体" w:cs="Times New Roman"/>
      <w:kern w:val="2"/>
      <w:sz w:val="21"/>
      <w:szCs w:val="21"/>
      <w:lang w:val="en-US" w:eastAsia="zh-CN" w:bidi="ar-SA"/>
    </w:rPr>
  </w:style>
  <w:style w:type="paragraph" w:styleId="22">
    <w:name w:val="toc 8"/>
    <w:basedOn w:val="1"/>
    <w:next w:val="1"/>
    <w:autoRedefine/>
    <w:unhideWhenUsed/>
    <w:qFormat/>
    <w:uiPriority w:val="39"/>
    <w:pPr>
      <w:ind w:left="1680"/>
    </w:pPr>
    <w:rPr>
      <w:rFonts w:asciiTheme="minorHAnsi" w:eastAsiaTheme="minorHAnsi"/>
      <w:sz w:val="18"/>
      <w:szCs w:val="18"/>
    </w:rPr>
  </w:style>
  <w:style w:type="paragraph" w:styleId="23">
    <w:name w:val="Date"/>
    <w:basedOn w:val="1"/>
    <w:next w:val="1"/>
    <w:link w:val="295"/>
    <w:uiPriority w:val="0"/>
    <w:pPr>
      <w:ind w:left="100" w:leftChars="2500"/>
    </w:pPr>
  </w:style>
  <w:style w:type="paragraph" w:styleId="24">
    <w:name w:val="Body Text Indent 2"/>
    <w:basedOn w:val="1"/>
    <w:next w:val="1"/>
    <w:link w:val="300"/>
    <w:qFormat/>
    <w:uiPriority w:val="0"/>
  </w:style>
  <w:style w:type="paragraph" w:styleId="25">
    <w:name w:val="Balloon Text"/>
    <w:basedOn w:val="1"/>
    <w:link w:val="270"/>
    <w:qFormat/>
    <w:uiPriority w:val="0"/>
    <w:pPr>
      <w:ind w:firstLine="200" w:firstLineChars="200"/>
    </w:pPr>
    <w:rPr>
      <w:sz w:val="18"/>
      <w:szCs w:val="18"/>
    </w:rPr>
  </w:style>
  <w:style w:type="paragraph" w:styleId="26">
    <w:name w:val="footer"/>
    <w:basedOn w:val="1"/>
    <w:link w:val="46"/>
    <w:unhideWhenUsed/>
    <w:qFormat/>
    <w:uiPriority w:val="99"/>
    <w:pPr>
      <w:tabs>
        <w:tab w:val="center" w:pos="4153"/>
        <w:tab w:val="right" w:pos="8306"/>
      </w:tabs>
      <w:snapToGrid w:val="0"/>
      <w:jc w:val="center"/>
    </w:pPr>
    <w:rPr>
      <w:rFonts w:ascii="Times New Roman" w:hAnsi="Times New Roman" w:eastAsia="Times New Roman" w:cs="Times New Roman"/>
      <w:sz w:val="18"/>
      <w:szCs w:val="18"/>
    </w:rPr>
  </w:style>
  <w:style w:type="paragraph" w:styleId="27">
    <w:name w:val="header"/>
    <w:basedOn w:val="1"/>
    <w:link w:val="67"/>
    <w:unhideWhenUsed/>
    <w:uiPriority w:val="99"/>
    <w:pPr>
      <w:pBdr>
        <w:bottom w:val="single" w:color="auto" w:sz="6" w:space="1"/>
      </w:pBdr>
      <w:tabs>
        <w:tab w:val="center" w:pos="4153"/>
        <w:tab w:val="right" w:pos="8306"/>
      </w:tabs>
      <w:snapToGrid w:val="0"/>
      <w:jc w:val="center"/>
    </w:pPr>
    <w:rPr>
      <w:sz w:val="18"/>
      <w:szCs w:val="18"/>
    </w:rPr>
  </w:style>
  <w:style w:type="paragraph" w:styleId="28">
    <w:name w:val="toc 1"/>
    <w:next w:val="3"/>
    <w:uiPriority w:val="39"/>
    <w:pPr>
      <w:spacing w:before="120" w:after="120"/>
    </w:pPr>
    <w:rPr>
      <w:rFonts w:hAnsi="宋体" w:cs="宋体" w:asciiTheme="minorHAnsi" w:eastAsiaTheme="minorHAnsi"/>
      <w:b/>
      <w:bCs/>
      <w:caps/>
      <w:kern w:val="0"/>
      <w:sz w:val="20"/>
      <w:szCs w:val="20"/>
      <w:lang w:val="en-US" w:eastAsia="zh-CN" w:bidi="ar-SA"/>
    </w:rPr>
  </w:style>
  <w:style w:type="paragraph" w:styleId="29">
    <w:name w:val="toc 4"/>
    <w:basedOn w:val="1"/>
    <w:next w:val="1"/>
    <w:unhideWhenUsed/>
    <w:uiPriority w:val="39"/>
    <w:pPr>
      <w:ind w:left="720"/>
    </w:pPr>
    <w:rPr>
      <w:rFonts w:asciiTheme="minorHAnsi" w:eastAsiaTheme="minorHAnsi"/>
      <w:sz w:val="18"/>
      <w:szCs w:val="18"/>
    </w:rPr>
  </w:style>
  <w:style w:type="paragraph" w:styleId="30">
    <w:name w:val="Subtitle"/>
    <w:basedOn w:val="1"/>
    <w:next w:val="1"/>
    <w:link w:val="338"/>
    <w:uiPriority w:val="11"/>
    <w:pPr>
      <w:widowControl w:val="0"/>
      <w:spacing w:after="160" w:line="360" w:lineRule="auto"/>
      <w:ind w:firstLine="200" w:firstLineChars="20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List"/>
    <w:basedOn w:val="1"/>
    <w:next w:val="1"/>
    <w:unhideWhenUsed/>
    <w:qFormat/>
    <w:uiPriority w:val="99"/>
    <w:pPr>
      <w:spacing w:before="100" w:beforeAutospacing="1" w:after="100" w:afterAutospacing="1"/>
      <w:ind w:left="200" w:hanging="200" w:hangingChars="200"/>
      <w:contextualSpacing/>
    </w:pPr>
  </w:style>
  <w:style w:type="paragraph" w:styleId="32">
    <w:name w:val="toc 6"/>
    <w:basedOn w:val="1"/>
    <w:next w:val="1"/>
    <w:autoRedefine/>
    <w:unhideWhenUsed/>
    <w:qFormat/>
    <w:uiPriority w:val="39"/>
    <w:pPr>
      <w:ind w:left="1200"/>
    </w:pPr>
    <w:rPr>
      <w:rFonts w:asciiTheme="minorHAnsi" w:eastAsiaTheme="minorHAnsi"/>
      <w:sz w:val="18"/>
      <w:szCs w:val="18"/>
    </w:rPr>
  </w:style>
  <w:style w:type="paragraph" w:styleId="33">
    <w:name w:val="toc 2"/>
    <w:basedOn w:val="1"/>
    <w:next w:val="1"/>
    <w:autoRedefine/>
    <w:qFormat/>
    <w:uiPriority w:val="39"/>
    <w:pPr>
      <w:ind w:left="240"/>
    </w:pPr>
    <w:rPr>
      <w:rFonts w:asciiTheme="minorHAnsi" w:eastAsiaTheme="minorHAnsi"/>
      <w:smallCaps/>
      <w:sz w:val="20"/>
      <w:szCs w:val="20"/>
    </w:rPr>
  </w:style>
  <w:style w:type="paragraph" w:styleId="34">
    <w:name w:val="toc 9"/>
    <w:basedOn w:val="1"/>
    <w:next w:val="1"/>
    <w:autoRedefine/>
    <w:unhideWhenUsed/>
    <w:qFormat/>
    <w:uiPriority w:val="39"/>
    <w:pPr>
      <w:ind w:left="1920"/>
    </w:pPr>
    <w:rPr>
      <w:rFonts w:asciiTheme="minorHAnsi" w:eastAsiaTheme="minorHAnsi"/>
      <w:sz w:val="18"/>
      <w:szCs w:val="18"/>
    </w:rPr>
  </w:style>
  <w:style w:type="paragraph" w:styleId="35">
    <w:name w:val="Body Text 2"/>
    <w:basedOn w:val="1"/>
    <w:link w:val="364"/>
    <w:qFormat/>
    <w:uiPriority w:val="0"/>
    <w:pPr>
      <w:widowControl w:val="0"/>
      <w:adjustRightInd w:val="0"/>
      <w:snapToGrid w:val="0"/>
      <w:spacing w:after="120" w:line="480" w:lineRule="auto"/>
      <w:ind w:firstLine="200" w:firstLineChars="200"/>
      <w:jc w:val="both"/>
    </w:pPr>
    <w:rPr>
      <w:rFonts w:ascii="Times New Roman" w:hAnsi="Times New Roman" w:cs="Times New Roman"/>
      <w:kern w:val="2"/>
      <w:szCs w:val="20"/>
    </w:rPr>
  </w:style>
  <w:style w:type="paragraph" w:styleId="36">
    <w:name w:val="Normal (Web)"/>
    <w:basedOn w:val="1"/>
    <w:link w:val="91"/>
    <w:unhideWhenUsed/>
    <w:qFormat/>
    <w:uiPriority w:val="99"/>
    <w:pPr>
      <w:spacing w:before="100" w:beforeAutospacing="1" w:after="100" w:afterAutospacing="1"/>
    </w:pPr>
  </w:style>
  <w:style w:type="paragraph" w:styleId="37">
    <w:name w:val="Title"/>
    <w:basedOn w:val="1"/>
    <w:next w:val="1"/>
    <w:link w:val="337"/>
    <w:uiPriority w:val="10"/>
    <w:pPr>
      <w:widowControl w:val="0"/>
      <w:spacing w:after="80"/>
      <w:ind w:firstLine="200" w:firstLineChars="200"/>
      <w:contextualSpacing/>
      <w:jc w:val="center"/>
    </w:pPr>
    <w:rPr>
      <w:rFonts w:asciiTheme="majorHAnsi" w:hAnsiTheme="majorHAnsi" w:eastAsiaTheme="majorEastAsia" w:cstheme="majorBidi"/>
      <w:spacing w:val="-10"/>
      <w:kern w:val="28"/>
      <w:sz w:val="56"/>
      <w:szCs w:val="56"/>
    </w:rPr>
  </w:style>
  <w:style w:type="paragraph" w:styleId="38">
    <w:name w:val="annotation subject"/>
    <w:basedOn w:val="15"/>
    <w:next w:val="15"/>
    <w:link w:val="93"/>
    <w:unhideWhenUsed/>
    <w:qFormat/>
    <w:uiPriority w:val="0"/>
    <w:rPr>
      <w:b/>
      <w:bCs/>
    </w:rPr>
  </w:style>
  <w:style w:type="paragraph" w:styleId="39">
    <w:name w:val="Body Text First Indent"/>
    <w:link w:val="358"/>
    <w:uiPriority w:val="0"/>
    <w:pPr>
      <w:spacing w:line="360" w:lineRule="auto"/>
      <w:ind w:firstLine="420"/>
    </w:pPr>
    <w:rPr>
      <w:rFonts w:asciiTheme="minorHAnsi" w:hAnsiTheme="minorHAnsi" w:eastAsiaTheme="minorEastAsia" w:cstheme="minorBidi"/>
      <w:kern w:val="2"/>
      <w:sz w:val="24"/>
      <w:szCs w:val="22"/>
      <w:lang w:val="en-US" w:eastAsia="zh-CN" w:bidi="ar-SA"/>
    </w:rPr>
  </w:style>
  <w:style w:type="paragraph" w:styleId="40">
    <w:name w:val="Body Text First Indent 2"/>
    <w:basedOn w:val="18"/>
    <w:link w:val="271"/>
    <w:unhideWhenUsed/>
    <w:uiPriority w:val="99"/>
    <w:pPr>
      <w:ind w:firstLine="420"/>
    </w:pPr>
    <w:rPr>
      <w:szCs w:val="20"/>
    </w:rPr>
  </w:style>
  <w:style w:type="table" w:styleId="42">
    <w:name w:val="Table Grid"/>
    <w:basedOn w:val="41"/>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bCs/>
    </w:rPr>
  </w:style>
  <w:style w:type="character" w:styleId="45">
    <w:name w:val="page number"/>
    <w:basedOn w:val="46"/>
    <w:uiPriority w:val="0"/>
    <w:rPr>
      <w:rFonts w:ascii="Times New Roman" w:hAnsi="Times New Roman" w:eastAsia="Times New Roman" w:cs="宋体"/>
      <w:kern w:val="0"/>
      <w:sz w:val="21"/>
      <w:szCs w:val="18"/>
    </w:rPr>
  </w:style>
  <w:style w:type="character" w:customStyle="1" w:styleId="46">
    <w:name w:val="页脚 字符"/>
    <w:basedOn w:val="43"/>
    <w:link w:val="26"/>
    <w:qFormat/>
    <w:uiPriority w:val="99"/>
    <w:rPr>
      <w:rFonts w:ascii="Times New Roman" w:hAnsi="Times New Roman" w:eastAsia="Times New Roman" w:cs="Times New Roman"/>
      <w:kern w:val="0"/>
      <w:sz w:val="18"/>
      <w:szCs w:val="18"/>
    </w:rPr>
  </w:style>
  <w:style w:type="character" w:styleId="47">
    <w:name w:val="FollowedHyperlink"/>
    <w:basedOn w:val="43"/>
    <w:unhideWhenUsed/>
    <w:qFormat/>
    <w:uiPriority w:val="99"/>
    <w:rPr>
      <w:color w:val="954F72"/>
      <w:u w:val="single"/>
    </w:rPr>
  </w:style>
  <w:style w:type="character" w:styleId="48">
    <w:name w:val="Emphasis"/>
    <w:basedOn w:val="43"/>
    <w:qFormat/>
    <w:uiPriority w:val="20"/>
    <w:rPr>
      <w:i/>
      <w:iCs/>
    </w:rPr>
  </w:style>
  <w:style w:type="character" w:styleId="49">
    <w:name w:val="Hyperlink"/>
    <w:unhideWhenUsed/>
    <w:qFormat/>
    <w:uiPriority w:val="99"/>
    <w:rPr>
      <w:rFonts w:ascii="Times New Roman" w:hAnsi="Times New Roman" w:eastAsia="宋体"/>
      <w:iCs/>
      <w:color w:val="000000" w:themeColor="text1"/>
      <w:kern w:val="2"/>
      <w:sz w:val="24"/>
      <w:szCs w:val="28"/>
      <w14:textFill>
        <w14:solidFill>
          <w14:schemeClr w14:val="tx1"/>
        </w14:solidFill>
      </w14:textFill>
    </w:rPr>
  </w:style>
  <w:style w:type="character" w:styleId="50">
    <w:name w:val="annotation reference"/>
    <w:basedOn w:val="43"/>
    <w:unhideWhenUsed/>
    <w:qFormat/>
    <w:uiPriority w:val="0"/>
    <w:rPr>
      <w:sz w:val="21"/>
      <w:szCs w:val="21"/>
    </w:rPr>
  </w:style>
  <w:style w:type="character" w:customStyle="1" w:styleId="51">
    <w:name w:val="报告正文 Char Char"/>
    <w:link w:val="3"/>
    <w:qFormat/>
    <w:uiPriority w:val="0"/>
    <w:rPr>
      <w:rFonts w:ascii="Times New Roman" w:hAnsi="Times New Roman" w:eastAsia="宋体" w:cs="Times New Roman"/>
      <w:sz w:val="24"/>
    </w:rPr>
  </w:style>
  <w:style w:type="character" w:customStyle="1" w:styleId="52">
    <w:name w:val="标题 1 字符"/>
    <w:basedOn w:val="43"/>
    <w:link w:val="2"/>
    <w:qFormat/>
    <w:uiPriority w:val="9"/>
    <w:rPr>
      <w:rFonts w:ascii="Times New Roman" w:hAnsi="Times New Roman" w:eastAsia="宋体" w:cs="Times New Roman"/>
      <w:b/>
      <w:bCs/>
      <w:kern w:val="44"/>
      <w:sz w:val="44"/>
      <w:szCs w:val="44"/>
    </w:rPr>
  </w:style>
  <w:style w:type="character" w:customStyle="1" w:styleId="53">
    <w:name w:val="标题 2 字符"/>
    <w:basedOn w:val="43"/>
    <w:link w:val="4"/>
    <w:qFormat/>
    <w:uiPriority w:val="9"/>
    <w:rPr>
      <w:rFonts w:ascii="Times New Roman" w:hAnsi="Times New Roman" w:eastAsia="宋体" w:cs="Times New Roman"/>
      <w:b/>
      <w:bCs/>
      <w:sz w:val="32"/>
      <w:szCs w:val="32"/>
    </w:rPr>
  </w:style>
  <w:style w:type="character" w:customStyle="1" w:styleId="54">
    <w:name w:val="标题 3 字符"/>
    <w:basedOn w:val="43"/>
    <w:link w:val="5"/>
    <w:qFormat/>
    <w:uiPriority w:val="99"/>
    <w:rPr>
      <w:rFonts w:ascii="Times New Roman" w:hAnsi="Times New Roman" w:eastAsia="宋体" w:cs="Times New Roman"/>
      <w:b/>
      <w:bCs/>
      <w:color w:val="000000" w:themeColor="text1"/>
      <w:sz w:val="28"/>
      <w:szCs w:val="32"/>
      <w14:textFill>
        <w14:solidFill>
          <w14:schemeClr w14:val="tx1"/>
        </w14:solidFill>
      </w14:textFill>
    </w:rPr>
  </w:style>
  <w:style w:type="character" w:customStyle="1" w:styleId="55">
    <w:name w:val="标题 4 字符"/>
    <w:basedOn w:val="43"/>
    <w:link w:val="6"/>
    <w:qFormat/>
    <w:uiPriority w:val="99"/>
    <w:rPr>
      <w:rFonts w:ascii="Times New Roman" w:hAnsi="Times New Roman" w:eastAsia="宋体" w:cs="Times New Roman"/>
      <w:b/>
      <w:bCs/>
      <w:sz w:val="24"/>
      <w:szCs w:val="28"/>
    </w:rPr>
  </w:style>
  <w:style w:type="character" w:customStyle="1" w:styleId="56">
    <w:name w:val="标题 5 字符"/>
    <w:basedOn w:val="43"/>
    <w:link w:val="7"/>
    <w:qFormat/>
    <w:uiPriority w:val="0"/>
    <w:rPr>
      <w:rFonts w:ascii="Times New Roman" w:hAnsi="Times New Roman" w:eastAsia="宋体" w:cs="宋体"/>
      <w:b/>
      <w:color w:val="000000" w:themeColor="text1"/>
      <w:kern w:val="0"/>
      <w:sz w:val="24"/>
      <w:szCs w:val="24"/>
      <w14:textFill>
        <w14:solidFill>
          <w14:schemeClr w14:val="tx1"/>
        </w14:solidFill>
      </w14:textFill>
    </w:rPr>
  </w:style>
  <w:style w:type="character" w:customStyle="1" w:styleId="57">
    <w:name w:val="标题 6 字符"/>
    <w:basedOn w:val="43"/>
    <w:link w:val="8"/>
    <w:qFormat/>
    <w:uiPriority w:val="0"/>
    <w:rPr>
      <w:rFonts w:ascii="宋体" w:hAnsi="宋体" w:eastAsia="宋体" w:cs="宋体"/>
      <w:kern w:val="0"/>
      <w:sz w:val="24"/>
      <w:szCs w:val="24"/>
    </w:rPr>
  </w:style>
  <w:style w:type="character" w:customStyle="1" w:styleId="58">
    <w:name w:val="标题 7 字符"/>
    <w:basedOn w:val="43"/>
    <w:link w:val="9"/>
    <w:qFormat/>
    <w:uiPriority w:val="9"/>
    <w:rPr>
      <w:rFonts w:ascii="宋体" w:hAnsi="宋体" w:eastAsia="宋体" w:cs="宋体"/>
      <w:i/>
      <w:iCs/>
      <w:kern w:val="0"/>
      <w:sz w:val="24"/>
      <w:szCs w:val="24"/>
    </w:rPr>
  </w:style>
  <w:style w:type="character" w:customStyle="1" w:styleId="59">
    <w:name w:val="标题 8 字符"/>
    <w:basedOn w:val="43"/>
    <w:link w:val="10"/>
    <w:qFormat/>
    <w:uiPriority w:val="9"/>
    <w:rPr>
      <w:rFonts w:ascii="宋体" w:hAnsi="宋体" w:eastAsia="宋体" w:cs="宋体"/>
      <w:color w:val="262626"/>
      <w:kern w:val="0"/>
      <w:szCs w:val="21"/>
    </w:rPr>
  </w:style>
  <w:style w:type="character" w:customStyle="1" w:styleId="60">
    <w:name w:val="标题 9 字符"/>
    <w:basedOn w:val="43"/>
    <w:link w:val="11"/>
    <w:qFormat/>
    <w:uiPriority w:val="9"/>
    <w:rPr>
      <w:rFonts w:ascii="宋体" w:hAnsi="宋体" w:eastAsia="宋体" w:cs="宋体"/>
      <w:i/>
      <w:iCs/>
      <w:color w:val="262626"/>
      <w:kern w:val="0"/>
      <w:szCs w:val="21"/>
    </w:rPr>
  </w:style>
  <w:style w:type="paragraph" w:styleId="61">
    <w:name w:val="List Paragraph"/>
    <w:basedOn w:val="1"/>
    <w:link w:val="62"/>
    <w:qFormat/>
    <w:uiPriority w:val="1"/>
    <w:pPr>
      <w:numPr>
        <w:ilvl w:val="0"/>
        <w:numId w:val="4"/>
      </w:numPr>
      <w:ind w:left="0" w:firstLine="200"/>
    </w:pPr>
  </w:style>
  <w:style w:type="character" w:customStyle="1" w:styleId="62">
    <w:name w:val="列表段落 字符"/>
    <w:link w:val="61"/>
    <w:qFormat/>
    <w:uiPriority w:val="99"/>
    <w:rPr>
      <w:rFonts w:ascii="宋体" w:hAnsi="宋体" w:eastAsia="宋体" w:cs="宋体"/>
      <w:kern w:val="0"/>
      <w:sz w:val="24"/>
      <w:szCs w:val="24"/>
    </w:rPr>
  </w:style>
  <w:style w:type="character" w:customStyle="1" w:styleId="63">
    <w:name w:val="未处理的提及1"/>
    <w:basedOn w:val="43"/>
    <w:semiHidden/>
    <w:unhideWhenUsed/>
    <w:qFormat/>
    <w:uiPriority w:val="99"/>
    <w:rPr>
      <w:color w:val="605E5C"/>
      <w:shd w:val="clear" w:color="auto" w:fill="E1DFDD"/>
    </w:rPr>
  </w:style>
  <w:style w:type="character" w:customStyle="1" w:styleId="64">
    <w:name w:val="题注 字符"/>
    <w:link w:val="14"/>
    <w:qFormat/>
    <w:uiPriority w:val="99"/>
    <w:rPr>
      <w:rFonts w:ascii="Times New Roman" w:hAnsi="Times New Roman" w:eastAsia="宋体" w:cs="宋体"/>
      <w:b/>
      <w:iCs/>
      <w:color w:val="000000" w:themeColor="text1"/>
      <w:kern w:val="0"/>
      <w:szCs w:val="18"/>
      <w14:textFill>
        <w14:solidFill>
          <w14:schemeClr w14:val="tx1"/>
        </w14:solidFill>
      </w14:textFill>
    </w:rPr>
  </w:style>
  <w:style w:type="character" w:customStyle="1" w:styleId="65">
    <w:name w:val="纯文本 字符1"/>
    <w:link w:val="21"/>
    <w:qFormat/>
    <w:uiPriority w:val="0"/>
    <w:rPr>
      <w:rFonts w:ascii="Times New Roman" w:hAnsi="Times New Roman" w:eastAsia="宋体" w:cs="Times New Roman"/>
      <w:szCs w:val="21"/>
    </w:rPr>
  </w:style>
  <w:style w:type="character" w:customStyle="1" w:styleId="66">
    <w:name w:val="纯文本 字符"/>
    <w:basedOn w:val="43"/>
    <w:qFormat/>
    <w:uiPriority w:val="99"/>
    <w:rPr>
      <w:rFonts w:hAnsi="Courier New" w:cs="Courier New" w:asciiTheme="minorEastAsia"/>
      <w:kern w:val="0"/>
      <w:sz w:val="24"/>
      <w:szCs w:val="24"/>
    </w:rPr>
  </w:style>
  <w:style w:type="character" w:customStyle="1" w:styleId="67">
    <w:name w:val="页眉 字符"/>
    <w:basedOn w:val="43"/>
    <w:link w:val="27"/>
    <w:qFormat/>
    <w:uiPriority w:val="99"/>
    <w:rPr>
      <w:rFonts w:ascii="宋体" w:hAnsi="宋体" w:eastAsia="宋体" w:cs="宋体"/>
      <w:kern w:val="0"/>
      <w:sz w:val="18"/>
      <w:szCs w:val="18"/>
    </w:rPr>
  </w:style>
  <w:style w:type="paragraph" w:styleId="68">
    <w:name w:val="Quote"/>
    <w:basedOn w:val="1"/>
    <w:next w:val="1"/>
    <w:link w:val="69"/>
    <w:unhideWhenUsed/>
    <w:uiPriority w:val="29"/>
    <w:rPr>
      <w:i/>
      <w:iCs/>
      <w:color w:val="000000"/>
      <w:sz w:val="21"/>
    </w:rPr>
  </w:style>
  <w:style w:type="character" w:customStyle="1" w:styleId="69">
    <w:name w:val="引用 字符"/>
    <w:basedOn w:val="43"/>
    <w:link w:val="68"/>
    <w:qFormat/>
    <w:uiPriority w:val="29"/>
    <w:rPr>
      <w:rFonts w:ascii="宋体" w:hAnsi="宋体" w:eastAsia="宋体" w:cs="宋体"/>
      <w:i/>
      <w:iCs/>
      <w:color w:val="000000"/>
      <w:kern w:val="0"/>
      <w:szCs w:val="24"/>
    </w:rPr>
  </w:style>
  <w:style w:type="paragraph" w:customStyle="1" w:styleId="70">
    <w:name w:val="修订1"/>
    <w:hidden/>
    <w:qFormat/>
    <w:uiPriority w:val="0"/>
    <w:rPr>
      <w:rFonts w:ascii="Calibri" w:hAnsi="Calibri" w:eastAsia="宋体" w:cs="Times New Roman"/>
      <w:kern w:val="0"/>
      <w:sz w:val="22"/>
      <w:szCs w:val="22"/>
      <w:lang w:val="en-US" w:eastAsia="zh-CN" w:bidi="ar-SA"/>
    </w:rPr>
  </w:style>
  <w:style w:type="paragraph" w:customStyle="1" w:styleId="71">
    <w:name w:val="修订11"/>
    <w:hidden/>
    <w:qFormat/>
    <w:uiPriority w:val="99"/>
    <w:rPr>
      <w:rFonts w:ascii="Calibri" w:hAnsi="Calibri" w:eastAsia="宋体" w:cs="Times New Roman"/>
      <w:kern w:val="2"/>
      <w:sz w:val="24"/>
      <w:szCs w:val="24"/>
      <w:lang w:val="en-US" w:eastAsia="zh-CN" w:bidi="ar-SA"/>
    </w:rPr>
  </w:style>
  <w:style w:type="paragraph" w:customStyle="1" w:styleId="72">
    <w:name w:val="页面"/>
    <w:qFormat/>
    <w:uiPriority w:val="0"/>
    <w:pPr>
      <w:widowControl w:val="0"/>
      <w:adjustRightInd w:val="0"/>
      <w:jc w:val="center"/>
    </w:pPr>
    <w:rPr>
      <w:rFonts w:ascii="Calibri" w:hAnsi="Calibri" w:eastAsia="宋体" w:cs="Times New Roman"/>
      <w:kern w:val="2"/>
      <w:sz w:val="28"/>
      <w:szCs w:val="22"/>
      <w:lang w:val="en-US" w:eastAsia="zh-CN" w:bidi="ar-SA"/>
    </w:rPr>
  </w:style>
  <w:style w:type="paragraph" w:customStyle="1" w:styleId="73">
    <w:name w:val="偶数页脚注"/>
    <w:basedOn w:val="26"/>
    <w:semiHidden/>
    <w:qFormat/>
    <w:uiPriority w:val="0"/>
    <w:pPr>
      <w:keepLines/>
      <w:tabs>
        <w:tab w:val="right" w:pos="0"/>
        <w:tab w:val="center" w:pos="7200"/>
        <w:tab w:val="right" w:pos="14400"/>
        <w:tab w:val="clear" w:pos="4153"/>
        <w:tab w:val="clear" w:pos="8306"/>
      </w:tabs>
      <w:overflowPunct w:val="0"/>
      <w:autoSpaceDE w:val="0"/>
      <w:autoSpaceDN w:val="0"/>
      <w:snapToGrid/>
      <w:jc w:val="right"/>
    </w:pPr>
    <w:rPr>
      <w:spacing w:val="80"/>
      <w:sz w:val="20"/>
    </w:rPr>
  </w:style>
  <w:style w:type="paragraph" w:customStyle="1" w:styleId="74">
    <w:name w:val="偶数页篇眉"/>
    <w:basedOn w:val="27"/>
    <w:semiHidden/>
    <w:qFormat/>
    <w:uiPriority w:val="0"/>
    <w:pPr>
      <w:keepLines/>
      <w:pBdr>
        <w:bottom w:val="none" w:color="auto" w:sz="0" w:space="0"/>
      </w:pBdr>
      <w:tabs>
        <w:tab w:val="right" w:pos="0"/>
        <w:tab w:val="center" w:pos="7200"/>
        <w:tab w:val="right" w:pos="14400"/>
        <w:tab w:val="clear" w:pos="4153"/>
        <w:tab w:val="clear" w:pos="8306"/>
      </w:tabs>
      <w:overflowPunct w:val="0"/>
      <w:autoSpaceDE w:val="0"/>
      <w:autoSpaceDN w:val="0"/>
      <w:adjustRightInd w:val="0"/>
      <w:snapToGrid/>
      <w:jc w:val="right"/>
      <w:textAlignment w:val="baseline"/>
    </w:pPr>
    <w:rPr>
      <w:spacing w:val="80"/>
      <w:sz w:val="20"/>
      <w:szCs w:val="20"/>
    </w:rPr>
  </w:style>
  <w:style w:type="paragraph" w:customStyle="1" w:styleId="75">
    <w:name w:val="奇数页脚注"/>
    <w:basedOn w:val="26"/>
    <w:semiHidden/>
    <w:qFormat/>
    <w:uiPriority w:val="0"/>
    <w:pPr>
      <w:keepLines/>
      <w:tabs>
        <w:tab w:val="center" w:pos="7200"/>
        <w:tab w:val="right" w:pos="14400"/>
        <w:tab w:val="clear" w:pos="4153"/>
        <w:tab w:val="clear" w:pos="8306"/>
      </w:tabs>
      <w:overflowPunct w:val="0"/>
      <w:autoSpaceDE w:val="0"/>
      <w:autoSpaceDN w:val="0"/>
      <w:snapToGrid/>
    </w:pPr>
    <w:rPr>
      <w:spacing w:val="80"/>
      <w:sz w:val="20"/>
    </w:rPr>
  </w:style>
  <w:style w:type="paragraph" w:customStyle="1" w:styleId="76">
    <w:name w:val="奇数页篇眉"/>
    <w:basedOn w:val="27"/>
    <w:semiHidden/>
    <w:qFormat/>
    <w:uiPriority w:val="0"/>
    <w:pPr>
      <w:keepLines/>
      <w:pBdr>
        <w:bottom w:val="none" w:color="auto" w:sz="0" w:space="0"/>
      </w:pBdr>
      <w:tabs>
        <w:tab w:val="center" w:pos="7200"/>
        <w:tab w:val="right" w:pos="14400"/>
        <w:tab w:val="clear" w:pos="4153"/>
        <w:tab w:val="clear" w:pos="8306"/>
      </w:tabs>
      <w:overflowPunct w:val="0"/>
      <w:autoSpaceDE w:val="0"/>
      <w:autoSpaceDN w:val="0"/>
      <w:adjustRightInd w:val="0"/>
      <w:snapToGrid/>
      <w:textAlignment w:val="baseline"/>
    </w:pPr>
    <w:rPr>
      <w:spacing w:val="80"/>
      <w:sz w:val="20"/>
      <w:szCs w:val="20"/>
    </w:rPr>
  </w:style>
  <w:style w:type="character" w:customStyle="1" w:styleId="77">
    <w:name w:val="表格格式 字符"/>
    <w:link w:val="78"/>
    <w:qFormat/>
    <w:uiPriority w:val="0"/>
    <w:rPr>
      <w:rFonts w:ascii="Times New Roman" w:hAnsi="Times New Roman" w:eastAsia="宋体" w:cs="宋体"/>
      <w:szCs w:val="24"/>
    </w:rPr>
  </w:style>
  <w:style w:type="paragraph" w:customStyle="1" w:styleId="78">
    <w:name w:val="表格格式"/>
    <w:basedOn w:val="1"/>
    <w:link w:val="77"/>
    <w:qFormat/>
    <w:uiPriority w:val="0"/>
    <w:pPr>
      <w:jc w:val="center"/>
    </w:pPr>
    <w:rPr>
      <w:rFonts w:ascii="Times New Roman" w:hAnsi="Times New Roman"/>
      <w:kern w:val="2"/>
      <w:sz w:val="21"/>
    </w:rPr>
  </w:style>
  <w:style w:type="paragraph" w:customStyle="1" w:styleId="79">
    <w:name w:val="备注"/>
    <w:next w:val="1"/>
    <w:uiPriority w:val="0"/>
    <w:pPr>
      <w:ind w:firstLine="883" w:firstLineChars="200"/>
    </w:pPr>
    <w:rPr>
      <w:rFonts w:ascii="Times New Roman" w:hAnsi="Times New Roman" w:eastAsia="宋体" w:cs="Times New Roman"/>
      <w:b/>
      <w:bCs/>
      <w:kern w:val="2"/>
      <w:sz w:val="18"/>
      <w:szCs w:val="32"/>
      <w:lang w:val="en-US" w:eastAsia="zh-CN" w:bidi="ar-SA"/>
    </w:rPr>
  </w:style>
  <w:style w:type="paragraph" w:customStyle="1" w:styleId="80">
    <w:name w:val="修订2"/>
    <w:hidden/>
    <w:qFormat/>
    <w:uiPriority w:val="0"/>
    <w:rPr>
      <w:rFonts w:ascii="Calibri" w:hAnsi="Calibri" w:eastAsia="宋体" w:cs="Times New Roman"/>
      <w:kern w:val="0"/>
      <w:sz w:val="22"/>
      <w:szCs w:val="22"/>
      <w:lang w:val="en-US" w:eastAsia="zh-CN" w:bidi="ar-SA"/>
    </w:rPr>
  </w:style>
  <w:style w:type="paragraph" w:customStyle="1" w:styleId="81">
    <w:name w:val="封面3"/>
    <w:basedOn w:val="82"/>
    <w:uiPriority w:val="0"/>
    <w:rPr>
      <w:sz w:val="84"/>
      <w:szCs w:val="84"/>
    </w:rPr>
  </w:style>
  <w:style w:type="paragraph" w:customStyle="1" w:styleId="82">
    <w:name w:val="封面2"/>
    <w:basedOn w:val="1"/>
    <w:uiPriority w:val="0"/>
    <w:pPr>
      <w:jc w:val="center"/>
    </w:pPr>
    <w:rPr>
      <w:b/>
      <w:sz w:val="44"/>
    </w:rPr>
  </w:style>
  <w:style w:type="paragraph" w:customStyle="1" w:styleId="83">
    <w:name w:val="封面4"/>
    <w:basedOn w:val="84"/>
    <w:qFormat/>
    <w:uiPriority w:val="0"/>
    <w:pPr>
      <w:snapToGrid w:val="0"/>
      <w:spacing w:line="240" w:lineRule="auto"/>
      <w:jc w:val="center"/>
    </w:pPr>
    <w:rPr>
      <w:sz w:val="36"/>
    </w:rPr>
  </w:style>
  <w:style w:type="paragraph" w:customStyle="1" w:styleId="84">
    <w:name w:val="封面1"/>
    <w:basedOn w:val="1"/>
    <w:qFormat/>
    <w:uiPriority w:val="0"/>
    <w:pPr>
      <w:spacing w:line="300" w:lineRule="auto"/>
    </w:pPr>
    <w:rPr>
      <w:b/>
      <w:bCs/>
      <w:color w:val="000000"/>
      <w:sz w:val="32"/>
      <w:bdr w:val="single" w:color="auto" w:sz="4" w:space="0"/>
    </w:rPr>
  </w:style>
  <w:style w:type="paragraph" w:customStyle="1" w:styleId="85">
    <w:name w:val="封面5"/>
    <w:basedOn w:val="1"/>
    <w:qFormat/>
    <w:uiPriority w:val="0"/>
    <w:pPr>
      <w:snapToGrid w:val="0"/>
    </w:pPr>
    <w:rPr>
      <w:sz w:val="21"/>
    </w:rPr>
  </w:style>
  <w:style w:type="paragraph" w:customStyle="1" w:styleId="86">
    <w:name w:val="法规列表"/>
    <w:qFormat/>
    <w:uiPriority w:val="0"/>
    <w:pPr>
      <w:tabs>
        <w:tab w:val="left" w:pos="1320"/>
      </w:tabs>
      <w:spacing w:beforeLines="50" w:afterLines="50"/>
      <w:ind w:left="1320" w:hanging="420"/>
    </w:pPr>
    <w:rPr>
      <w:rFonts w:ascii="Times New Roman" w:hAnsi="Times New Roman" w:eastAsia="宋体" w:cs="Times New Roman"/>
      <w:kern w:val="2"/>
      <w:sz w:val="24"/>
      <w:szCs w:val="22"/>
      <w:lang w:val="en-US" w:eastAsia="zh-CN" w:bidi="ar-SA"/>
    </w:rPr>
  </w:style>
  <w:style w:type="paragraph" w:customStyle="1" w:styleId="87">
    <w:name w:val="表格注释"/>
    <w:basedOn w:val="1"/>
    <w:qFormat/>
    <w:uiPriority w:val="0"/>
    <w:pPr>
      <w:ind w:firstLine="105"/>
    </w:pPr>
    <w:rPr>
      <w:sz w:val="21"/>
    </w:rPr>
  </w:style>
  <w:style w:type="paragraph" w:customStyle="1" w:styleId="88">
    <w:name w:val="目录1"/>
    <w:basedOn w:val="21"/>
    <w:qFormat/>
    <w:uiPriority w:val="0"/>
    <w:pPr>
      <w:widowControl w:val="0"/>
      <w:tabs>
        <w:tab w:val="right" w:leader="dot" w:pos="8715"/>
      </w:tabs>
      <w:adjustRightInd w:val="0"/>
      <w:snapToGrid w:val="0"/>
      <w:spacing w:beforeLines="50" w:line="360" w:lineRule="auto"/>
      <w:ind w:firstLine="200" w:firstLineChars="200"/>
      <w:jc w:val="both"/>
    </w:pPr>
    <w:rPr>
      <w:bCs/>
      <w:sz w:val="24"/>
      <w:szCs w:val="20"/>
    </w:rPr>
  </w:style>
  <w:style w:type="paragraph" w:customStyle="1" w:styleId="89">
    <w:name w:val="目录2"/>
    <w:basedOn w:val="21"/>
    <w:qFormat/>
    <w:uiPriority w:val="0"/>
    <w:pPr>
      <w:widowControl w:val="0"/>
      <w:tabs>
        <w:tab w:val="right" w:leader="dot" w:pos="8715"/>
      </w:tabs>
      <w:adjustRightInd w:val="0"/>
      <w:snapToGrid w:val="0"/>
      <w:spacing w:line="360" w:lineRule="auto"/>
      <w:ind w:left="420" w:leftChars="200" w:firstLine="200" w:firstLineChars="200"/>
      <w:jc w:val="both"/>
    </w:pPr>
    <w:rPr>
      <w:bCs/>
      <w:szCs w:val="20"/>
    </w:rPr>
  </w:style>
  <w:style w:type="paragraph" w:customStyle="1" w:styleId="90">
    <w:name w:val="目录4"/>
    <w:basedOn w:val="20"/>
    <w:next w:val="1"/>
    <w:qFormat/>
    <w:uiPriority w:val="0"/>
    <w:pPr>
      <w:widowControl w:val="0"/>
      <w:tabs>
        <w:tab w:val="right" w:leader="dot" w:pos="8313"/>
      </w:tabs>
      <w:autoSpaceDE w:val="0"/>
      <w:autoSpaceDN w:val="0"/>
      <w:adjustRightInd w:val="0"/>
      <w:ind w:firstLine="1531"/>
      <w:textAlignment w:val="baseline"/>
    </w:pPr>
    <w:rPr>
      <w:rFonts w:ascii="Times New Roman" w:hAnsi="Times New Roman" w:eastAsia="仿宋体" w:cs="Times New Roman"/>
      <w:sz w:val="28"/>
    </w:rPr>
  </w:style>
  <w:style w:type="character" w:customStyle="1" w:styleId="91">
    <w:name w:val="普通(网站) 字符"/>
    <w:link w:val="36"/>
    <w:qFormat/>
    <w:uiPriority w:val="99"/>
    <w:rPr>
      <w:rFonts w:ascii="宋体" w:hAnsi="宋体" w:eastAsia="宋体" w:cs="宋体"/>
      <w:kern w:val="0"/>
      <w:sz w:val="24"/>
      <w:szCs w:val="24"/>
    </w:rPr>
  </w:style>
  <w:style w:type="character" w:customStyle="1" w:styleId="92">
    <w:name w:val="批注文字 字符"/>
    <w:basedOn w:val="43"/>
    <w:link w:val="15"/>
    <w:qFormat/>
    <w:uiPriority w:val="0"/>
    <w:rPr>
      <w:rFonts w:ascii="宋体" w:hAnsi="宋体" w:eastAsia="宋体" w:cs="宋体"/>
      <w:kern w:val="0"/>
      <w:sz w:val="24"/>
      <w:szCs w:val="24"/>
    </w:rPr>
  </w:style>
  <w:style w:type="character" w:customStyle="1" w:styleId="93">
    <w:name w:val="批注主题 字符"/>
    <w:basedOn w:val="92"/>
    <w:link w:val="38"/>
    <w:qFormat/>
    <w:uiPriority w:val="0"/>
    <w:rPr>
      <w:rFonts w:ascii="宋体" w:hAnsi="宋体" w:eastAsia="宋体" w:cs="宋体"/>
      <w:b/>
      <w:bCs/>
      <w:kern w:val="0"/>
      <w:sz w:val="24"/>
      <w:szCs w:val="24"/>
    </w:rPr>
  </w:style>
  <w:style w:type="paragraph" w:customStyle="1" w:styleId="94">
    <w:name w:val="表名"/>
    <w:basedOn w:val="1"/>
    <w:qFormat/>
    <w:uiPriority w:val="0"/>
    <w:pPr>
      <w:adjustRightInd w:val="0"/>
      <w:jc w:val="center"/>
      <w:textAlignment w:val="baseline"/>
    </w:pPr>
  </w:style>
  <w:style w:type="paragraph" w:customStyle="1" w:styleId="95">
    <w:name w:val="表格内"/>
    <w:basedOn w:val="1"/>
    <w:qFormat/>
    <w:uiPriority w:val="0"/>
    <w:pPr>
      <w:jc w:val="center"/>
    </w:pPr>
  </w:style>
  <w:style w:type="paragraph" w:customStyle="1" w:styleId="96">
    <w:name w:val="正文1"/>
    <w:qFormat/>
    <w:uiPriority w:val="0"/>
    <w:pPr>
      <w:jc w:val="both"/>
    </w:pPr>
    <w:rPr>
      <w:rFonts w:ascii="Calibri" w:hAnsi="Calibri" w:eastAsia="宋体" w:cs="Calibri"/>
      <w:kern w:val="2"/>
      <w:sz w:val="21"/>
      <w:szCs w:val="21"/>
      <w:lang w:val="en-US" w:eastAsia="zh-CN" w:bidi="ar-SA"/>
    </w:rPr>
  </w:style>
  <w:style w:type="paragraph" w:customStyle="1" w:styleId="97">
    <w:name w:val="正文2"/>
    <w:uiPriority w:val="0"/>
    <w:pPr>
      <w:jc w:val="both"/>
    </w:pPr>
    <w:rPr>
      <w:rFonts w:ascii="Calibri" w:hAnsi="Calibri" w:eastAsia="宋体" w:cs="Calibri"/>
      <w:kern w:val="2"/>
      <w:sz w:val="21"/>
      <w:szCs w:val="21"/>
      <w:lang w:val="en-US" w:eastAsia="zh-CN" w:bidi="ar-SA"/>
    </w:rPr>
  </w:style>
  <w:style w:type="paragraph" w:customStyle="1" w:styleId="98">
    <w:name w:val="msonormal"/>
    <w:basedOn w:val="1"/>
    <w:qFormat/>
    <w:uiPriority w:val="0"/>
    <w:pPr>
      <w:spacing w:before="100" w:beforeAutospacing="1" w:after="100" w:afterAutospacing="1"/>
    </w:pPr>
  </w:style>
  <w:style w:type="paragraph" w:customStyle="1" w:styleId="99">
    <w:name w:val="正文3"/>
    <w:qFormat/>
    <w:uiPriority w:val="0"/>
    <w:pPr>
      <w:jc w:val="both"/>
    </w:pPr>
    <w:rPr>
      <w:rFonts w:ascii="Calibri" w:hAnsi="Calibri" w:eastAsia="宋体" w:cs="Calibri"/>
      <w:kern w:val="2"/>
      <w:sz w:val="21"/>
      <w:szCs w:val="21"/>
      <w:lang w:val="en-US" w:eastAsia="zh-CN" w:bidi="ar-SA"/>
    </w:rPr>
  </w:style>
  <w:style w:type="paragraph" w:customStyle="1" w:styleId="100">
    <w:name w:val="font5"/>
    <w:basedOn w:val="1"/>
    <w:qFormat/>
    <w:uiPriority w:val="0"/>
    <w:pPr>
      <w:spacing w:before="100" w:beforeAutospacing="1" w:after="100" w:afterAutospacing="1"/>
    </w:pPr>
    <w:rPr>
      <w:sz w:val="18"/>
      <w:szCs w:val="18"/>
    </w:rPr>
  </w:style>
  <w:style w:type="paragraph" w:customStyle="1" w:styleId="101">
    <w:name w:val="xl65"/>
    <w:basedOn w:val="1"/>
    <w:qFormat/>
    <w:uiPriority w:val="0"/>
    <w:pPr>
      <w:shd w:val="clear" w:color="000000" w:fill="92D050"/>
      <w:spacing w:before="100" w:beforeAutospacing="1" w:after="100" w:afterAutospacing="1"/>
    </w:pPr>
  </w:style>
  <w:style w:type="paragraph" w:customStyle="1" w:styleId="102">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3">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4">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5">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6">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7">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9">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10">
    <w:name w:val="xl74"/>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0"/>
      <w:szCs w:val="20"/>
    </w:rPr>
  </w:style>
  <w:style w:type="paragraph" w:customStyle="1" w:styleId="111">
    <w:name w:val="xl7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1"/>
      <w:szCs w:val="21"/>
    </w:rPr>
  </w:style>
  <w:style w:type="paragraph" w:customStyle="1" w:styleId="112">
    <w:name w:val="正文4"/>
    <w:qFormat/>
    <w:uiPriority w:val="0"/>
    <w:pPr>
      <w:jc w:val="both"/>
    </w:pPr>
    <w:rPr>
      <w:rFonts w:ascii="Calibri" w:hAnsi="Calibri" w:eastAsia="宋体" w:cs="Calibri"/>
      <w:kern w:val="2"/>
      <w:sz w:val="21"/>
      <w:szCs w:val="21"/>
      <w:lang w:val="en-US" w:eastAsia="zh-CN" w:bidi="ar-SA"/>
    </w:rPr>
  </w:style>
  <w:style w:type="paragraph" w:customStyle="1" w:styleId="113">
    <w:name w:val="Char"/>
    <w:basedOn w:val="1"/>
    <w:qFormat/>
    <w:uiPriority w:val="0"/>
    <w:pPr>
      <w:adjustRightInd w:val="0"/>
      <w:snapToGrid w:val="0"/>
      <w:spacing w:after="160" w:line="240" w:lineRule="exact"/>
      <w:ind w:firstLine="200" w:firstLineChars="200"/>
    </w:pPr>
    <w:rPr>
      <w:rFonts w:ascii="Verdana" w:hAnsi="Verdana"/>
      <w:sz w:val="20"/>
      <w:szCs w:val="20"/>
      <w:lang w:eastAsia="en-US"/>
    </w:rPr>
  </w:style>
  <w:style w:type="paragraph" w:customStyle="1" w:styleId="114">
    <w:name w:val="正文首行缩进 21"/>
    <w:basedOn w:val="18"/>
    <w:next w:val="1"/>
    <w:semiHidden/>
    <w:qFormat/>
    <w:uiPriority w:val="0"/>
    <w:pPr>
      <w:spacing w:before="100" w:beforeAutospacing="1" w:after="0" w:line="360" w:lineRule="auto"/>
      <w:ind w:left="200" w:firstLine="200"/>
    </w:pPr>
  </w:style>
  <w:style w:type="character" w:customStyle="1" w:styleId="115">
    <w:name w:val="正文文本缩进 字符"/>
    <w:basedOn w:val="43"/>
    <w:link w:val="18"/>
    <w:qFormat/>
    <w:uiPriority w:val="0"/>
    <w:rPr>
      <w:rFonts w:ascii="宋体" w:hAnsi="宋体" w:eastAsia="宋体" w:cs="宋体"/>
      <w:kern w:val="0"/>
      <w:sz w:val="24"/>
      <w:szCs w:val="24"/>
    </w:rPr>
  </w:style>
  <w:style w:type="paragraph" w:customStyle="1" w:styleId="116">
    <w:name w:val="正文5"/>
    <w:qFormat/>
    <w:uiPriority w:val="0"/>
    <w:pPr>
      <w:jc w:val="both"/>
    </w:pPr>
    <w:rPr>
      <w:rFonts w:ascii="Calibri" w:hAnsi="Calibri" w:eastAsia="宋体" w:cs="Calibri"/>
      <w:kern w:val="2"/>
      <w:sz w:val="21"/>
      <w:szCs w:val="21"/>
      <w:lang w:val="en-US" w:eastAsia="zh-CN" w:bidi="ar-SA"/>
    </w:rPr>
  </w:style>
  <w:style w:type="character" w:customStyle="1" w:styleId="117">
    <w:name w:val="15"/>
    <w:basedOn w:val="43"/>
    <w:qFormat/>
    <w:uiPriority w:val="0"/>
    <w:rPr>
      <w:rFonts w:hint="default" w:ascii="Times New Roman" w:hAnsi="Times New Roman" w:cs="Times New Roman"/>
      <w:kern w:val="2"/>
      <w:sz w:val="24"/>
      <w:szCs w:val="24"/>
    </w:rPr>
  </w:style>
  <w:style w:type="character" w:customStyle="1" w:styleId="118">
    <w:name w:val="font21"/>
    <w:basedOn w:val="43"/>
    <w:qFormat/>
    <w:uiPriority w:val="0"/>
    <w:rPr>
      <w:rFonts w:hint="default" w:ascii="Times New Roman" w:hAnsi="Times New Roman" w:cs="Times New Roman"/>
      <w:color w:val="000000"/>
      <w:sz w:val="22"/>
      <w:szCs w:val="22"/>
      <w:u w:val="none"/>
    </w:rPr>
  </w:style>
  <w:style w:type="character" w:customStyle="1" w:styleId="119">
    <w:name w:val="font11"/>
    <w:basedOn w:val="43"/>
    <w:uiPriority w:val="0"/>
    <w:rPr>
      <w:rFonts w:hint="eastAsia" w:ascii="宋体" w:hAnsi="宋体" w:eastAsia="宋体" w:cs="宋体"/>
      <w:color w:val="000000"/>
      <w:sz w:val="22"/>
      <w:szCs w:val="22"/>
      <w:u w:val="none"/>
    </w:rPr>
  </w:style>
  <w:style w:type="character" w:customStyle="1" w:styleId="120">
    <w:name w:val="font31"/>
    <w:basedOn w:val="43"/>
    <w:qFormat/>
    <w:uiPriority w:val="0"/>
    <w:rPr>
      <w:rFonts w:hint="eastAsia" w:ascii="宋体" w:hAnsi="宋体" w:eastAsia="宋体" w:cs="宋体"/>
      <w:color w:val="000000"/>
      <w:sz w:val="22"/>
      <w:szCs w:val="22"/>
      <w:u w:val="none"/>
    </w:rPr>
  </w:style>
  <w:style w:type="character" w:customStyle="1" w:styleId="121">
    <w:name w:val="font61"/>
    <w:basedOn w:val="43"/>
    <w:qFormat/>
    <w:uiPriority w:val="0"/>
    <w:rPr>
      <w:rFonts w:hint="default" w:ascii="Times New Roman" w:hAnsi="Times New Roman" w:cs="Times New Roman"/>
      <w:color w:val="000000"/>
      <w:sz w:val="22"/>
      <w:szCs w:val="22"/>
      <w:u w:val="none"/>
    </w:rPr>
  </w:style>
  <w:style w:type="character" w:customStyle="1" w:styleId="122">
    <w:name w:val="font91"/>
    <w:basedOn w:val="43"/>
    <w:qFormat/>
    <w:uiPriority w:val="0"/>
    <w:rPr>
      <w:rFonts w:hint="default" w:ascii="Times New Roman" w:hAnsi="Times New Roman" w:cs="Times New Roman"/>
      <w:color w:val="000000"/>
      <w:sz w:val="22"/>
      <w:szCs w:val="22"/>
      <w:u w:val="none"/>
      <w:vertAlign w:val="superscript"/>
    </w:rPr>
  </w:style>
  <w:style w:type="character" w:customStyle="1" w:styleId="123">
    <w:name w:val="font01"/>
    <w:basedOn w:val="43"/>
    <w:uiPriority w:val="0"/>
    <w:rPr>
      <w:rFonts w:hint="eastAsia" w:ascii="宋体" w:hAnsi="宋体" w:eastAsia="宋体" w:cs="宋体"/>
      <w:color w:val="000000"/>
      <w:sz w:val="22"/>
      <w:szCs w:val="22"/>
      <w:u w:val="none"/>
    </w:rPr>
  </w:style>
  <w:style w:type="paragraph" w:customStyle="1" w:styleId="124">
    <w:name w:val="正文6"/>
    <w:qFormat/>
    <w:uiPriority w:val="0"/>
    <w:pPr>
      <w:jc w:val="both"/>
    </w:pPr>
    <w:rPr>
      <w:rFonts w:ascii="Calibri" w:hAnsi="Calibri" w:eastAsia="宋体" w:cs="Calibri"/>
      <w:kern w:val="2"/>
      <w:sz w:val="21"/>
      <w:szCs w:val="21"/>
      <w:lang w:val="en-US" w:eastAsia="zh-CN" w:bidi="ar-SA"/>
    </w:rPr>
  </w:style>
  <w:style w:type="paragraph" w:customStyle="1" w:styleId="125">
    <w:name w:val="Default"/>
    <w:basedOn w:val="1"/>
    <w:next w:val="31"/>
    <w:qFormat/>
    <w:uiPriority w:val="0"/>
    <w:pPr>
      <w:autoSpaceDE w:val="0"/>
      <w:autoSpaceDN w:val="0"/>
      <w:adjustRightInd w:val="0"/>
    </w:pPr>
    <w:rPr>
      <w:color w:val="000000"/>
    </w:rPr>
  </w:style>
  <w:style w:type="character" w:customStyle="1" w:styleId="126">
    <w:name w:val="16"/>
    <w:basedOn w:val="43"/>
    <w:qFormat/>
    <w:uiPriority w:val="0"/>
    <w:rPr>
      <w:rFonts w:hint="default" w:ascii="Times New Roman" w:hAnsi="Times New Roman" w:cs="Times New Roman"/>
      <w:color w:val="000000"/>
      <w:sz w:val="20"/>
      <w:szCs w:val="20"/>
    </w:rPr>
  </w:style>
  <w:style w:type="paragraph" w:customStyle="1" w:styleId="127">
    <w:name w:val="正文7"/>
    <w:uiPriority w:val="0"/>
    <w:pPr>
      <w:jc w:val="both"/>
    </w:pPr>
    <w:rPr>
      <w:rFonts w:ascii="Calibri" w:hAnsi="Calibri" w:eastAsia="宋体" w:cs="Calibri"/>
      <w:kern w:val="2"/>
      <w:sz w:val="21"/>
      <w:szCs w:val="21"/>
      <w:lang w:val="en-US" w:eastAsia="zh-CN" w:bidi="ar-SA"/>
    </w:rPr>
  </w:style>
  <w:style w:type="paragraph" w:customStyle="1" w:styleId="128">
    <w:name w:val="Char1"/>
    <w:basedOn w:val="1"/>
    <w:qFormat/>
    <w:uiPriority w:val="0"/>
    <w:pPr>
      <w:adjustRightInd w:val="0"/>
      <w:snapToGrid w:val="0"/>
      <w:spacing w:after="160" w:line="240" w:lineRule="exact"/>
      <w:ind w:firstLine="200" w:firstLineChars="200"/>
    </w:pPr>
    <w:rPr>
      <w:rFonts w:ascii="Verdana" w:hAnsi="Verdana"/>
      <w:sz w:val="20"/>
      <w:szCs w:val="20"/>
      <w:lang w:eastAsia="en-US"/>
    </w:rPr>
  </w:style>
  <w:style w:type="paragraph" w:customStyle="1" w:styleId="129">
    <w:name w:val="正文8"/>
    <w:qFormat/>
    <w:uiPriority w:val="0"/>
    <w:pPr>
      <w:jc w:val="both"/>
    </w:pPr>
    <w:rPr>
      <w:rFonts w:ascii="Calibri" w:hAnsi="Calibri" w:eastAsia="宋体" w:cs="Calibri"/>
      <w:kern w:val="2"/>
      <w:sz w:val="21"/>
      <w:szCs w:val="21"/>
      <w:lang w:val="en-US" w:eastAsia="zh-CN" w:bidi="ar-SA"/>
    </w:rPr>
  </w:style>
  <w:style w:type="paragraph" w:customStyle="1" w:styleId="130">
    <w:name w:val="！正文"/>
    <w:basedOn w:val="1"/>
    <w:qFormat/>
    <w:uiPriority w:val="0"/>
    <w:pPr>
      <w:spacing w:line="360" w:lineRule="auto"/>
      <w:ind w:firstLine="200" w:firstLineChars="200"/>
    </w:pPr>
  </w:style>
  <w:style w:type="paragraph" w:customStyle="1" w:styleId="131">
    <w:name w:val="列表段落1"/>
    <w:basedOn w:val="1"/>
    <w:uiPriority w:val="0"/>
    <w:pPr>
      <w:spacing w:line="360" w:lineRule="auto"/>
      <w:ind w:firstLine="420"/>
    </w:pPr>
  </w:style>
  <w:style w:type="paragraph" w:customStyle="1" w:styleId="132">
    <w:name w:val="正文-小四"/>
    <w:basedOn w:val="1"/>
    <w:link w:val="133"/>
    <w:qFormat/>
    <w:uiPriority w:val="0"/>
    <w:pPr>
      <w:spacing w:line="360" w:lineRule="auto"/>
      <w:ind w:firstLine="200" w:firstLineChars="200"/>
    </w:pPr>
  </w:style>
  <w:style w:type="character" w:customStyle="1" w:styleId="133">
    <w:name w:val="正文-小四 Char"/>
    <w:link w:val="132"/>
    <w:qFormat/>
    <w:uiPriority w:val="0"/>
    <w:rPr>
      <w:rFonts w:ascii="宋体" w:hAnsi="宋体" w:eastAsia="宋体" w:cs="宋体"/>
      <w:kern w:val="0"/>
      <w:sz w:val="24"/>
      <w:szCs w:val="24"/>
    </w:rPr>
  </w:style>
  <w:style w:type="paragraph" w:customStyle="1" w:styleId="134">
    <w:name w:val="正文9"/>
    <w:qFormat/>
    <w:uiPriority w:val="0"/>
    <w:pPr>
      <w:jc w:val="both"/>
    </w:pPr>
    <w:rPr>
      <w:rFonts w:ascii="Calibri" w:hAnsi="Calibri" w:eastAsia="宋体" w:cs="Calibri"/>
      <w:kern w:val="2"/>
      <w:sz w:val="21"/>
      <w:szCs w:val="21"/>
      <w:lang w:val="en-US" w:eastAsia="zh-CN" w:bidi="ar-SA"/>
    </w:rPr>
  </w:style>
  <w:style w:type="paragraph" w:customStyle="1" w:styleId="135">
    <w:name w:val="font6"/>
    <w:basedOn w:val="1"/>
    <w:uiPriority w:val="0"/>
    <w:pPr>
      <w:spacing w:before="100" w:beforeAutospacing="1" w:after="100" w:afterAutospacing="1"/>
    </w:pPr>
    <w:rPr>
      <w:color w:val="000000"/>
      <w:sz w:val="22"/>
      <w:szCs w:val="22"/>
    </w:rPr>
  </w:style>
  <w:style w:type="paragraph" w:customStyle="1" w:styleId="136">
    <w:name w:val="font7"/>
    <w:basedOn w:val="1"/>
    <w:uiPriority w:val="0"/>
    <w:pPr>
      <w:spacing w:before="100" w:beforeAutospacing="1" w:after="100" w:afterAutospacing="1"/>
    </w:pPr>
    <w:rPr>
      <w:b/>
      <w:bCs/>
      <w:color w:val="000000"/>
      <w:sz w:val="21"/>
      <w:szCs w:val="21"/>
    </w:rPr>
  </w:style>
  <w:style w:type="paragraph" w:customStyle="1" w:styleId="137">
    <w:name w:val="font8"/>
    <w:basedOn w:val="1"/>
    <w:uiPriority w:val="0"/>
    <w:pPr>
      <w:spacing w:before="100" w:beforeAutospacing="1" w:after="100" w:afterAutospacing="1"/>
    </w:pPr>
    <w:rPr>
      <w:b/>
      <w:bCs/>
      <w:color w:val="000000"/>
      <w:sz w:val="21"/>
      <w:szCs w:val="21"/>
    </w:rPr>
  </w:style>
  <w:style w:type="paragraph" w:customStyle="1" w:styleId="138">
    <w:name w:val="font9"/>
    <w:basedOn w:val="1"/>
    <w:qFormat/>
    <w:uiPriority w:val="0"/>
    <w:pPr>
      <w:spacing w:before="100" w:beforeAutospacing="1" w:after="100" w:afterAutospacing="1"/>
    </w:pPr>
    <w:rPr>
      <w:color w:val="000000"/>
      <w:sz w:val="21"/>
      <w:szCs w:val="21"/>
    </w:rPr>
  </w:style>
  <w:style w:type="paragraph" w:customStyle="1" w:styleId="139">
    <w:name w:val="font10"/>
    <w:basedOn w:val="1"/>
    <w:uiPriority w:val="0"/>
    <w:pPr>
      <w:spacing w:before="100" w:beforeAutospacing="1" w:after="100" w:afterAutospacing="1"/>
    </w:pPr>
    <w:rPr>
      <w:color w:val="000000"/>
      <w:sz w:val="21"/>
      <w:szCs w:val="21"/>
    </w:rPr>
  </w:style>
  <w:style w:type="paragraph" w:customStyle="1" w:styleId="140">
    <w:name w:val="font12"/>
    <w:basedOn w:val="1"/>
    <w:uiPriority w:val="0"/>
    <w:pPr>
      <w:spacing w:before="100" w:beforeAutospacing="1" w:after="100" w:afterAutospacing="1"/>
    </w:pPr>
    <w:rPr>
      <w:sz w:val="18"/>
      <w:szCs w:val="18"/>
    </w:rPr>
  </w:style>
  <w:style w:type="paragraph" w:customStyle="1" w:styleId="141">
    <w:name w:val="xl76"/>
    <w:basedOn w:val="1"/>
    <w:uiPriority w:val="0"/>
    <w:pPr>
      <w:pBdr>
        <w:bottom w:val="single" w:color="000000" w:sz="8" w:space="0"/>
        <w:right w:val="single" w:color="000000" w:sz="8" w:space="0"/>
      </w:pBdr>
      <w:spacing w:before="100" w:beforeAutospacing="1" w:after="100" w:afterAutospacing="1"/>
      <w:jc w:val="center"/>
    </w:pPr>
    <w:rPr>
      <w:b/>
      <w:bCs/>
      <w:color w:val="000000"/>
      <w:sz w:val="21"/>
      <w:szCs w:val="21"/>
    </w:rPr>
  </w:style>
  <w:style w:type="paragraph" w:customStyle="1" w:styleId="142">
    <w:name w:val="xl77"/>
    <w:basedOn w:val="1"/>
    <w:qFormat/>
    <w:uiPriority w:val="0"/>
    <w:pPr>
      <w:pBdr>
        <w:bottom w:val="single" w:color="000000" w:sz="8" w:space="0"/>
        <w:right w:val="single" w:color="000000" w:sz="8" w:space="0"/>
      </w:pBdr>
      <w:spacing w:before="100" w:beforeAutospacing="1" w:after="100" w:afterAutospacing="1"/>
      <w:jc w:val="center"/>
    </w:pPr>
    <w:rPr>
      <w:b/>
      <w:bCs/>
      <w:color w:val="000000"/>
      <w:sz w:val="21"/>
      <w:szCs w:val="21"/>
    </w:rPr>
  </w:style>
  <w:style w:type="paragraph" w:customStyle="1" w:styleId="143">
    <w:name w:val="xl78"/>
    <w:basedOn w:val="1"/>
    <w:qFormat/>
    <w:uiPriority w:val="0"/>
    <w:pPr>
      <w:pBdr>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4">
    <w:name w:val="xl79"/>
    <w:basedOn w:val="1"/>
    <w:qFormat/>
    <w:uiPriority w:val="0"/>
    <w:pPr>
      <w:pBdr>
        <w:left w:val="single" w:color="000000" w:sz="8" w:space="0"/>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5">
    <w:name w:val="xl80"/>
    <w:basedOn w:val="1"/>
    <w:uiPriority w:val="0"/>
    <w:pPr>
      <w:pBdr>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6">
    <w:name w:val="xl81"/>
    <w:basedOn w:val="1"/>
    <w:qFormat/>
    <w:uiPriority w:val="0"/>
    <w:pPr>
      <w:pBdr>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7">
    <w:name w:val="xl82"/>
    <w:basedOn w:val="1"/>
    <w:qFormat/>
    <w:uiPriority w:val="0"/>
    <w:pPr>
      <w:pBdr>
        <w:left w:val="single" w:color="000000" w:sz="8" w:space="0"/>
        <w:bottom w:val="single" w:color="000000" w:sz="8" w:space="0"/>
      </w:pBdr>
      <w:spacing w:before="100" w:beforeAutospacing="1" w:after="100" w:afterAutospacing="1"/>
      <w:jc w:val="center"/>
    </w:pPr>
    <w:rPr>
      <w:color w:val="000000"/>
      <w:sz w:val="21"/>
      <w:szCs w:val="21"/>
    </w:rPr>
  </w:style>
  <w:style w:type="paragraph" w:customStyle="1" w:styleId="148">
    <w:name w:val="xl83"/>
    <w:basedOn w:val="1"/>
    <w:uiPriority w:val="0"/>
    <w:pPr>
      <w:pBdr>
        <w:right w:val="single" w:color="000000" w:sz="8" w:space="0"/>
      </w:pBdr>
      <w:spacing w:before="100" w:beforeAutospacing="1" w:after="100" w:afterAutospacing="1"/>
      <w:jc w:val="center"/>
    </w:pPr>
    <w:rPr>
      <w:color w:val="000000"/>
      <w:sz w:val="21"/>
      <w:szCs w:val="21"/>
    </w:rPr>
  </w:style>
  <w:style w:type="paragraph" w:customStyle="1" w:styleId="149">
    <w:name w:val="xl84"/>
    <w:basedOn w:val="1"/>
    <w:uiPriority w:val="0"/>
    <w:pPr>
      <w:pBdr>
        <w:right w:val="single" w:color="000000" w:sz="8" w:space="0"/>
      </w:pBdr>
      <w:spacing w:before="100" w:beforeAutospacing="1" w:after="100" w:afterAutospacing="1"/>
      <w:jc w:val="center"/>
    </w:pPr>
    <w:rPr>
      <w:color w:val="000000"/>
      <w:sz w:val="21"/>
      <w:szCs w:val="21"/>
    </w:rPr>
  </w:style>
  <w:style w:type="paragraph" w:customStyle="1" w:styleId="150">
    <w:name w:val="xl85"/>
    <w:basedOn w:val="1"/>
    <w:uiPriority w:val="0"/>
    <w:pPr>
      <w:pBdr>
        <w:bottom w:val="single" w:color="000000" w:sz="8" w:space="0"/>
        <w:right w:val="single" w:color="000000" w:sz="8" w:space="0"/>
      </w:pBdr>
      <w:shd w:val="clear" w:color="000000" w:fill="FFFF00"/>
      <w:spacing w:before="100" w:beforeAutospacing="1" w:after="100" w:afterAutospacing="1"/>
      <w:jc w:val="center"/>
    </w:pPr>
    <w:rPr>
      <w:color w:val="000000"/>
      <w:sz w:val="21"/>
      <w:szCs w:val="21"/>
    </w:rPr>
  </w:style>
  <w:style w:type="paragraph" w:customStyle="1" w:styleId="151">
    <w:name w:val="xl86"/>
    <w:basedOn w:val="1"/>
    <w:uiPriority w:val="0"/>
    <w:pPr>
      <w:pBdr>
        <w:top w:val="single" w:color="000000" w:sz="8" w:space="0"/>
        <w:bottom w:val="single" w:color="000000" w:sz="8" w:space="0"/>
      </w:pBdr>
      <w:spacing w:before="100" w:beforeAutospacing="1" w:after="100" w:afterAutospacing="1"/>
      <w:jc w:val="center"/>
    </w:pPr>
    <w:rPr>
      <w:b/>
      <w:bCs/>
      <w:color w:val="000000"/>
      <w:sz w:val="21"/>
      <w:szCs w:val="21"/>
    </w:rPr>
  </w:style>
  <w:style w:type="paragraph" w:customStyle="1" w:styleId="152">
    <w:name w:val="xl87"/>
    <w:basedOn w:val="1"/>
    <w:uiPriority w:val="0"/>
    <w:pPr>
      <w:pBdr>
        <w:bottom w:val="single" w:color="000000" w:sz="8" w:space="0"/>
        <w:right w:val="single" w:color="000000" w:sz="8" w:space="0"/>
      </w:pBdr>
      <w:spacing w:before="100" w:beforeAutospacing="1" w:after="100" w:afterAutospacing="1"/>
      <w:jc w:val="center"/>
    </w:pPr>
    <w:rPr>
      <w:color w:val="FF0000"/>
      <w:sz w:val="21"/>
      <w:szCs w:val="21"/>
    </w:rPr>
  </w:style>
  <w:style w:type="paragraph" w:customStyle="1" w:styleId="153">
    <w:name w:val="xl88"/>
    <w:basedOn w:val="1"/>
    <w:qFormat/>
    <w:uiPriority w:val="0"/>
    <w:pPr>
      <w:pBdr>
        <w:bottom w:val="single" w:color="000000" w:sz="8" w:space="0"/>
        <w:right w:val="single" w:color="000000" w:sz="8" w:space="0"/>
      </w:pBdr>
      <w:spacing w:before="100" w:beforeAutospacing="1" w:after="100" w:afterAutospacing="1"/>
      <w:jc w:val="center"/>
    </w:pPr>
    <w:rPr>
      <w:color w:val="FF0000"/>
      <w:sz w:val="21"/>
      <w:szCs w:val="21"/>
    </w:rPr>
  </w:style>
  <w:style w:type="paragraph" w:customStyle="1" w:styleId="154">
    <w:name w:val="xl89"/>
    <w:basedOn w:val="1"/>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jc w:val="center"/>
    </w:pPr>
    <w:rPr>
      <w:color w:val="FF0000"/>
    </w:rPr>
  </w:style>
  <w:style w:type="paragraph" w:customStyle="1" w:styleId="155">
    <w:name w:val="xl90"/>
    <w:basedOn w:val="1"/>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jc w:val="center"/>
    </w:pPr>
    <w:rPr>
      <w:color w:val="FF0000"/>
    </w:rPr>
  </w:style>
  <w:style w:type="paragraph" w:customStyle="1" w:styleId="156">
    <w:name w:val="xl91"/>
    <w:basedOn w:val="1"/>
    <w:qFormat/>
    <w:uiPriority w:val="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color w:val="FF0000"/>
    </w:rPr>
  </w:style>
  <w:style w:type="paragraph" w:customStyle="1" w:styleId="157">
    <w:name w:val="xl92"/>
    <w:basedOn w:val="1"/>
    <w:qFormat/>
    <w:uiPriority w:val="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color w:val="FF0000"/>
    </w:rPr>
  </w:style>
  <w:style w:type="paragraph" w:customStyle="1" w:styleId="158">
    <w:name w:val="xl93"/>
    <w:basedOn w:val="1"/>
    <w:uiPriority w:val="0"/>
    <w:pPr>
      <w:pBdr>
        <w:left w:val="single" w:color="000000" w:sz="8" w:space="0"/>
        <w:bottom w:val="single" w:color="000000" w:sz="8" w:space="0"/>
        <w:right w:val="single" w:color="000000" w:sz="8" w:space="0"/>
      </w:pBdr>
      <w:spacing w:before="100" w:beforeAutospacing="1" w:after="100" w:afterAutospacing="1"/>
      <w:jc w:val="center"/>
    </w:pPr>
    <w:rPr>
      <w:color w:val="000000"/>
      <w:sz w:val="21"/>
      <w:szCs w:val="21"/>
    </w:rPr>
  </w:style>
  <w:style w:type="character" w:styleId="159">
    <w:name w:val="Placeholder Text"/>
    <w:basedOn w:val="43"/>
    <w:semiHidden/>
    <w:qFormat/>
    <w:uiPriority w:val="0"/>
    <w:rPr>
      <w:color w:val="808080"/>
    </w:rPr>
  </w:style>
  <w:style w:type="paragraph" w:customStyle="1" w:styleId="160">
    <w:name w:val="！图表 标题"/>
    <w:basedOn w:val="1"/>
    <w:next w:val="1"/>
    <w:uiPriority w:val="0"/>
    <w:pPr>
      <w:jc w:val="center"/>
    </w:pPr>
    <w:rPr>
      <w:b/>
      <w:sz w:val="21"/>
      <w:szCs w:val="21"/>
    </w:rPr>
  </w:style>
  <w:style w:type="paragraph" w:customStyle="1" w:styleId="161">
    <w:name w:val="TT正文"/>
    <w:basedOn w:val="1"/>
    <w:qFormat/>
    <w:uiPriority w:val="0"/>
    <w:pPr>
      <w:spacing w:line="360" w:lineRule="auto"/>
      <w:ind w:firstLine="200" w:firstLineChars="200"/>
    </w:pPr>
    <w:rPr>
      <w:color w:val="000000"/>
    </w:rPr>
  </w:style>
  <w:style w:type="paragraph" w:customStyle="1" w:styleId="162">
    <w:name w:val="font0"/>
    <w:basedOn w:val="1"/>
    <w:qFormat/>
    <w:uiPriority w:val="0"/>
    <w:pPr>
      <w:spacing w:before="100" w:beforeAutospacing="1" w:after="100" w:afterAutospacing="1"/>
    </w:pPr>
    <w:rPr>
      <w:color w:val="000000"/>
      <w:sz w:val="22"/>
      <w:szCs w:val="22"/>
    </w:rPr>
  </w:style>
  <w:style w:type="paragraph" w:customStyle="1" w:styleId="163">
    <w:name w:val="font1"/>
    <w:basedOn w:val="1"/>
    <w:qFormat/>
    <w:uiPriority w:val="0"/>
    <w:pPr>
      <w:spacing w:before="100" w:beforeAutospacing="1" w:after="100" w:afterAutospacing="1"/>
    </w:pPr>
    <w:rPr>
      <w:color w:val="000000"/>
      <w:sz w:val="22"/>
      <w:szCs w:val="22"/>
    </w:rPr>
  </w:style>
  <w:style w:type="paragraph" w:customStyle="1" w:styleId="164">
    <w:name w:val="font2"/>
    <w:basedOn w:val="1"/>
    <w:uiPriority w:val="0"/>
    <w:pPr>
      <w:spacing w:before="100" w:beforeAutospacing="1" w:after="100" w:afterAutospacing="1"/>
    </w:pPr>
    <w:rPr>
      <w:color w:val="000000"/>
      <w:sz w:val="22"/>
      <w:szCs w:val="22"/>
    </w:rPr>
  </w:style>
  <w:style w:type="paragraph" w:customStyle="1" w:styleId="165">
    <w:name w:val="font3"/>
    <w:basedOn w:val="1"/>
    <w:uiPriority w:val="0"/>
    <w:pPr>
      <w:spacing w:before="100" w:beforeAutospacing="1" w:after="100" w:afterAutospacing="1"/>
    </w:pPr>
    <w:rPr>
      <w:color w:val="000000"/>
      <w:sz w:val="22"/>
      <w:szCs w:val="22"/>
      <w:vertAlign w:val="subscript"/>
    </w:rPr>
  </w:style>
  <w:style w:type="paragraph" w:customStyle="1" w:styleId="166">
    <w:name w:val="font4"/>
    <w:basedOn w:val="1"/>
    <w:uiPriority w:val="0"/>
    <w:pPr>
      <w:spacing w:before="100" w:beforeAutospacing="1" w:after="100" w:afterAutospacing="1"/>
    </w:pPr>
    <w:rPr>
      <w:color w:val="000000"/>
      <w:sz w:val="22"/>
      <w:szCs w:val="22"/>
    </w:rPr>
  </w:style>
  <w:style w:type="paragraph" w:customStyle="1" w:styleId="167">
    <w:name w:val="font13"/>
    <w:basedOn w:val="1"/>
    <w:uiPriority w:val="0"/>
    <w:pPr>
      <w:spacing w:before="100" w:beforeAutospacing="1" w:after="100" w:afterAutospacing="1"/>
    </w:pPr>
    <w:rPr>
      <w:color w:val="000000"/>
      <w:sz w:val="21"/>
      <w:szCs w:val="21"/>
      <w:vertAlign w:val="subscript"/>
    </w:rPr>
  </w:style>
  <w:style w:type="paragraph" w:customStyle="1" w:styleId="168">
    <w:name w:val="font14"/>
    <w:basedOn w:val="1"/>
    <w:qFormat/>
    <w:uiPriority w:val="0"/>
    <w:pPr>
      <w:spacing w:before="100" w:beforeAutospacing="1" w:after="100" w:afterAutospacing="1"/>
    </w:pPr>
    <w:rPr>
      <w:color w:val="000000"/>
      <w:sz w:val="22"/>
      <w:szCs w:val="22"/>
      <w:vertAlign w:val="subscript"/>
    </w:rPr>
  </w:style>
  <w:style w:type="paragraph" w:customStyle="1" w:styleId="169">
    <w:name w:val="et2"/>
    <w:basedOn w:val="1"/>
    <w:uiPriority w:val="0"/>
    <w:pPr>
      <w:spacing w:before="100" w:beforeAutospacing="1" w:after="100" w:afterAutospacing="1"/>
      <w:jc w:val="center"/>
    </w:pPr>
  </w:style>
  <w:style w:type="paragraph" w:customStyle="1" w:styleId="170">
    <w:name w:val="et3"/>
    <w:basedOn w:val="1"/>
    <w:uiPriority w:val="0"/>
    <w:pPr>
      <w:spacing w:before="100" w:beforeAutospacing="1" w:after="100" w:afterAutospacing="1"/>
      <w:jc w:val="center"/>
    </w:pPr>
  </w:style>
  <w:style w:type="paragraph" w:customStyle="1" w:styleId="171">
    <w:name w:val="et5"/>
    <w:basedOn w:val="1"/>
    <w:uiPriority w:val="0"/>
    <w:pPr>
      <w:spacing w:before="100" w:beforeAutospacing="1" w:after="100" w:afterAutospacing="1"/>
      <w:jc w:val="center"/>
    </w:pPr>
    <w:rPr>
      <w:b/>
      <w:bCs/>
    </w:rPr>
  </w:style>
  <w:style w:type="paragraph" w:customStyle="1" w:styleId="172">
    <w:name w:val="et6"/>
    <w:basedOn w:val="1"/>
    <w:qFormat/>
    <w:uiPriority w:val="0"/>
    <w:pPr>
      <w:spacing w:before="100" w:beforeAutospacing="1" w:after="100" w:afterAutospacing="1"/>
      <w:jc w:val="center"/>
    </w:pPr>
    <w:rPr>
      <w:b/>
      <w:bCs/>
    </w:rPr>
  </w:style>
  <w:style w:type="paragraph" w:customStyle="1" w:styleId="173">
    <w:name w:val="et9"/>
    <w:basedOn w:val="1"/>
    <w:uiPriority w:val="0"/>
    <w:pPr>
      <w:spacing w:before="100" w:beforeAutospacing="1" w:after="100" w:afterAutospacing="1"/>
      <w:jc w:val="center"/>
    </w:pPr>
    <w:rPr>
      <w:b/>
      <w:bCs/>
    </w:rPr>
  </w:style>
  <w:style w:type="paragraph" w:customStyle="1" w:styleId="174">
    <w:name w:val="et10"/>
    <w:basedOn w:val="1"/>
    <w:qFormat/>
    <w:uiPriority w:val="0"/>
    <w:pPr>
      <w:spacing w:before="100" w:beforeAutospacing="1" w:after="100" w:afterAutospacing="1"/>
      <w:jc w:val="center"/>
    </w:pPr>
  </w:style>
  <w:style w:type="paragraph" w:customStyle="1" w:styleId="175">
    <w:name w:val="et11"/>
    <w:basedOn w:val="1"/>
    <w:qFormat/>
    <w:uiPriority w:val="0"/>
    <w:pPr>
      <w:spacing w:before="100" w:beforeAutospacing="1" w:after="100" w:afterAutospacing="1"/>
      <w:jc w:val="center"/>
    </w:pPr>
  </w:style>
  <w:style w:type="paragraph" w:customStyle="1" w:styleId="176">
    <w:name w:val="et12"/>
    <w:basedOn w:val="1"/>
    <w:uiPriority w:val="0"/>
    <w:pPr>
      <w:spacing w:before="100" w:beforeAutospacing="1" w:after="100" w:afterAutospacing="1"/>
      <w:jc w:val="center"/>
    </w:pPr>
    <w:rPr>
      <w:color w:val="000000"/>
    </w:rPr>
  </w:style>
  <w:style w:type="paragraph" w:customStyle="1" w:styleId="177">
    <w:name w:val="et16"/>
    <w:basedOn w:val="1"/>
    <w:uiPriority w:val="0"/>
    <w:pPr>
      <w:spacing w:before="100" w:beforeAutospacing="1" w:after="100" w:afterAutospacing="1"/>
      <w:jc w:val="center"/>
    </w:pPr>
    <w:rPr>
      <w:color w:val="000000"/>
    </w:rPr>
  </w:style>
  <w:style w:type="paragraph" w:customStyle="1" w:styleId="178">
    <w:name w:val="et17"/>
    <w:basedOn w:val="1"/>
    <w:qFormat/>
    <w:uiPriority w:val="0"/>
    <w:pPr>
      <w:spacing w:before="100" w:beforeAutospacing="1" w:after="100" w:afterAutospacing="1"/>
      <w:jc w:val="center"/>
    </w:pPr>
    <w:rPr>
      <w:color w:val="000000"/>
      <w:sz w:val="21"/>
      <w:szCs w:val="21"/>
    </w:rPr>
  </w:style>
  <w:style w:type="paragraph" w:customStyle="1" w:styleId="179">
    <w:name w:val="et21"/>
    <w:basedOn w:val="1"/>
    <w:qFormat/>
    <w:uiPriority w:val="0"/>
    <w:pPr>
      <w:spacing w:before="100" w:beforeAutospacing="1" w:after="100" w:afterAutospacing="1"/>
      <w:textAlignment w:val="top"/>
    </w:pPr>
    <w:rPr>
      <w:color w:val="000000"/>
    </w:rPr>
  </w:style>
  <w:style w:type="paragraph" w:customStyle="1" w:styleId="180">
    <w:name w:val="et22"/>
    <w:basedOn w:val="1"/>
    <w:qFormat/>
    <w:uiPriority w:val="0"/>
    <w:pPr>
      <w:spacing w:before="100" w:beforeAutospacing="1" w:after="100" w:afterAutospacing="1"/>
    </w:pPr>
  </w:style>
  <w:style w:type="paragraph" w:customStyle="1" w:styleId="181">
    <w:name w:val="et25"/>
    <w:basedOn w:val="1"/>
    <w:uiPriority w:val="0"/>
    <w:pPr>
      <w:spacing w:before="100" w:beforeAutospacing="1" w:after="100" w:afterAutospacing="1"/>
    </w:pPr>
    <w:rPr>
      <w:color w:val="000000"/>
    </w:rPr>
  </w:style>
  <w:style w:type="paragraph" w:customStyle="1" w:styleId="182">
    <w:name w:val="et26"/>
    <w:basedOn w:val="1"/>
    <w:qFormat/>
    <w:uiPriority w:val="0"/>
    <w:pPr>
      <w:spacing w:before="100" w:beforeAutospacing="1" w:after="100" w:afterAutospacing="1"/>
    </w:pPr>
    <w:rPr>
      <w:rFonts w:ascii="Tahoma" w:hAnsi="Tahoma" w:cs="Tahoma"/>
      <w:color w:val="000000"/>
      <w:sz w:val="21"/>
      <w:szCs w:val="21"/>
    </w:rPr>
  </w:style>
  <w:style w:type="paragraph" w:customStyle="1" w:styleId="183">
    <w:name w:val="et27"/>
    <w:basedOn w:val="1"/>
    <w:qFormat/>
    <w:uiPriority w:val="0"/>
    <w:pPr>
      <w:spacing w:before="100" w:beforeAutospacing="1" w:after="100" w:afterAutospacing="1"/>
      <w:jc w:val="center"/>
    </w:pPr>
    <w:rPr>
      <w:b/>
      <w:bCs/>
    </w:rPr>
  </w:style>
  <w:style w:type="paragraph" w:customStyle="1" w:styleId="184">
    <w:name w:val="et29"/>
    <w:basedOn w:val="1"/>
    <w:uiPriority w:val="0"/>
    <w:pPr>
      <w:spacing w:before="100" w:beforeAutospacing="1" w:after="100" w:afterAutospacing="1"/>
      <w:jc w:val="center"/>
    </w:pPr>
  </w:style>
  <w:style w:type="paragraph" w:customStyle="1" w:styleId="185">
    <w:name w:val="et31"/>
    <w:basedOn w:val="1"/>
    <w:uiPriority w:val="0"/>
    <w:pPr>
      <w:spacing w:before="100" w:beforeAutospacing="1" w:after="100" w:afterAutospacing="1"/>
      <w:jc w:val="center"/>
    </w:pPr>
  </w:style>
  <w:style w:type="paragraph" w:customStyle="1" w:styleId="186">
    <w:name w:val="et32"/>
    <w:basedOn w:val="1"/>
    <w:uiPriority w:val="0"/>
    <w:pPr>
      <w:spacing w:before="100" w:beforeAutospacing="1" w:after="100" w:afterAutospacing="1"/>
      <w:jc w:val="center"/>
    </w:pPr>
  </w:style>
  <w:style w:type="paragraph" w:customStyle="1" w:styleId="187">
    <w:name w:val="et33"/>
    <w:basedOn w:val="1"/>
    <w:uiPriority w:val="0"/>
    <w:pPr>
      <w:spacing w:before="100" w:beforeAutospacing="1" w:after="100" w:afterAutospacing="1"/>
      <w:jc w:val="center"/>
    </w:pPr>
  </w:style>
  <w:style w:type="paragraph" w:customStyle="1" w:styleId="188">
    <w:name w:val="et34"/>
    <w:basedOn w:val="1"/>
    <w:qFormat/>
    <w:uiPriority w:val="0"/>
    <w:pPr>
      <w:spacing w:before="100" w:beforeAutospacing="1" w:after="100" w:afterAutospacing="1"/>
      <w:jc w:val="center"/>
    </w:pPr>
  </w:style>
  <w:style w:type="paragraph" w:customStyle="1" w:styleId="189">
    <w:name w:val="et36"/>
    <w:basedOn w:val="1"/>
    <w:qFormat/>
    <w:uiPriority w:val="0"/>
    <w:pPr>
      <w:spacing w:before="100" w:beforeAutospacing="1" w:after="100" w:afterAutospacing="1"/>
    </w:pPr>
  </w:style>
  <w:style w:type="paragraph" w:customStyle="1" w:styleId="190">
    <w:name w:val="et37"/>
    <w:basedOn w:val="1"/>
    <w:uiPriority w:val="0"/>
    <w:pPr>
      <w:spacing w:before="100" w:beforeAutospacing="1" w:after="100" w:afterAutospacing="1"/>
      <w:jc w:val="center"/>
    </w:pPr>
    <w:rPr>
      <w:b/>
      <w:bCs/>
    </w:rPr>
  </w:style>
  <w:style w:type="paragraph" w:customStyle="1" w:styleId="191">
    <w:name w:val="et38"/>
    <w:basedOn w:val="1"/>
    <w:uiPriority w:val="0"/>
    <w:pPr>
      <w:spacing w:before="100" w:beforeAutospacing="1" w:after="100" w:afterAutospacing="1"/>
      <w:jc w:val="center"/>
    </w:pPr>
  </w:style>
  <w:style w:type="paragraph" w:customStyle="1" w:styleId="192">
    <w:name w:val="et39"/>
    <w:basedOn w:val="1"/>
    <w:qFormat/>
    <w:uiPriority w:val="0"/>
    <w:pPr>
      <w:spacing w:before="100" w:beforeAutospacing="1" w:after="100" w:afterAutospacing="1"/>
      <w:jc w:val="center"/>
    </w:pPr>
    <w:rPr>
      <w:color w:val="333333"/>
    </w:rPr>
  </w:style>
  <w:style w:type="paragraph" w:customStyle="1" w:styleId="193">
    <w:name w:val="et41"/>
    <w:basedOn w:val="1"/>
    <w:qFormat/>
    <w:uiPriority w:val="0"/>
    <w:pPr>
      <w:spacing w:before="100" w:beforeAutospacing="1" w:after="100" w:afterAutospacing="1"/>
    </w:pPr>
    <w:rPr>
      <w:color w:val="333333"/>
    </w:rPr>
  </w:style>
  <w:style w:type="paragraph" w:customStyle="1" w:styleId="194">
    <w:name w:val="et43"/>
    <w:basedOn w:val="1"/>
    <w:uiPriority w:val="0"/>
    <w:pPr>
      <w:spacing w:before="100" w:beforeAutospacing="1" w:after="100" w:afterAutospacing="1"/>
    </w:pPr>
    <w:rPr>
      <w:color w:val="000000"/>
    </w:rPr>
  </w:style>
  <w:style w:type="paragraph" w:customStyle="1" w:styleId="195">
    <w:name w:val="et44"/>
    <w:basedOn w:val="1"/>
    <w:uiPriority w:val="0"/>
    <w:pPr>
      <w:spacing w:before="100" w:beforeAutospacing="1" w:after="100" w:afterAutospacing="1"/>
    </w:pPr>
    <w:rPr>
      <w:color w:val="000000"/>
    </w:rPr>
  </w:style>
  <w:style w:type="character" w:customStyle="1" w:styleId="196">
    <w:name w:val="font51"/>
    <w:basedOn w:val="43"/>
    <w:qFormat/>
    <w:uiPriority w:val="0"/>
    <w:rPr>
      <w:rFonts w:hint="eastAsia" w:ascii="宋体" w:hAnsi="宋体" w:eastAsia="宋体"/>
      <w:b/>
      <w:bCs/>
      <w:color w:val="000000"/>
      <w:sz w:val="22"/>
      <w:szCs w:val="22"/>
      <w:u w:val="none"/>
    </w:rPr>
  </w:style>
  <w:style w:type="character" w:customStyle="1" w:styleId="197">
    <w:name w:val="font41"/>
    <w:basedOn w:val="43"/>
    <w:qFormat/>
    <w:uiPriority w:val="0"/>
    <w:rPr>
      <w:rFonts w:hint="default" w:ascii="Times New Roman" w:hAnsi="Times New Roman" w:cs="Times New Roman"/>
      <w:color w:val="000000"/>
      <w:sz w:val="22"/>
      <w:szCs w:val="22"/>
      <w:u w:val="none"/>
    </w:rPr>
  </w:style>
  <w:style w:type="character" w:customStyle="1" w:styleId="198">
    <w:name w:val="font15"/>
    <w:basedOn w:val="43"/>
    <w:qFormat/>
    <w:uiPriority w:val="0"/>
    <w:rPr>
      <w:rFonts w:hint="default" w:ascii="Times New Roman" w:hAnsi="Times New Roman" w:cs="Times New Roman"/>
      <w:color w:val="000000"/>
      <w:sz w:val="22"/>
      <w:szCs w:val="22"/>
      <w:u w:val="none"/>
    </w:rPr>
  </w:style>
  <w:style w:type="character" w:customStyle="1" w:styleId="199">
    <w:name w:val="font131"/>
    <w:basedOn w:val="43"/>
    <w:qFormat/>
    <w:uiPriority w:val="0"/>
    <w:rPr>
      <w:rFonts w:hint="default" w:ascii="Times New Roman" w:hAnsi="Times New Roman" w:cs="Times New Roman"/>
      <w:color w:val="000000"/>
      <w:sz w:val="21"/>
      <w:szCs w:val="21"/>
      <w:u w:val="none"/>
      <w:vertAlign w:val="subscript"/>
    </w:rPr>
  </w:style>
  <w:style w:type="character" w:customStyle="1" w:styleId="200">
    <w:name w:val="font81"/>
    <w:basedOn w:val="43"/>
    <w:qFormat/>
    <w:uiPriority w:val="0"/>
    <w:rPr>
      <w:rFonts w:hint="eastAsia" w:ascii="宋体" w:hAnsi="宋体" w:eastAsia="宋体"/>
      <w:color w:val="000000"/>
      <w:sz w:val="22"/>
      <w:szCs w:val="22"/>
      <w:u w:val="none"/>
    </w:rPr>
  </w:style>
  <w:style w:type="character" w:customStyle="1" w:styleId="201">
    <w:name w:val="font141"/>
    <w:basedOn w:val="43"/>
    <w:uiPriority w:val="0"/>
    <w:rPr>
      <w:rFonts w:hint="default" w:ascii="Times New Roman" w:hAnsi="Times New Roman" w:cs="Times New Roman"/>
      <w:color w:val="000000"/>
      <w:sz w:val="22"/>
      <w:szCs w:val="22"/>
      <w:u w:val="none"/>
      <w:vertAlign w:val="subscript"/>
    </w:rPr>
  </w:style>
  <w:style w:type="character" w:customStyle="1" w:styleId="202">
    <w:name w:val="font121"/>
    <w:basedOn w:val="43"/>
    <w:qFormat/>
    <w:uiPriority w:val="0"/>
    <w:rPr>
      <w:rFonts w:hint="eastAsia" w:ascii="宋体" w:hAnsi="宋体" w:eastAsia="宋体"/>
      <w:color w:val="333333"/>
      <w:sz w:val="22"/>
      <w:szCs w:val="22"/>
      <w:u w:val="none"/>
    </w:rPr>
  </w:style>
  <w:style w:type="paragraph" w:customStyle="1" w:styleId="203">
    <w:name w:val="et14"/>
    <w:basedOn w:val="1"/>
    <w:uiPriority w:val="0"/>
    <w:pPr>
      <w:spacing w:before="100" w:beforeAutospacing="1" w:after="100" w:afterAutospacing="1"/>
      <w:jc w:val="center"/>
    </w:pPr>
    <w:rPr>
      <w:color w:val="000000"/>
    </w:rPr>
  </w:style>
  <w:style w:type="paragraph" w:customStyle="1" w:styleId="204">
    <w:name w:val="et15"/>
    <w:basedOn w:val="1"/>
    <w:qFormat/>
    <w:uiPriority w:val="0"/>
    <w:pPr>
      <w:spacing w:before="100" w:beforeAutospacing="1" w:after="100" w:afterAutospacing="1"/>
      <w:jc w:val="center"/>
    </w:pPr>
    <w:rPr>
      <w:color w:val="000000"/>
      <w:sz w:val="21"/>
      <w:szCs w:val="21"/>
    </w:rPr>
  </w:style>
  <w:style w:type="paragraph" w:customStyle="1" w:styleId="205">
    <w:name w:val="et18"/>
    <w:basedOn w:val="1"/>
    <w:uiPriority w:val="0"/>
    <w:pPr>
      <w:spacing w:before="100" w:beforeAutospacing="1" w:after="100" w:afterAutospacing="1"/>
    </w:pPr>
  </w:style>
  <w:style w:type="paragraph" w:customStyle="1" w:styleId="206">
    <w:name w:val="et23"/>
    <w:basedOn w:val="1"/>
    <w:qFormat/>
    <w:uiPriority w:val="0"/>
    <w:pPr>
      <w:spacing w:before="100" w:beforeAutospacing="1" w:after="100" w:afterAutospacing="1"/>
      <w:jc w:val="center"/>
    </w:pPr>
    <w:rPr>
      <w:b/>
      <w:bCs/>
    </w:rPr>
  </w:style>
  <w:style w:type="paragraph" w:customStyle="1" w:styleId="207">
    <w:name w:val="et24"/>
    <w:basedOn w:val="1"/>
    <w:uiPriority w:val="0"/>
    <w:pPr>
      <w:spacing w:before="100" w:beforeAutospacing="1" w:after="100" w:afterAutospacing="1"/>
      <w:jc w:val="center"/>
    </w:pPr>
  </w:style>
  <w:style w:type="paragraph" w:customStyle="1" w:styleId="208">
    <w:name w:val="et28"/>
    <w:basedOn w:val="1"/>
    <w:qFormat/>
    <w:uiPriority w:val="0"/>
    <w:pPr>
      <w:spacing w:before="100" w:beforeAutospacing="1" w:after="100" w:afterAutospacing="1"/>
      <w:jc w:val="center"/>
    </w:pPr>
  </w:style>
  <w:style w:type="paragraph" w:customStyle="1" w:styleId="209">
    <w:name w:val="图表标题"/>
    <w:basedOn w:val="1"/>
    <w:qFormat/>
    <w:uiPriority w:val="0"/>
    <w:pPr>
      <w:spacing w:line="360" w:lineRule="auto"/>
      <w:jc w:val="center"/>
    </w:pPr>
    <w:rPr>
      <w:rFonts w:eastAsia="黑体"/>
    </w:rPr>
  </w:style>
  <w:style w:type="paragraph" w:customStyle="1" w:styleId="210">
    <w:name w:val="四级-ljy"/>
    <w:basedOn w:val="1"/>
    <w:link w:val="211"/>
    <w:uiPriority w:val="0"/>
    <w:pPr>
      <w:keepNext/>
      <w:keepLines/>
      <w:adjustRightInd w:val="0"/>
      <w:spacing w:line="360" w:lineRule="auto"/>
      <w:textAlignment w:val="baseline"/>
      <w:outlineLvl w:val="3"/>
    </w:pPr>
    <w:rPr>
      <w:b/>
      <w:bCs/>
    </w:rPr>
  </w:style>
  <w:style w:type="character" w:customStyle="1" w:styleId="211">
    <w:name w:val="四级-ljy Char"/>
    <w:link w:val="210"/>
    <w:qFormat/>
    <w:uiPriority w:val="0"/>
    <w:rPr>
      <w:rFonts w:ascii="宋体" w:hAnsi="宋体" w:eastAsia="宋体" w:cs="宋体"/>
      <w:b/>
      <w:bCs/>
      <w:kern w:val="0"/>
      <w:sz w:val="24"/>
      <w:szCs w:val="24"/>
    </w:rPr>
  </w:style>
  <w:style w:type="paragraph" w:customStyle="1" w:styleId="212">
    <w:name w:val="三级-ljy"/>
    <w:basedOn w:val="5"/>
    <w:uiPriority w:val="0"/>
    <w:pPr>
      <w:numPr>
        <w:ilvl w:val="0"/>
        <w:numId w:val="0"/>
      </w:numPr>
      <w:tabs>
        <w:tab w:val="clear" w:pos="720"/>
      </w:tabs>
      <w:adjustRightInd/>
      <w:snapToGrid/>
      <w:contextualSpacing/>
    </w:pPr>
    <w:rPr>
      <w:color w:val="auto"/>
      <w:szCs w:val="28"/>
    </w:rPr>
  </w:style>
  <w:style w:type="paragraph" w:customStyle="1" w:styleId="213">
    <w:name w:val="！表格内容"/>
    <w:basedOn w:val="1"/>
    <w:qFormat/>
    <w:uiPriority w:val="0"/>
    <w:pPr>
      <w:jc w:val="center"/>
    </w:pPr>
    <w:rPr>
      <w:sz w:val="21"/>
      <w:szCs w:val="21"/>
    </w:rPr>
  </w:style>
  <w:style w:type="paragraph" w:customStyle="1" w:styleId="214">
    <w:name w:val="！图表标题"/>
    <w:basedOn w:val="1"/>
    <w:uiPriority w:val="0"/>
    <w:pPr>
      <w:spacing w:line="360" w:lineRule="auto"/>
      <w:jc w:val="center"/>
    </w:pPr>
    <w:rPr>
      <w:b/>
      <w:sz w:val="21"/>
      <w:szCs w:val="21"/>
    </w:rPr>
  </w:style>
  <w:style w:type="character" w:customStyle="1" w:styleId="215">
    <w:name w:val="font71"/>
    <w:basedOn w:val="43"/>
    <w:uiPriority w:val="0"/>
    <w:rPr>
      <w:rFonts w:hint="default" w:ascii="Times New Roman" w:hAnsi="Times New Roman" w:cs="Times New Roman"/>
      <w:color w:val="000000"/>
      <w:sz w:val="22"/>
      <w:szCs w:val="22"/>
      <w:u w:val="none"/>
    </w:rPr>
  </w:style>
  <w:style w:type="paragraph" w:customStyle="1" w:styleId="216">
    <w:name w:val="et4"/>
    <w:basedOn w:val="1"/>
    <w:qFormat/>
    <w:uiPriority w:val="0"/>
    <w:pPr>
      <w:spacing w:before="100" w:beforeAutospacing="1" w:after="100" w:afterAutospacing="1"/>
      <w:jc w:val="center"/>
    </w:pPr>
  </w:style>
  <w:style w:type="paragraph" w:customStyle="1" w:styleId="217">
    <w:name w:val="0表格"/>
    <w:basedOn w:val="1"/>
    <w:qFormat/>
    <w:uiPriority w:val="0"/>
    <w:pPr>
      <w:jc w:val="center"/>
    </w:pPr>
    <w:rPr>
      <w:color w:val="000000"/>
      <w:sz w:val="21"/>
      <w:szCs w:val="20"/>
    </w:rPr>
  </w:style>
  <w:style w:type="character" w:customStyle="1" w:styleId="218">
    <w:name w:val="页眉 Char"/>
    <w:uiPriority w:val="99"/>
    <w:rPr>
      <w:sz w:val="18"/>
      <w:szCs w:val="18"/>
    </w:rPr>
  </w:style>
  <w:style w:type="paragraph" w:customStyle="1" w:styleId="219">
    <w:name w:val="et7"/>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rPr>
  </w:style>
  <w:style w:type="paragraph" w:customStyle="1" w:styleId="220">
    <w:name w:val="et1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rPr>
  </w:style>
  <w:style w:type="paragraph" w:customStyle="1" w:styleId="221">
    <w:name w:val="et19"/>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color w:val="000000"/>
    </w:rPr>
  </w:style>
  <w:style w:type="paragraph" w:customStyle="1" w:styleId="222">
    <w:name w:val="et30"/>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color w:val="000000"/>
    </w:rPr>
  </w:style>
  <w:style w:type="paragraph" w:customStyle="1" w:styleId="223">
    <w:name w:val="et8"/>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rPr>
  </w:style>
  <w:style w:type="paragraph" w:customStyle="1" w:styleId="224">
    <w:name w:val="正文-ljy"/>
    <w:basedOn w:val="1"/>
    <w:link w:val="225"/>
    <w:qFormat/>
    <w:uiPriority w:val="0"/>
    <w:pPr>
      <w:spacing w:line="360" w:lineRule="auto"/>
      <w:ind w:firstLine="425" w:firstLineChars="177"/>
    </w:pPr>
  </w:style>
  <w:style w:type="character" w:customStyle="1" w:styleId="225">
    <w:name w:val="正文-ljy Char"/>
    <w:link w:val="224"/>
    <w:qFormat/>
    <w:uiPriority w:val="0"/>
    <w:rPr>
      <w:rFonts w:ascii="宋体" w:hAnsi="宋体" w:eastAsia="宋体" w:cs="宋体"/>
      <w:kern w:val="0"/>
      <w:sz w:val="24"/>
      <w:szCs w:val="24"/>
    </w:rPr>
  </w:style>
  <w:style w:type="paragraph" w:customStyle="1" w:styleId="226">
    <w:name w:val="et20"/>
    <w:basedOn w:val="1"/>
    <w:qFormat/>
    <w:uiPriority w:val="0"/>
    <w:pPr>
      <w:spacing w:before="100" w:beforeAutospacing="1" w:after="100" w:afterAutospacing="1"/>
      <w:jc w:val="center"/>
    </w:pPr>
    <w:rPr>
      <w:sz w:val="21"/>
      <w:szCs w:val="21"/>
    </w:rPr>
  </w:style>
  <w:style w:type="character" w:customStyle="1" w:styleId="227">
    <w:name w:val="报告正文 Char"/>
    <w:uiPriority w:val="0"/>
    <w:rPr>
      <w:rFonts w:ascii="Times New Roman" w:hAnsi="Times New Roman"/>
      <w:kern w:val="2"/>
      <w:sz w:val="24"/>
      <w:szCs w:val="22"/>
    </w:rPr>
  </w:style>
  <w:style w:type="character" w:customStyle="1" w:styleId="228">
    <w:name w:val="表格内容 Char"/>
    <w:locked/>
    <w:uiPriority w:val="0"/>
    <w:rPr>
      <w:rFonts w:ascii="Times New Roman" w:hAnsi="Times New Roman"/>
      <w:kern w:val="2"/>
      <w:sz w:val="21"/>
      <w:szCs w:val="21"/>
    </w:rPr>
  </w:style>
  <w:style w:type="character" w:customStyle="1" w:styleId="229">
    <w:name w:val="无间隔 字符"/>
    <w:link w:val="230"/>
    <w:qFormat/>
    <w:locked/>
    <w:uiPriority w:val="0"/>
    <w:rPr>
      <w:szCs w:val="21"/>
    </w:rPr>
  </w:style>
  <w:style w:type="paragraph" w:styleId="230">
    <w:name w:val="No Spacing"/>
    <w:basedOn w:val="1"/>
    <w:link w:val="229"/>
    <w:uiPriority w:val="0"/>
    <w:pPr>
      <w:jc w:val="center"/>
    </w:pPr>
    <w:rPr>
      <w:rFonts w:asciiTheme="minorHAnsi" w:hAnsiTheme="minorHAnsi" w:eastAsiaTheme="minorEastAsia" w:cstheme="minorBidi"/>
      <w:kern w:val="2"/>
      <w:sz w:val="21"/>
      <w:szCs w:val="21"/>
    </w:rPr>
  </w:style>
  <w:style w:type="paragraph" w:customStyle="1" w:styleId="231">
    <w:name w:val="图表名称"/>
    <w:next w:val="3"/>
    <w:link w:val="232"/>
    <w:qFormat/>
    <w:uiPriority w:val="0"/>
    <w:pPr>
      <w:spacing w:line="360" w:lineRule="auto"/>
      <w:jc w:val="center"/>
    </w:pPr>
    <w:rPr>
      <w:rFonts w:ascii="Times New Roman" w:hAnsi="Times New Roman" w:eastAsia="宋体" w:cs="Times New Roman"/>
      <w:b/>
      <w:bCs/>
      <w:kern w:val="2"/>
      <w:sz w:val="21"/>
      <w:szCs w:val="28"/>
      <w:lang w:val="en-US" w:eastAsia="zh-CN" w:bidi="ar-SA"/>
    </w:rPr>
  </w:style>
  <w:style w:type="character" w:customStyle="1" w:styleId="232">
    <w:name w:val="图表名称 Char"/>
    <w:link w:val="231"/>
    <w:qFormat/>
    <w:uiPriority w:val="0"/>
    <w:rPr>
      <w:rFonts w:ascii="Times New Roman" w:hAnsi="Times New Roman" w:eastAsia="宋体" w:cs="Times New Roman"/>
      <w:b/>
      <w:bCs/>
      <w:szCs w:val="28"/>
    </w:rPr>
  </w:style>
  <w:style w:type="paragraph" w:customStyle="1" w:styleId="233">
    <w:name w:val="0表格内容"/>
    <w:next w:val="1"/>
    <w:uiPriority w:val="0"/>
    <w:pPr>
      <w:jc w:val="center"/>
    </w:pPr>
    <w:rPr>
      <w:rFonts w:ascii="Times New Roman" w:hAnsi="Times New Roman" w:eastAsia="宋体" w:cs="Times New Roman"/>
      <w:kern w:val="2"/>
      <w:sz w:val="21"/>
      <w:szCs w:val="21"/>
      <w:lang w:val="en-US" w:eastAsia="zh-CN" w:bidi="ar-SA"/>
    </w:rPr>
  </w:style>
  <w:style w:type="character" w:customStyle="1" w:styleId="234">
    <w:name w:val="font111"/>
    <w:basedOn w:val="43"/>
    <w:uiPriority w:val="0"/>
    <w:rPr>
      <w:rFonts w:hint="default" w:ascii="Times New Roman" w:hAnsi="Times New Roman" w:cs="Times New Roman"/>
      <w:color w:val="000000"/>
      <w:sz w:val="21"/>
      <w:szCs w:val="21"/>
      <w:u w:val="single"/>
      <w:vertAlign w:val="superscript"/>
    </w:rPr>
  </w:style>
  <w:style w:type="paragraph" w:customStyle="1" w:styleId="235">
    <w:name w:val="0正文"/>
    <w:basedOn w:val="1"/>
    <w:qFormat/>
    <w:uiPriority w:val="0"/>
    <w:pPr>
      <w:spacing w:line="360" w:lineRule="auto"/>
      <w:ind w:firstLine="200" w:firstLineChars="200"/>
    </w:pPr>
  </w:style>
  <w:style w:type="paragraph" w:customStyle="1" w:styleId="236">
    <w:name w:val="et35"/>
    <w:basedOn w:val="1"/>
    <w:qFormat/>
    <w:uiPriority w:val="0"/>
    <w:pPr>
      <w:shd w:val="clear" w:color="auto" w:fill="92D050"/>
      <w:spacing w:before="100" w:beforeAutospacing="1" w:after="100" w:afterAutospacing="1"/>
      <w:jc w:val="center"/>
    </w:pPr>
    <w:rPr>
      <w:color w:val="000000"/>
    </w:rPr>
  </w:style>
  <w:style w:type="paragraph" w:customStyle="1" w:styleId="237">
    <w:name w:val="et45"/>
    <w:basedOn w:val="1"/>
    <w:qFormat/>
    <w:uiPriority w:val="0"/>
    <w:pPr>
      <w:spacing w:before="100" w:beforeAutospacing="1" w:after="100" w:afterAutospacing="1"/>
      <w:jc w:val="center"/>
    </w:pPr>
    <w:rPr>
      <w:color w:val="000000"/>
    </w:rPr>
  </w:style>
  <w:style w:type="paragraph" w:customStyle="1" w:styleId="238">
    <w:name w:val="et46"/>
    <w:basedOn w:val="1"/>
    <w:uiPriority w:val="0"/>
    <w:pPr>
      <w:spacing w:before="100" w:beforeAutospacing="1" w:after="100" w:afterAutospacing="1"/>
      <w:jc w:val="center"/>
    </w:pPr>
    <w:rPr>
      <w:color w:val="000000"/>
      <w:sz w:val="21"/>
      <w:szCs w:val="21"/>
    </w:rPr>
  </w:style>
  <w:style w:type="paragraph" w:customStyle="1" w:styleId="239">
    <w:name w:val="et47"/>
    <w:basedOn w:val="1"/>
    <w:uiPriority w:val="0"/>
    <w:pPr>
      <w:spacing w:before="100" w:beforeAutospacing="1" w:after="100" w:afterAutospacing="1"/>
      <w:jc w:val="center"/>
    </w:pPr>
    <w:rPr>
      <w:color w:val="000000"/>
    </w:rPr>
  </w:style>
  <w:style w:type="paragraph" w:customStyle="1" w:styleId="240">
    <w:name w:val="et48"/>
    <w:basedOn w:val="1"/>
    <w:uiPriority w:val="0"/>
    <w:pPr>
      <w:spacing w:before="100" w:beforeAutospacing="1" w:after="100" w:afterAutospacing="1"/>
      <w:jc w:val="center"/>
    </w:pPr>
  </w:style>
  <w:style w:type="paragraph" w:customStyle="1" w:styleId="241">
    <w:name w:val="et49"/>
    <w:basedOn w:val="1"/>
    <w:qFormat/>
    <w:uiPriority w:val="0"/>
    <w:pPr>
      <w:spacing w:before="100" w:beforeAutospacing="1" w:after="100" w:afterAutospacing="1"/>
      <w:jc w:val="center"/>
    </w:pPr>
    <w:rPr>
      <w:color w:val="000000"/>
    </w:rPr>
  </w:style>
  <w:style w:type="paragraph" w:customStyle="1" w:styleId="242">
    <w:name w:val="et50"/>
    <w:basedOn w:val="1"/>
    <w:uiPriority w:val="0"/>
    <w:pPr>
      <w:spacing w:before="100" w:beforeAutospacing="1" w:after="100" w:afterAutospacing="1"/>
      <w:jc w:val="center"/>
    </w:pPr>
    <w:rPr>
      <w:color w:val="000000"/>
    </w:rPr>
  </w:style>
  <w:style w:type="paragraph" w:customStyle="1" w:styleId="243">
    <w:name w:val="et51"/>
    <w:basedOn w:val="1"/>
    <w:qFormat/>
    <w:uiPriority w:val="0"/>
    <w:pPr>
      <w:spacing w:before="100" w:beforeAutospacing="1" w:after="100" w:afterAutospacing="1"/>
      <w:jc w:val="center"/>
    </w:pPr>
  </w:style>
  <w:style w:type="paragraph" w:customStyle="1" w:styleId="244">
    <w:name w:val="et52"/>
    <w:basedOn w:val="1"/>
    <w:uiPriority w:val="0"/>
    <w:pPr>
      <w:spacing w:before="100" w:beforeAutospacing="1" w:after="100" w:afterAutospacing="1"/>
      <w:jc w:val="center"/>
    </w:pPr>
  </w:style>
  <w:style w:type="paragraph" w:customStyle="1" w:styleId="245">
    <w:name w:val="et53"/>
    <w:basedOn w:val="1"/>
    <w:uiPriority w:val="0"/>
    <w:pPr>
      <w:shd w:val="clear" w:color="auto" w:fill="92D050"/>
      <w:spacing w:before="100" w:beforeAutospacing="1" w:after="100" w:afterAutospacing="1"/>
      <w:jc w:val="center"/>
    </w:pPr>
    <w:rPr>
      <w:color w:val="000000"/>
    </w:rPr>
  </w:style>
  <w:style w:type="paragraph" w:customStyle="1" w:styleId="246">
    <w:name w:val="et57"/>
    <w:basedOn w:val="1"/>
    <w:qFormat/>
    <w:uiPriority w:val="0"/>
    <w:pPr>
      <w:spacing w:before="100" w:beforeAutospacing="1" w:after="100" w:afterAutospacing="1"/>
      <w:jc w:val="center"/>
    </w:pPr>
    <w:rPr>
      <w:color w:val="000000"/>
    </w:rPr>
  </w:style>
  <w:style w:type="paragraph" w:customStyle="1" w:styleId="247">
    <w:name w:val="et58"/>
    <w:basedOn w:val="1"/>
    <w:uiPriority w:val="0"/>
    <w:pPr>
      <w:shd w:val="clear" w:color="auto" w:fill="92D050"/>
      <w:spacing w:before="100" w:beforeAutospacing="1" w:after="100" w:afterAutospacing="1"/>
      <w:jc w:val="center"/>
    </w:pPr>
    <w:rPr>
      <w:color w:val="000000"/>
      <w:sz w:val="21"/>
      <w:szCs w:val="21"/>
    </w:rPr>
  </w:style>
  <w:style w:type="paragraph" w:customStyle="1" w:styleId="248">
    <w:name w:val="et59"/>
    <w:basedOn w:val="1"/>
    <w:qFormat/>
    <w:uiPriority w:val="0"/>
    <w:pPr>
      <w:shd w:val="clear" w:color="auto" w:fill="92D050"/>
      <w:spacing w:before="100" w:beforeAutospacing="1" w:after="100" w:afterAutospacing="1"/>
      <w:jc w:val="center"/>
    </w:pPr>
    <w:rPr>
      <w:color w:val="000000"/>
    </w:rPr>
  </w:style>
  <w:style w:type="paragraph" w:customStyle="1" w:styleId="249">
    <w:name w:val="et60"/>
    <w:basedOn w:val="1"/>
    <w:uiPriority w:val="0"/>
    <w:pPr>
      <w:shd w:val="clear" w:color="auto" w:fill="92D050"/>
      <w:spacing w:before="100" w:beforeAutospacing="1" w:after="100" w:afterAutospacing="1"/>
      <w:jc w:val="center"/>
    </w:pPr>
    <w:rPr>
      <w:color w:val="000000"/>
    </w:rPr>
  </w:style>
  <w:style w:type="paragraph" w:customStyle="1" w:styleId="250">
    <w:name w:val="et61"/>
    <w:basedOn w:val="1"/>
    <w:qFormat/>
    <w:uiPriority w:val="0"/>
    <w:pPr>
      <w:shd w:val="clear" w:color="auto" w:fill="92D050"/>
      <w:spacing w:before="100" w:beforeAutospacing="1" w:after="100" w:afterAutospacing="1"/>
      <w:jc w:val="center"/>
    </w:pPr>
    <w:rPr>
      <w:color w:val="000000"/>
    </w:rPr>
  </w:style>
  <w:style w:type="paragraph" w:customStyle="1" w:styleId="251">
    <w:name w:val="et62"/>
    <w:basedOn w:val="1"/>
    <w:uiPriority w:val="0"/>
    <w:pPr>
      <w:shd w:val="clear" w:color="auto" w:fill="92D050"/>
      <w:spacing w:before="100" w:beforeAutospacing="1" w:after="100" w:afterAutospacing="1"/>
      <w:jc w:val="center"/>
    </w:pPr>
    <w:rPr>
      <w:color w:val="000000"/>
    </w:rPr>
  </w:style>
  <w:style w:type="paragraph" w:customStyle="1" w:styleId="252">
    <w:name w:val="et64"/>
    <w:basedOn w:val="1"/>
    <w:qFormat/>
    <w:uiPriority w:val="0"/>
    <w:pPr>
      <w:spacing w:before="100" w:beforeAutospacing="1" w:after="100" w:afterAutospacing="1"/>
      <w:jc w:val="center"/>
    </w:pPr>
  </w:style>
  <w:style w:type="paragraph" w:customStyle="1" w:styleId="253">
    <w:name w:val="et65"/>
    <w:basedOn w:val="1"/>
    <w:uiPriority w:val="0"/>
    <w:pPr>
      <w:spacing w:before="100" w:beforeAutospacing="1" w:after="100" w:afterAutospacing="1"/>
      <w:jc w:val="center"/>
    </w:pPr>
  </w:style>
  <w:style w:type="paragraph" w:customStyle="1" w:styleId="254">
    <w:name w:val="Revision"/>
    <w:hidden/>
    <w:semiHidden/>
    <w:qFormat/>
    <w:uiPriority w:val="99"/>
    <w:rPr>
      <w:rFonts w:ascii="Times New Roman" w:hAnsi="Times New Roman" w:eastAsia="宋体" w:cs="Times New Roman"/>
      <w:kern w:val="2"/>
      <w:sz w:val="24"/>
      <w:szCs w:val="24"/>
      <w:lang w:val="en-US" w:eastAsia="zh-CN" w:bidi="ar-SA"/>
    </w:rPr>
  </w:style>
  <w:style w:type="character" w:customStyle="1" w:styleId="255">
    <w:name w:val="fontstyle01"/>
    <w:basedOn w:val="43"/>
    <w:qFormat/>
    <w:uiPriority w:val="0"/>
    <w:rPr>
      <w:rFonts w:ascii="宋体" w:hAnsi="宋体" w:eastAsia="宋体" w:cs="宋体"/>
      <w:color w:val="000000"/>
      <w:sz w:val="16"/>
      <w:szCs w:val="16"/>
    </w:rPr>
  </w:style>
  <w:style w:type="character" w:customStyle="1" w:styleId="256">
    <w:name w:val="fontstyle21"/>
    <w:basedOn w:val="43"/>
    <w:uiPriority w:val="0"/>
    <w:rPr>
      <w:rFonts w:ascii="TimesNewRomanPSMT" w:hAnsi="TimesNewRomanPSMT" w:eastAsia="TimesNewRomanPSMT" w:cs="TimesNewRomanPSMT"/>
      <w:color w:val="000000"/>
      <w:sz w:val="16"/>
      <w:szCs w:val="16"/>
    </w:rPr>
  </w:style>
  <w:style w:type="paragraph" w:customStyle="1" w:styleId="257">
    <w:name w:val="normaltable"/>
    <w:basedOn w:val="1"/>
    <w:qFormat/>
    <w:uiPriority w:val="0"/>
    <w:pPr>
      <w:pBdr>
        <w:top w:val="single" w:color="auto" w:sz="6" w:space="0"/>
        <w:left w:val="single" w:color="auto" w:sz="6" w:space="5"/>
        <w:bottom w:val="single" w:color="auto" w:sz="6" w:space="0"/>
        <w:right w:val="single" w:color="auto" w:sz="6" w:space="5"/>
        <w:between w:val="single" w:color="auto" w:sz="6" w:space="0"/>
      </w:pBdr>
      <w:spacing w:before="100" w:beforeAutospacing="1" w:after="100" w:afterAutospacing="1"/>
    </w:pPr>
  </w:style>
  <w:style w:type="paragraph" w:customStyle="1" w:styleId="258">
    <w:name w:val="fontstyle0"/>
    <w:basedOn w:val="1"/>
    <w:qFormat/>
    <w:uiPriority w:val="0"/>
    <w:pPr>
      <w:spacing w:before="100" w:beforeAutospacing="1" w:after="100" w:afterAutospacing="1"/>
    </w:pPr>
    <w:rPr>
      <w:rFonts w:ascii="TimesNewRomanPSMT" w:hAnsi="TimesNewRomanPSMT"/>
      <w:color w:val="000000"/>
      <w:sz w:val="22"/>
      <w:szCs w:val="22"/>
    </w:rPr>
  </w:style>
  <w:style w:type="paragraph" w:customStyle="1" w:styleId="259">
    <w:name w:val="fontstyle1"/>
    <w:basedOn w:val="1"/>
    <w:qFormat/>
    <w:uiPriority w:val="0"/>
    <w:pPr>
      <w:spacing w:before="100" w:beforeAutospacing="1" w:after="100" w:afterAutospacing="1"/>
    </w:pPr>
    <w:rPr>
      <w:color w:val="000000"/>
      <w:sz w:val="22"/>
      <w:szCs w:val="22"/>
    </w:rPr>
  </w:style>
  <w:style w:type="paragraph" w:customStyle="1" w:styleId="260">
    <w:name w:val="fontstyle2"/>
    <w:basedOn w:val="1"/>
    <w:uiPriority w:val="0"/>
    <w:pPr>
      <w:spacing w:before="100" w:beforeAutospacing="1" w:after="100" w:afterAutospacing="1"/>
    </w:pPr>
    <w:rPr>
      <w:color w:val="000000"/>
    </w:rPr>
  </w:style>
  <w:style w:type="character" w:customStyle="1" w:styleId="261">
    <w:name w:val="fontstyle11"/>
    <w:basedOn w:val="43"/>
    <w:qFormat/>
    <w:uiPriority w:val="0"/>
    <w:rPr>
      <w:rFonts w:hint="eastAsia" w:ascii="宋体" w:hAnsi="宋体" w:eastAsia="宋体"/>
      <w:color w:val="000000"/>
      <w:sz w:val="22"/>
      <w:szCs w:val="22"/>
    </w:rPr>
  </w:style>
  <w:style w:type="paragraph" w:customStyle="1" w:styleId="262">
    <w:name w:val="正文格式"/>
    <w:basedOn w:val="1"/>
    <w:link w:val="263"/>
    <w:uiPriority w:val="0"/>
    <w:pPr>
      <w:spacing w:line="360" w:lineRule="auto"/>
      <w:ind w:firstLine="480" w:firstLineChars="200"/>
    </w:pPr>
    <w:rPr>
      <w:color w:val="000000" w:themeColor="text1"/>
      <w:kern w:val="48"/>
      <w:szCs w:val="44"/>
      <w14:textFill>
        <w14:solidFill>
          <w14:schemeClr w14:val="tx1"/>
        </w14:solidFill>
      </w14:textFill>
    </w:rPr>
  </w:style>
  <w:style w:type="character" w:customStyle="1" w:styleId="263">
    <w:name w:val="正文格式 字符"/>
    <w:basedOn w:val="52"/>
    <w:link w:val="262"/>
    <w:qFormat/>
    <w:uiPriority w:val="0"/>
    <w:rPr>
      <w:rFonts w:ascii="宋体" w:hAnsi="宋体" w:eastAsia="宋体" w:cs="宋体"/>
      <w:b w:val="0"/>
      <w:bCs w:val="0"/>
      <w:color w:val="000000" w:themeColor="text1"/>
      <w:kern w:val="48"/>
      <w:sz w:val="24"/>
      <w:szCs w:val="44"/>
      <w14:textFill>
        <w14:solidFill>
          <w14:schemeClr w14:val="tx1"/>
        </w14:solidFill>
      </w14:textFill>
    </w:rPr>
  </w:style>
  <w:style w:type="paragraph" w:customStyle="1" w:styleId="264">
    <w:name w:val="p0"/>
    <w:basedOn w:val="1"/>
    <w:qFormat/>
    <w:uiPriority w:val="0"/>
    <w:rPr>
      <w:sz w:val="21"/>
      <w:szCs w:val="21"/>
    </w:rPr>
  </w:style>
  <w:style w:type="paragraph" w:customStyle="1" w:styleId="265">
    <w:name w:val="0表格标题"/>
    <w:next w:val="233"/>
    <w:uiPriority w:val="99"/>
    <w:pPr>
      <w:spacing w:line="360" w:lineRule="auto"/>
      <w:jc w:val="center"/>
    </w:pPr>
    <w:rPr>
      <w:rFonts w:ascii="Times New Roman" w:hAnsi="Times New Roman" w:eastAsia="宋体" w:cs="Times New Roman"/>
      <w:b/>
      <w:kern w:val="2"/>
      <w:sz w:val="21"/>
      <w:szCs w:val="21"/>
      <w:lang w:val="en-US" w:eastAsia="zh-CN" w:bidi="ar-SA"/>
    </w:rPr>
  </w:style>
  <w:style w:type="paragraph" w:customStyle="1" w:styleId="266">
    <w:name w:val="正文！"/>
    <w:basedOn w:val="1"/>
    <w:link w:val="267"/>
    <w:uiPriority w:val="99"/>
    <w:pPr>
      <w:spacing w:line="360" w:lineRule="auto"/>
      <w:ind w:firstLine="200" w:firstLineChars="200"/>
    </w:pPr>
    <w:rPr>
      <w:szCs w:val="22"/>
    </w:rPr>
  </w:style>
  <w:style w:type="character" w:customStyle="1" w:styleId="267">
    <w:name w:val="正文！ Char"/>
    <w:link w:val="266"/>
    <w:qFormat/>
    <w:uiPriority w:val="99"/>
    <w:rPr>
      <w:rFonts w:ascii="宋体" w:hAnsi="宋体" w:eastAsia="宋体" w:cs="宋体"/>
      <w:kern w:val="0"/>
      <w:sz w:val="24"/>
    </w:rPr>
  </w:style>
  <w:style w:type="character" w:customStyle="1" w:styleId="268">
    <w:name w:val="缩进 Char"/>
    <w:link w:val="269"/>
    <w:qFormat/>
    <w:locked/>
    <w:uiPriority w:val="0"/>
    <w:rPr>
      <w:sz w:val="24"/>
      <w:lang w:val="zh-CN" w:eastAsia="zh-CN"/>
    </w:rPr>
  </w:style>
  <w:style w:type="paragraph" w:customStyle="1" w:styleId="269">
    <w:name w:val="缩进"/>
    <w:basedOn w:val="1"/>
    <w:link w:val="268"/>
    <w:qFormat/>
    <w:uiPriority w:val="0"/>
    <w:pPr>
      <w:autoSpaceDE w:val="0"/>
      <w:autoSpaceDN w:val="0"/>
      <w:adjustRightInd w:val="0"/>
      <w:spacing w:line="400" w:lineRule="atLeast"/>
      <w:ind w:firstLine="425"/>
    </w:pPr>
    <w:rPr>
      <w:rFonts w:asciiTheme="minorHAnsi" w:hAnsiTheme="minorHAnsi" w:eastAsiaTheme="minorEastAsia" w:cstheme="minorBidi"/>
      <w:kern w:val="2"/>
      <w:szCs w:val="22"/>
      <w:lang w:val="zh-CN" w:eastAsia="zh-CN"/>
    </w:rPr>
  </w:style>
  <w:style w:type="character" w:customStyle="1" w:styleId="270">
    <w:name w:val="批注框文本 字符"/>
    <w:basedOn w:val="43"/>
    <w:link w:val="25"/>
    <w:qFormat/>
    <w:uiPriority w:val="0"/>
    <w:rPr>
      <w:rFonts w:ascii="宋体" w:hAnsi="宋体" w:eastAsia="宋体" w:cs="宋体"/>
      <w:kern w:val="0"/>
      <w:sz w:val="18"/>
      <w:szCs w:val="18"/>
    </w:rPr>
  </w:style>
  <w:style w:type="character" w:customStyle="1" w:styleId="271">
    <w:name w:val="正文文本首行缩进 2 字符"/>
    <w:basedOn w:val="115"/>
    <w:link w:val="40"/>
    <w:qFormat/>
    <w:uiPriority w:val="99"/>
    <w:rPr>
      <w:rFonts w:ascii="宋体" w:hAnsi="宋体" w:eastAsia="宋体" w:cs="宋体"/>
      <w:kern w:val="0"/>
      <w:sz w:val="24"/>
      <w:szCs w:val="20"/>
    </w:rPr>
  </w:style>
  <w:style w:type="paragraph" w:customStyle="1" w:styleId="272">
    <w:name w:val="正文10"/>
    <w:qFormat/>
    <w:uiPriority w:val="0"/>
    <w:pPr>
      <w:jc w:val="both"/>
    </w:pPr>
    <w:rPr>
      <w:rFonts w:ascii="Calibri" w:hAnsi="Calibri" w:eastAsia="宋体" w:cs="Calibri"/>
      <w:kern w:val="2"/>
      <w:sz w:val="21"/>
      <w:szCs w:val="21"/>
      <w:lang w:val="en-US" w:eastAsia="zh-CN" w:bidi="ar-SA"/>
    </w:rPr>
  </w:style>
  <w:style w:type="paragraph" w:customStyle="1" w:styleId="273">
    <w:name w:val="正文11"/>
    <w:uiPriority w:val="0"/>
    <w:pPr>
      <w:jc w:val="both"/>
    </w:pPr>
    <w:rPr>
      <w:rFonts w:ascii="Calibri" w:hAnsi="Calibri" w:eastAsia="宋体" w:cs="Calibri"/>
      <w:kern w:val="2"/>
      <w:sz w:val="21"/>
      <w:szCs w:val="21"/>
      <w:lang w:val="en-US" w:eastAsia="zh-CN" w:bidi="ar-SA"/>
    </w:rPr>
  </w:style>
  <w:style w:type="paragraph" w:customStyle="1" w:styleId="274">
    <w:name w:val="正文12"/>
    <w:qFormat/>
    <w:uiPriority w:val="0"/>
    <w:pPr>
      <w:jc w:val="both"/>
    </w:pPr>
    <w:rPr>
      <w:rFonts w:ascii="Calibri" w:hAnsi="Calibri" w:eastAsia="宋体" w:cs="Calibri"/>
      <w:kern w:val="2"/>
      <w:sz w:val="21"/>
      <w:szCs w:val="21"/>
      <w:lang w:val="en-US" w:eastAsia="zh-CN" w:bidi="ar-SA"/>
    </w:rPr>
  </w:style>
  <w:style w:type="paragraph" w:customStyle="1" w:styleId="275">
    <w:name w:val="正文13"/>
    <w:qFormat/>
    <w:uiPriority w:val="0"/>
    <w:pPr>
      <w:jc w:val="both"/>
    </w:pPr>
    <w:rPr>
      <w:rFonts w:ascii="Calibri" w:hAnsi="Calibri" w:eastAsia="宋体" w:cs="Calibri"/>
      <w:kern w:val="2"/>
      <w:sz w:val="21"/>
      <w:szCs w:val="21"/>
      <w:lang w:val="en-US" w:eastAsia="zh-CN" w:bidi="ar-SA"/>
    </w:rPr>
  </w:style>
  <w:style w:type="paragraph" w:customStyle="1" w:styleId="276">
    <w:name w:val="表格备注"/>
    <w:basedOn w:val="1"/>
    <w:qFormat/>
    <w:uiPriority w:val="0"/>
    <w:pPr>
      <w:widowControl w:val="0"/>
      <w:adjustRightInd w:val="0"/>
      <w:snapToGrid w:val="0"/>
      <w:ind w:firstLine="200" w:firstLineChars="200"/>
      <w:jc w:val="both"/>
    </w:pPr>
    <w:rPr>
      <w:rFonts w:ascii="Times New Roman" w:hAnsi="Times New Roman" w:eastAsia="仿宋_GB2312" w:cs="Times New Roman"/>
      <w:sz w:val="20"/>
      <w:szCs w:val="20"/>
    </w:rPr>
  </w:style>
  <w:style w:type="paragraph" w:customStyle="1" w:styleId="277">
    <w:name w:val="表格"/>
    <w:next w:val="1"/>
    <w:uiPriority w:val="0"/>
    <w:pPr>
      <w:jc w:val="center"/>
    </w:pPr>
    <w:rPr>
      <w:rFonts w:ascii="Times New Roman" w:hAnsi="Times New Roman" w:eastAsia="宋体" w:cs="Times New Roman"/>
      <w:kern w:val="2"/>
      <w:sz w:val="21"/>
      <w:szCs w:val="24"/>
      <w:lang w:val="en-US" w:eastAsia="zh-CN" w:bidi="ar-SA"/>
    </w:rPr>
  </w:style>
  <w:style w:type="character" w:customStyle="1" w:styleId="278">
    <w:name w:val="font101"/>
    <w:basedOn w:val="43"/>
    <w:qFormat/>
    <w:uiPriority w:val="0"/>
    <w:rPr>
      <w:rFonts w:hint="default" w:ascii="Times New Roman" w:hAnsi="Times New Roman" w:cs="Times New Roman"/>
      <w:b/>
      <w:bCs/>
      <w:color w:val="000000"/>
      <w:sz w:val="18"/>
      <w:szCs w:val="18"/>
      <w:u w:val="none"/>
      <w:vertAlign w:val="subscript"/>
    </w:rPr>
  </w:style>
  <w:style w:type="paragraph" w:customStyle="1" w:styleId="279">
    <w:name w:val="font16"/>
    <w:basedOn w:val="1"/>
    <w:uiPriority w:val="0"/>
    <w:pPr>
      <w:spacing w:before="100" w:beforeAutospacing="1" w:after="100" w:afterAutospacing="1"/>
    </w:pPr>
    <w:rPr>
      <w:rFonts w:ascii="Times New Roman" w:hAnsi="Times New Roman" w:cs="Times New Roman"/>
      <w:color w:val="000000"/>
      <w:sz w:val="21"/>
      <w:szCs w:val="21"/>
      <w:vertAlign w:val="subscript"/>
    </w:rPr>
  </w:style>
  <w:style w:type="paragraph" w:customStyle="1" w:styleId="280">
    <w:name w:val="et42"/>
    <w:basedOn w:val="1"/>
    <w:qFormat/>
    <w:uiPriority w:val="0"/>
    <w:pPr>
      <w:spacing w:before="100" w:beforeAutospacing="1" w:after="100" w:afterAutospacing="1"/>
      <w:jc w:val="center"/>
    </w:pPr>
    <w:rPr>
      <w:rFonts w:ascii="Times New Roman" w:hAnsi="Times New Roman" w:cs="Times New Roman"/>
    </w:rPr>
  </w:style>
  <w:style w:type="paragraph" w:customStyle="1" w:styleId="281">
    <w:name w:val="et54"/>
    <w:basedOn w:val="1"/>
    <w:uiPriority w:val="0"/>
    <w:pPr>
      <w:spacing w:before="100" w:beforeAutospacing="1" w:after="100" w:afterAutospacing="1"/>
      <w:jc w:val="center"/>
    </w:pPr>
    <w:rPr>
      <w:rFonts w:ascii="Times New Roman" w:hAnsi="Times New Roman" w:cs="Times New Roman"/>
    </w:rPr>
  </w:style>
  <w:style w:type="paragraph" w:customStyle="1" w:styleId="282">
    <w:name w:val="et55"/>
    <w:basedOn w:val="1"/>
    <w:qFormat/>
    <w:uiPriority w:val="0"/>
    <w:pPr>
      <w:spacing w:before="100" w:beforeAutospacing="1" w:after="100" w:afterAutospacing="1"/>
      <w:jc w:val="center"/>
    </w:pPr>
  </w:style>
  <w:style w:type="paragraph" w:customStyle="1" w:styleId="283">
    <w:name w:val="et56"/>
    <w:basedOn w:val="1"/>
    <w:qFormat/>
    <w:uiPriority w:val="0"/>
    <w:pPr>
      <w:spacing w:before="100" w:beforeAutospacing="1" w:after="100" w:afterAutospacing="1"/>
      <w:jc w:val="center"/>
    </w:pPr>
    <w:rPr>
      <w:color w:val="E418E2"/>
    </w:rPr>
  </w:style>
  <w:style w:type="paragraph" w:customStyle="1" w:styleId="284">
    <w:name w:val="et63"/>
    <w:basedOn w:val="1"/>
    <w:uiPriority w:val="0"/>
    <w:pPr>
      <w:shd w:val="clear" w:color="auto" w:fill="92D050"/>
      <w:spacing w:before="100" w:beforeAutospacing="1" w:after="100" w:afterAutospacing="1"/>
      <w:jc w:val="center"/>
    </w:pPr>
    <w:rPr>
      <w:rFonts w:ascii="Times New Roman" w:hAnsi="Times New Roman" w:cs="Times New Roman"/>
      <w:color w:val="000000"/>
    </w:rPr>
  </w:style>
  <w:style w:type="paragraph" w:customStyle="1" w:styleId="285">
    <w:name w:val="et66"/>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86">
    <w:name w:val="et67"/>
    <w:basedOn w:val="1"/>
    <w:uiPriority w:val="0"/>
    <w:pPr>
      <w:spacing w:before="100" w:beforeAutospacing="1" w:after="100" w:afterAutospacing="1"/>
      <w:jc w:val="center"/>
    </w:pPr>
    <w:rPr>
      <w:rFonts w:ascii="Times New Roman" w:hAnsi="Times New Roman" w:cs="Times New Roman"/>
      <w:color w:val="FF0000"/>
    </w:rPr>
  </w:style>
  <w:style w:type="paragraph" w:customStyle="1" w:styleId="287">
    <w:name w:val="et68"/>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88">
    <w:name w:val="et70"/>
    <w:basedOn w:val="1"/>
    <w:uiPriority w:val="0"/>
    <w:pPr>
      <w:spacing w:before="100" w:beforeAutospacing="1" w:after="100" w:afterAutospacing="1"/>
      <w:jc w:val="center"/>
    </w:pPr>
    <w:rPr>
      <w:rFonts w:ascii="Times New Roman" w:hAnsi="Times New Roman" w:cs="Times New Roman"/>
      <w:color w:val="FF0000"/>
    </w:rPr>
  </w:style>
  <w:style w:type="paragraph" w:customStyle="1" w:styleId="289">
    <w:name w:val="et71"/>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90">
    <w:name w:val="et72"/>
    <w:basedOn w:val="1"/>
    <w:qFormat/>
    <w:uiPriority w:val="0"/>
    <w:pPr>
      <w:spacing w:before="100" w:beforeAutospacing="1" w:after="100" w:afterAutospacing="1"/>
      <w:jc w:val="center"/>
    </w:pPr>
    <w:rPr>
      <w:rFonts w:ascii="Times New Roman" w:hAnsi="Times New Roman" w:cs="Times New Roman"/>
    </w:rPr>
  </w:style>
  <w:style w:type="character" w:customStyle="1" w:styleId="291">
    <w:name w:val="font151"/>
    <w:basedOn w:val="43"/>
    <w:uiPriority w:val="0"/>
    <w:rPr>
      <w:rFonts w:hint="default" w:ascii="Times New Roman" w:hAnsi="Times New Roman" w:cs="Times New Roman"/>
      <w:b/>
      <w:bCs/>
      <w:color w:val="000000"/>
      <w:sz w:val="22"/>
      <w:szCs w:val="22"/>
      <w:u w:val="none"/>
      <w:vertAlign w:val="subscript"/>
    </w:rPr>
  </w:style>
  <w:style w:type="character" w:customStyle="1" w:styleId="292">
    <w:name w:val="font17"/>
    <w:basedOn w:val="43"/>
    <w:qFormat/>
    <w:uiPriority w:val="0"/>
    <w:rPr>
      <w:rFonts w:hint="default" w:ascii="Times New Roman" w:hAnsi="Times New Roman" w:cs="Times New Roman"/>
      <w:color w:val="000000"/>
      <w:sz w:val="22"/>
      <w:szCs w:val="22"/>
      <w:u w:val="none"/>
    </w:rPr>
  </w:style>
  <w:style w:type="character" w:customStyle="1" w:styleId="293">
    <w:name w:val="font161"/>
    <w:basedOn w:val="43"/>
    <w:uiPriority w:val="0"/>
    <w:rPr>
      <w:rFonts w:hint="default" w:ascii="Times New Roman" w:hAnsi="Times New Roman" w:cs="Times New Roman"/>
      <w:color w:val="000000"/>
      <w:sz w:val="21"/>
      <w:szCs w:val="21"/>
      <w:u w:val="none"/>
      <w:vertAlign w:val="subscript"/>
    </w:rPr>
  </w:style>
  <w:style w:type="paragraph" w:customStyle="1" w:styleId="294">
    <w:name w:val="正文14"/>
    <w:qFormat/>
    <w:uiPriority w:val="0"/>
    <w:pPr>
      <w:jc w:val="both"/>
    </w:pPr>
    <w:rPr>
      <w:rFonts w:ascii="Calibri" w:hAnsi="Calibri" w:eastAsia="宋体" w:cs="Calibri"/>
      <w:kern w:val="2"/>
      <w:sz w:val="21"/>
      <w:szCs w:val="21"/>
      <w:lang w:val="en-US" w:eastAsia="zh-CN" w:bidi="ar-SA"/>
    </w:rPr>
  </w:style>
  <w:style w:type="character" w:customStyle="1" w:styleId="295">
    <w:name w:val="日期 字符"/>
    <w:basedOn w:val="43"/>
    <w:link w:val="23"/>
    <w:qFormat/>
    <w:uiPriority w:val="0"/>
    <w:rPr>
      <w:rFonts w:ascii="宋体" w:hAnsi="宋体" w:eastAsia="宋体" w:cs="宋体"/>
      <w:kern w:val="0"/>
      <w:sz w:val="24"/>
      <w:szCs w:val="24"/>
    </w:rPr>
  </w:style>
  <w:style w:type="character" w:customStyle="1" w:styleId="296">
    <w:name w:val="正文文本缩进 字符1"/>
    <w:qFormat/>
    <w:uiPriority w:val="0"/>
    <w:rPr>
      <w:rFonts w:ascii="Times New Roman" w:hAnsi="Times New Roman" w:eastAsia="宋体" w:cs="Times New Roman"/>
      <w:caps/>
      <w:sz w:val="24"/>
      <w:szCs w:val="24"/>
    </w:rPr>
  </w:style>
  <w:style w:type="paragraph" w:customStyle="1" w:styleId="297">
    <w:name w:val="正文15"/>
    <w:qFormat/>
    <w:uiPriority w:val="0"/>
    <w:pPr>
      <w:jc w:val="both"/>
    </w:pPr>
    <w:rPr>
      <w:rFonts w:ascii="Calibri" w:hAnsi="Calibri" w:eastAsia="宋体" w:cs="Calibri"/>
      <w:kern w:val="2"/>
      <w:sz w:val="21"/>
      <w:szCs w:val="21"/>
      <w:lang w:val="en-US" w:eastAsia="zh-CN" w:bidi="ar-SA"/>
    </w:rPr>
  </w:style>
  <w:style w:type="paragraph" w:customStyle="1" w:styleId="298">
    <w:name w:val="正文16"/>
    <w:qFormat/>
    <w:uiPriority w:val="0"/>
    <w:pPr>
      <w:jc w:val="both"/>
    </w:pPr>
    <w:rPr>
      <w:rFonts w:ascii="Times New Roman" w:hAnsi="Times New Roman" w:eastAsia="宋体" w:cs="Times New Roman"/>
      <w:kern w:val="2"/>
      <w:sz w:val="21"/>
      <w:szCs w:val="21"/>
      <w:lang w:val="en-US" w:eastAsia="zh-CN" w:bidi="ar-SA"/>
    </w:rPr>
  </w:style>
  <w:style w:type="paragraph" w:customStyle="1" w:styleId="299">
    <w:name w:val="正文17"/>
    <w:uiPriority w:val="0"/>
    <w:pPr>
      <w:jc w:val="both"/>
    </w:pPr>
    <w:rPr>
      <w:rFonts w:ascii="Calibri" w:hAnsi="Calibri" w:eastAsia="宋体" w:cs="Calibri"/>
      <w:kern w:val="2"/>
      <w:sz w:val="21"/>
      <w:szCs w:val="21"/>
      <w:lang w:val="en-US" w:eastAsia="zh-CN" w:bidi="ar-SA"/>
    </w:rPr>
  </w:style>
  <w:style w:type="character" w:customStyle="1" w:styleId="300">
    <w:name w:val="正文文本缩进 2 字符"/>
    <w:basedOn w:val="43"/>
    <w:link w:val="24"/>
    <w:qFormat/>
    <w:uiPriority w:val="0"/>
    <w:rPr>
      <w:rFonts w:ascii="宋体" w:hAnsi="宋体" w:eastAsia="宋体" w:cs="宋体"/>
      <w:kern w:val="0"/>
      <w:sz w:val="24"/>
      <w:szCs w:val="24"/>
    </w:rPr>
  </w:style>
  <w:style w:type="paragraph" w:customStyle="1" w:styleId="301">
    <w:name w:val="修订3"/>
    <w:hidden/>
    <w:semiHidden/>
    <w:qFormat/>
    <w:uiPriority w:val="99"/>
    <w:rPr>
      <w:rFonts w:ascii="Times New Roman" w:hAnsi="Times New Roman" w:eastAsia="宋体" w:cs="Times New Roman"/>
      <w:kern w:val="2"/>
      <w:sz w:val="24"/>
      <w:szCs w:val="24"/>
      <w:lang w:val="en-US" w:eastAsia="zh-CN" w:bidi="ar-SA"/>
    </w:rPr>
  </w:style>
  <w:style w:type="paragraph" w:customStyle="1" w:styleId="302">
    <w:name w:val="表格正文"/>
    <w:basedOn w:val="1"/>
    <w:autoRedefine/>
    <w:qFormat/>
    <w:uiPriority w:val="0"/>
    <w:pPr>
      <w:spacing w:line="240" w:lineRule="atLeast"/>
      <w:jc w:val="center"/>
    </w:pPr>
  </w:style>
  <w:style w:type="paragraph" w:customStyle="1" w:styleId="303">
    <w:name w:val="font18"/>
    <w:basedOn w:val="1"/>
    <w:uiPriority w:val="0"/>
    <w:pPr>
      <w:spacing w:before="100" w:beforeAutospacing="1" w:after="100" w:afterAutospacing="1"/>
    </w:pPr>
    <w:rPr>
      <w:color w:val="FF0000"/>
      <w:sz w:val="20"/>
      <w:szCs w:val="20"/>
    </w:rPr>
  </w:style>
  <w:style w:type="paragraph" w:customStyle="1" w:styleId="304">
    <w:name w:val="font19"/>
    <w:basedOn w:val="1"/>
    <w:uiPriority w:val="0"/>
    <w:pPr>
      <w:spacing w:before="100" w:beforeAutospacing="1" w:after="100" w:afterAutospacing="1"/>
    </w:pPr>
    <w:rPr>
      <w:color w:val="0070C0"/>
      <w:sz w:val="20"/>
      <w:szCs w:val="20"/>
    </w:rPr>
  </w:style>
  <w:style w:type="paragraph" w:customStyle="1" w:styleId="305">
    <w:name w:val="font20"/>
    <w:basedOn w:val="1"/>
    <w:uiPriority w:val="0"/>
    <w:pPr>
      <w:spacing w:before="100" w:beforeAutospacing="1" w:after="100" w:afterAutospacing="1"/>
    </w:pPr>
    <w:rPr>
      <w:color w:val="000000"/>
      <w:sz w:val="18"/>
      <w:szCs w:val="18"/>
    </w:rPr>
  </w:style>
  <w:style w:type="paragraph" w:customStyle="1" w:styleId="306">
    <w:name w:val="et40"/>
    <w:basedOn w:val="1"/>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cs="Times New Roman"/>
      <w:color w:val="000000"/>
      <w:sz w:val="18"/>
      <w:szCs w:val="18"/>
    </w:rPr>
  </w:style>
  <w:style w:type="character" w:customStyle="1" w:styleId="307">
    <w:name w:val="font110"/>
    <w:basedOn w:val="43"/>
    <w:uiPriority w:val="0"/>
    <w:rPr>
      <w:rFonts w:hint="default" w:ascii="Times New Roman" w:hAnsi="Times New Roman" w:cs="Times New Roman"/>
      <w:color w:val="000000"/>
      <w:sz w:val="20"/>
      <w:szCs w:val="20"/>
      <w:u w:val="none"/>
    </w:rPr>
  </w:style>
  <w:style w:type="character" w:customStyle="1" w:styleId="308">
    <w:name w:val="font181"/>
    <w:basedOn w:val="43"/>
    <w:uiPriority w:val="0"/>
    <w:rPr>
      <w:rFonts w:hint="eastAsia" w:ascii="宋体" w:hAnsi="宋体" w:eastAsia="宋体"/>
      <w:color w:val="FF0000"/>
      <w:sz w:val="20"/>
      <w:szCs w:val="20"/>
      <w:u w:val="none"/>
    </w:rPr>
  </w:style>
  <w:style w:type="character" w:customStyle="1" w:styleId="309">
    <w:name w:val="font191"/>
    <w:basedOn w:val="43"/>
    <w:uiPriority w:val="0"/>
    <w:rPr>
      <w:rFonts w:hint="eastAsia" w:ascii="宋体" w:hAnsi="宋体" w:eastAsia="宋体"/>
      <w:color w:val="0070C0"/>
      <w:sz w:val="20"/>
      <w:szCs w:val="20"/>
      <w:u w:val="none"/>
    </w:rPr>
  </w:style>
  <w:style w:type="character" w:customStyle="1" w:styleId="310">
    <w:name w:val="font201"/>
    <w:basedOn w:val="43"/>
    <w:uiPriority w:val="0"/>
    <w:rPr>
      <w:rFonts w:hint="eastAsia" w:ascii="宋体" w:hAnsi="宋体" w:eastAsia="宋体"/>
      <w:color w:val="000000"/>
      <w:sz w:val="18"/>
      <w:szCs w:val="18"/>
      <w:u w:val="none"/>
    </w:rPr>
  </w:style>
  <w:style w:type="paragraph" w:customStyle="1" w:styleId="311">
    <w:name w:val="font22"/>
    <w:basedOn w:val="1"/>
    <w:uiPriority w:val="0"/>
    <w:pPr>
      <w:spacing w:before="100" w:beforeAutospacing="1" w:after="100" w:afterAutospacing="1"/>
    </w:pPr>
    <w:rPr>
      <w:rFonts w:ascii="Times New Roman" w:hAnsi="Times New Roman" w:cs="Times New Roman"/>
      <w:color w:val="000000"/>
      <w:sz w:val="21"/>
      <w:szCs w:val="21"/>
    </w:rPr>
  </w:style>
  <w:style w:type="paragraph" w:customStyle="1" w:styleId="312">
    <w:name w:val="font23"/>
    <w:basedOn w:val="1"/>
    <w:uiPriority w:val="0"/>
    <w:pPr>
      <w:spacing w:before="100" w:beforeAutospacing="1" w:after="100" w:afterAutospacing="1"/>
    </w:pPr>
    <w:rPr>
      <w:rFonts w:ascii="Times New Roman" w:hAnsi="Times New Roman" w:cs="Times New Roman"/>
      <w:color w:val="FF0000"/>
      <w:sz w:val="20"/>
      <w:szCs w:val="20"/>
    </w:rPr>
  </w:style>
  <w:style w:type="paragraph" w:customStyle="1" w:styleId="313">
    <w:name w:val="font24"/>
    <w:basedOn w:val="1"/>
    <w:uiPriority w:val="0"/>
    <w:pPr>
      <w:spacing w:before="100" w:beforeAutospacing="1" w:after="100" w:afterAutospacing="1"/>
    </w:pPr>
    <w:rPr>
      <w:color w:val="000000"/>
      <w:sz w:val="20"/>
      <w:szCs w:val="20"/>
    </w:rPr>
  </w:style>
  <w:style w:type="paragraph" w:customStyle="1" w:styleId="314">
    <w:name w:val="font25"/>
    <w:basedOn w:val="1"/>
    <w:uiPriority w:val="0"/>
    <w:pPr>
      <w:spacing w:before="100" w:beforeAutospacing="1" w:after="100" w:afterAutospacing="1"/>
    </w:pPr>
    <w:rPr>
      <w:rFonts w:ascii="Times New Roman" w:hAnsi="Times New Roman" w:cs="Times New Roman"/>
      <w:color w:val="E826DD"/>
      <w:sz w:val="20"/>
      <w:szCs w:val="20"/>
    </w:rPr>
  </w:style>
  <w:style w:type="paragraph" w:customStyle="1" w:styleId="315">
    <w:name w:val="font26"/>
    <w:basedOn w:val="1"/>
    <w:uiPriority w:val="0"/>
    <w:pPr>
      <w:spacing w:before="100" w:beforeAutospacing="1" w:after="100" w:afterAutospacing="1"/>
    </w:pPr>
    <w:rPr>
      <w:rFonts w:ascii="Times New Roman" w:hAnsi="Times New Roman" w:cs="Times New Roman"/>
      <w:color w:val="E826DD"/>
      <w:sz w:val="22"/>
      <w:szCs w:val="22"/>
    </w:rPr>
  </w:style>
  <w:style w:type="paragraph" w:customStyle="1" w:styleId="316">
    <w:name w:val="font27"/>
    <w:basedOn w:val="1"/>
    <w:uiPriority w:val="0"/>
    <w:pPr>
      <w:spacing w:before="100" w:beforeAutospacing="1" w:after="100" w:afterAutospacing="1"/>
    </w:pPr>
    <w:rPr>
      <w:color w:val="000000"/>
      <w:sz w:val="20"/>
      <w:szCs w:val="20"/>
    </w:rPr>
  </w:style>
  <w:style w:type="paragraph" w:customStyle="1" w:styleId="317">
    <w:name w:val="font28"/>
    <w:basedOn w:val="1"/>
    <w:uiPriority w:val="0"/>
    <w:pPr>
      <w:spacing w:before="100" w:beforeAutospacing="1" w:after="100" w:afterAutospacing="1"/>
    </w:pPr>
    <w:rPr>
      <w:color w:val="FF0000"/>
      <w:sz w:val="20"/>
      <w:szCs w:val="20"/>
    </w:rPr>
  </w:style>
  <w:style w:type="paragraph" w:customStyle="1" w:styleId="318">
    <w:name w:val="font29"/>
    <w:basedOn w:val="1"/>
    <w:uiPriority w:val="0"/>
    <w:pPr>
      <w:spacing w:before="100" w:beforeAutospacing="1" w:after="100" w:afterAutospacing="1"/>
    </w:pPr>
    <w:rPr>
      <w:rFonts w:ascii="Times New Roman" w:hAnsi="Times New Roman" w:cs="Times New Roman"/>
      <w:color w:val="000000"/>
      <w:sz w:val="22"/>
      <w:szCs w:val="22"/>
    </w:rPr>
  </w:style>
  <w:style w:type="paragraph" w:customStyle="1" w:styleId="319">
    <w:name w:val="font30"/>
    <w:basedOn w:val="1"/>
    <w:uiPriority w:val="0"/>
    <w:pPr>
      <w:spacing w:before="100" w:beforeAutospacing="1" w:after="100" w:afterAutospacing="1"/>
    </w:pPr>
    <w:rPr>
      <w:rFonts w:ascii="Times New Roman" w:hAnsi="Times New Roman" w:cs="Times New Roman"/>
      <w:color w:val="000000"/>
      <w:sz w:val="21"/>
      <w:szCs w:val="21"/>
    </w:rPr>
  </w:style>
  <w:style w:type="paragraph" w:customStyle="1" w:styleId="320">
    <w:name w:val="font32"/>
    <w:basedOn w:val="1"/>
    <w:qFormat/>
    <w:uiPriority w:val="0"/>
    <w:pPr>
      <w:spacing w:before="100" w:beforeAutospacing="1" w:after="100" w:afterAutospacing="1"/>
    </w:pPr>
    <w:rPr>
      <w:color w:val="000000"/>
      <w:sz w:val="20"/>
      <w:szCs w:val="20"/>
    </w:rPr>
  </w:style>
  <w:style w:type="paragraph" w:customStyle="1" w:styleId="321">
    <w:name w:val="font33"/>
    <w:basedOn w:val="1"/>
    <w:uiPriority w:val="0"/>
    <w:pPr>
      <w:spacing w:before="100" w:beforeAutospacing="1" w:after="100" w:afterAutospacing="1"/>
    </w:pPr>
    <w:rPr>
      <w:color w:val="00B0F0"/>
      <w:sz w:val="20"/>
      <w:szCs w:val="20"/>
    </w:rPr>
  </w:style>
  <w:style w:type="paragraph" w:customStyle="1" w:styleId="322">
    <w:name w:val="font34"/>
    <w:basedOn w:val="1"/>
    <w:uiPriority w:val="0"/>
    <w:pPr>
      <w:spacing w:before="100" w:beforeAutospacing="1" w:after="100" w:afterAutospacing="1"/>
    </w:pPr>
    <w:rPr>
      <w:color w:val="00B0F0"/>
      <w:sz w:val="20"/>
      <w:szCs w:val="20"/>
    </w:rPr>
  </w:style>
  <w:style w:type="paragraph" w:customStyle="1" w:styleId="323">
    <w:name w:val="font35"/>
    <w:basedOn w:val="1"/>
    <w:qFormat/>
    <w:uiPriority w:val="0"/>
    <w:pPr>
      <w:spacing w:before="100" w:beforeAutospacing="1" w:after="100" w:afterAutospacing="1"/>
    </w:pPr>
    <w:rPr>
      <w:color w:val="000000"/>
      <w:sz w:val="21"/>
      <w:szCs w:val="21"/>
    </w:rPr>
  </w:style>
  <w:style w:type="paragraph" w:customStyle="1" w:styleId="324">
    <w:name w:val="font36"/>
    <w:basedOn w:val="1"/>
    <w:uiPriority w:val="0"/>
    <w:pPr>
      <w:spacing w:before="100" w:beforeAutospacing="1" w:after="100" w:afterAutospacing="1"/>
    </w:pPr>
    <w:rPr>
      <w:color w:val="FF0000"/>
      <w:sz w:val="20"/>
      <w:szCs w:val="20"/>
    </w:rPr>
  </w:style>
  <w:style w:type="paragraph" w:customStyle="1" w:styleId="325">
    <w:name w:val="font37"/>
    <w:basedOn w:val="1"/>
    <w:qFormat/>
    <w:uiPriority w:val="0"/>
    <w:pPr>
      <w:spacing w:before="100" w:beforeAutospacing="1" w:after="100" w:afterAutospacing="1"/>
    </w:pPr>
    <w:rPr>
      <w:rFonts w:ascii="Times New Roman" w:hAnsi="Times New Roman" w:cs="Times New Roman"/>
      <w:color w:val="000000"/>
      <w:sz w:val="20"/>
      <w:szCs w:val="20"/>
    </w:rPr>
  </w:style>
  <w:style w:type="character" w:customStyle="1" w:styleId="326">
    <w:name w:val="font38"/>
    <w:basedOn w:val="43"/>
    <w:uiPriority w:val="0"/>
    <w:rPr>
      <w:rFonts w:hint="default" w:ascii="Times New Roman" w:hAnsi="Times New Roman" w:cs="Times New Roman"/>
      <w:color w:val="000000"/>
      <w:sz w:val="18"/>
      <w:szCs w:val="18"/>
      <w:u w:val="none"/>
    </w:rPr>
  </w:style>
  <w:style w:type="character" w:customStyle="1" w:styleId="327">
    <w:name w:val="font321"/>
    <w:basedOn w:val="43"/>
    <w:uiPriority w:val="0"/>
    <w:rPr>
      <w:rFonts w:hint="eastAsia" w:ascii="宋体" w:hAnsi="宋体" w:eastAsia="宋体"/>
      <w:color w:val="000000"/>
      <w:sz w:val="20"/>
      <w:szCs w:val="20"/>
      <w:u w:val="none"/>
    </w:rPr>
  </w:style>
  <w:style w:type="character" w:customStyle="1" w:styleId="328">
    <w:name w:val="font311"/>
    <w:basedOn w:val="43"/>
    <w:uiPriority w:val="0"/>
    <w:rPr>
      <w:rFonts w:hint="default" w:ascii="Times New Roman" w:hAnsi="Times New Roman" w:cs="Times New Roman"/>
      <w:color w:val="000000"/>
      <w:sz w:val="20"/>
      <w:szCs w:val="20"/>
      <w:u w:val="none"/>
    </w:rPr>
  </w:style>
  <w:style w:type="character" w:customStyle="1" w:styleId="329">
    <w:name w:val="font351"/>
    <w:basedOn w:val="43"/>
    <w:uiPriority w:val="0"/>
    <w:rPr>
      <w:rFonts w:hint="eastAsia" w:ascii="宋体" w:hAnsi="宋体" w:eastAsia="宋体"/>
      <w:color w:val="000000"/>
      <w:sz w:val="21"/>
      <w:szCs w:val="21"/>
      <w:u w:val="none"/>
    </w:rPr>
  </w:style>
  <w:style w:type="character" w:customStyle="1" w:styleId="330">
    <w:name w:val="font221"/>
    <w:basedOn w:val="43"/>
    <w:uiPriority w:val="0"/>
    <w:rPr>
      <w:rFonts w:hint="default" w:ascii="Times New Roman" w:hAnsi="Times New Roman" w:cs="Times New Roman"/>
      <w:color w:val="000000"/>
      <w:sz w:val="21"/>
      <w:szCs w:val="21"/>
      <w:u w:val="none"/>
    </w:rPr>
  </w:style>
  <w:style w:type="character" w:customStyle="1" w:styleId="331">
    <w:name w:val="font361"/>
    <w:basedOn w:val="43"/>
    <w:uiPriority w:val="0"/>
    <w:rPr>
      <w:rFonts w:hint="eastAsia" w:ascii="宋体" w:hAnsi="宋体" w:eastAsia="宋体"/>
      <w:color w:val="FF0000"/>
      <w:sz w:val="20"/>
      <w:szCs w:val="20"/>
      <w:u w:val="none"/>
    </w:rPr>
  </w:style>
  <w:style w:type="character" w:customStyle="1" w:styleId="332">
    <w:name w:val="font371"/>
    <w:basedOn w:val="43"/>
    <w:uiPriority w:val="0"/>
    <w:rPr>
      <w:rFonts w:hint="default" w:ascii="Times New Roman" w:hAnsi="Times New Roman" w:cs="Times New Roman"/>
      <w:color w:val="000000"/>
      <w:sz w:val="20"/>
      <w:szCs w:val="20"/>
      <w:u w:val="none"/>
    </w:rPr>
  </w:style>
  <w:style w:type="character" w:customStyle="1" w:styleId="333">
    <w:name w:val="font241"/>
    <w:basedOn w:val="43"/>
    <w:uiPriority w:val="0"/>
    <w:rPr>
      <w:rFonts w:hint="eastAsia" w:ascii="宋体" w:hAnsi="宋体" w:eastAsia="宋体"/>
      <w:color w:val="000000"/>
      <w:sz w:val="20"/>
      <w:szCs w:val="20"/>
      <w:u w:val="none"/>
    </w:rPr>
  </w:style>
  <w:style w:type="character" w:customStyle="1" w:styleId="334">
    <w:name w:val="font271"/>
    <w:basedOn w:val="43"/>
    <w:uiPriority w:val="0"/>
    <w:rPr>
      <w:rFonts w:hint="eastAsia" w:ascii="宋体" w:hAnsi="宋体" w:eastAsia="宋体"/>
      <w:color w:val="000000"/>
      <w:sz w:val="20"/>
      <w:szCs w:val="20"/>
      <w:u w:val="none"/>
    </w:rPr>
  </w:style>
  <w:style w:type="paragraph" w:customStyle="1" w:styleId="335">
    <w:name w:val="et69"/>
    <w:basedOn w:val="1"/>
    <w:uiPriority w:val="0"/>
    <w:pPr>
      <w:spacing w:before="100" w:beforeAutospacing="1" w:after="100" w:afterAutospacing="1"/>
      <w:jc w:val="center"/>
    </w:pPr>
    <w:rPr>
      <w:rFonts w:ascii="Times New Roman" w:hAnsi="Times New Roman" w:cs="Times New Roman"/>
      <w:color w:val="E826DD"/>
    </w:rPr>
  </w:style>
  <w:style w:type="paragraph" w:customStyle="1" w:styleId="336">
    <w:name w:val="et73"/>
    <w:basedOn w:val="1"/>
    <w:uiPriority w:val="0"/>
    <w:pPr>
      <w:spacing w:before="100" w:beforeAutospacing="1" w:after="100" w:afterAutospacing="1"/>
      <w:jc w:val="center"/>
    </w:pPr>
    <w:rPr>
      <w:rFonts w:ascii="Times New Roman" w:hAnsi="Times New Roman" w:cs="Times New Roman"/>
      <w:color w:val="E826DD"/>
    </w:rPr>
  </w:style>
  <w:style w:type="character" w:customStyle="1" w:styleId="337">
    <w:name w:val="标题 字符"/>
    <w:basedOn w:val="43"/>
    <w:link w:val="37"/>
    <w:uiPriority w:val="10"/>
    <w:rPr>
      <w:rFonts w:asciiTheme="majorHAnsi" w:hAnsiTheme="majorHAnsi" w:eastAsiaTheme="majorEastAsia" w:cstheme="majorBidi"/>
      <w:spacing w:val="-10"/>
      <w:kern w:val="28"/>
      <w:sz w:val="56"/>
      <w:szCs w:val="56"/>
    </w:rPr>
  </w:style>
  <w:style w:type="character" w:customStyle="1" w:styleId="338">
    <w:name w:val="副标题 字符"/>
    <w:basedOn w:val="43"/>
    <w:link w:val="30"/>
    <w:qFormat/>
    <w:uiPriority w:val="11"/>
    <w:rPr>
      <w:rFonts w:asciiTheme="majorHAnsi" w:hAnsiTheme="majorHAnsi" w:eastAsiaTheme="majorEastAsia" w:cstheme="majorBidi"/>
      <w:color w:val="595959" w:themeColor="text1" w:themeTint="A6"/>
      <w:spacing w:val="15"/>
      <w:kern w:val="0"/>
      <w:sz w:val="28"/>
      <w:szCs w:val="28"/>
      <w14:textFill>
        <w14:solidFill>
          <w14:schemeClr w14:val="tx1">
            <w14:lumMod w14:val="65000"/>
            <w14:lumOff w14:val="35000"/>
          </w14:schemeClr>
        </w14:solidFill>
      </w14:textFill>
    </w:rPr>
  </w:style>
  <w:style w:type="character" w:customStyle="1" w:styleId="339">
    <w:name w:val="Intense Emphasis"/>
    <w:basedOn w:val="43"/>
    <w:uiPriority w:val="21"/>
    <w:rPr>
      <w:i/>
      <w:iCs/>
      <w:color w:val="2E75B6" w:themeColor="accent1" w:themeShade="BF"/>
    </w:rPr>
  </w:style>
  <w:style w:type="paragraph" w:styleId="340">
    <w:name w:val="Intense Quote"/>
    <w:basedOn w:val="1"/>
    <w:next w:val="1"/>
    <w:link w:val="341"/>
    <w:uiPriority w:val="30"/>
    <w:pPr>
      <w:widowControl w:val="0"/>
      <w:pBdr>
        <w:top w:val="single" w:color="2E75B5" w:themeColor="accent1" w:themeShade="BF" w:sz="4" w:space="10"/>
        <w:bottom w:val="single" w:color="2E75B5" w:themeColor="accent1" w:themeShade="BF" w:sz="4" w:space="10"/>
      </w:pBdr>
      <w:spacing w:before="360" w:after="360" w:line="360" w:lineRule="auto"/>
      <w:ind w:left="864" w:right="864" w:firstLine="200" w:firstLineChars="200"/>
      <w:jc w:val="center"/>
    </w:pPr>
    <w:rPr>
      <w:rFonts w:ascii="Times New Roman" w:hAnsi="Times New Roman" w:cs="Times New Roman"/>
      <w:i/>
      <w:iCs/>
      <w:color w:val="2E75B6" w:themeColor="accent1" w:themeShade="BF"/>
      <w:szCs w:val="22"/>
    </w:rPr>
  </w:style>
  <w:style w:type="character" w:customStyle="1" w:styleId="341">
    <w:name w:val="明显引用 字符"/>
    <w:basedOn w:val="43"/>
    <w:link w:val="340"/>
    <w:uiPriority w:val="30"/>
    <w:rPr>
      <w:rFonts w:ascii="Times New Roman" w:hAnsi="Times New Roman" w:eastAsia="宋体" w:cs="Times New Roman"/>
      <w:i/>
      <w:iCs/>
      <w:color w:val="2E75B6" w:themeColor="accent1" w:themeShade="BF"/>
      <w:kern w:val="0"/>
      <w:sz w:val="24"/>
    </w:rPr>
  </w:style>
  <w:style w:type="character" w:customStyle="1" w:styleId="342">
    <w:name w:val="Intense Reference"/>
    <w:basedOn w:val="43"/>
    <w:uiPriority w:val="32"/>
    <w:rPr>
      <w:b/>
      <w:bCs/>
      <w:smallCaps/>
      <w:color w:val="2E75B6" w:themeColor="accent1" w:themeShade="BF"/>
      <w:spacing w:val="5"/>
    </w:rPr>
  </w:style>
  <w:style w:type="paragraph" w:customStyle="1" w:styleId="343">
    <w:name w:val="样式35"/>
    <w:basedOn w:val="1"/>
    <w:next w:val="1"/>
    <w:uiPriority w:val="0"/>
    <w:pPr>
      <w:widowControl w:val="0"/>
      <w:tabs>
        <w:tab w:val="left" w:pos="0"/>
        <w:tab w:val="left" w:pos="180"/>
        <w:tab w:val="left" w:pos="360"/>
        <w:tab w:val="left" w:pos="540"/>
        <w:tab w:val="left" w:pos="567"/>
        <w:tab w:val="left" w:pos="992"/>
      </w:tabs>
      <w:spacing w:line="600" w:lineRule="exact"/>
      <w:ind w:hanging="567"/>
      <w:jc w:val="center"/>
    </w:pPr>
    <w:rPr>
      <w:rFonts w:ascii="Times New Roman" w:hAnsi="Times New Roman" w:cs="Times New Roman"/>
      <w:b/>
      <w:kern w:val="2"/>
      <w:sz w:val="28"/>
      <w:szCs w:val="20"/>
    </w:rPr>
  </w:style>
  <w:style w:type="character" w:customStyle="1" w:styleId="344">
    <w:name w:val="正文文本 字符"/>
    <w:basedOn w:val="43"/>
    <w:link w:val="17"/>
    <w:qFormat/>
    <w:uiPriority w:val="0"/>
    <w:rPr>
      <w:rFonts w:ascii="Times New Roman" w:hAnsi="Times New Roman" w:eastAsia="宋体" w:cs="Times New Roman"/>
      <w:szCs w:val="24"/>
    </w:rPr>
  </w:style>
  <w:style w:type="paragraph" w:customStyle="1" w:styleId="345">
    <w:name w:val="Table Text"/>
    <w:basedOn w:val="1"/>
    <w:semiHidden/>
    <w:qFormat/>
    <w:uiPriority w:val="0"/>
    <w:pPr>
      <w:kinsoku w:val="0"/>
      <w:autoSpaceDE w:val="0"/>
      <w:autoSpaceDN w:val="0"/>
      <w:adjustRightInd w:val="0"/>
      <w:snapToGrid w:val="0"/>
      <w:spacing w:after="160"/>
      <w:textAlignment w:val="baseline"/>
    </w:pPr>
    <w:rPr>
      <w:snapToGrid w:val="0"/>
      <w:color w:val="000000"/>
      <w:sz w:val="13"/>
      <w:szCs w:val="13"/>
      <w:lang w:eastAsia="en-US"/>
    </w:rPr>
  </w:style>
  <w:style w:type="paragraph" w:customStyle="1" w:styleId="346">
    <w:name w:val="标题1"/>
    <w:basedOn w:val="262"/>
    <w:next w:val="262"/>
    <w:link w:val="347"/>
    <w:uiPriority w:val="99"/>
    <w:pPr>
      <w:widowControl w:val="0"/>
      <w:numPr>
        <w:ilvl w:val="0"/>
        <w:numId w:val="5"/>
      </w:numPr>
      <w:ind w:firstLineChars="0"/>
      <w:jc w:val="center"/>
      <w:outlineLvl w:val="0"/>
    </w:pPr>
    <w:rPr>
      <w:rFonts w:ascii="Times New Roman" w:hAnsi="Times New Roman"/>
      <w:b/>
      <w:sz w:val="44"/>
      <w:szCs w:val="32"/>
    </w:rPr>
  </w:style>
  <w:style w:type="character" w:customStyle="1" w:styleId="347">
    <w:name w:val="标题1 字符"/>
    <w:basedOn w:val="263"/>
    <w:link w:val="346"/>
    <w:uiPriority w:val="99"/>
    <w:rPr>
      <w:rFonts w:ascii="Times New Roman" w:hAnsi="Times New Roman" w:eastAsia="宋体" w:cs="宋体"/>
      <w:b/>
      <w:color w:val="000000" w:themeColor="text1"/>
      <w:kern w:val="48"/>
      <w:sz w:val="44"/>
      <w:szCs w:val="32"/>
      <w14:textFill>
        <w14:solidFill>
          <w14:schemeClr w14:val="tx1"/>
        </w14:solidFill>
      </w14:textFill>
    </w:rPr>
  </w:style>
  <w:style w:type="paragraph" w:customStyle="1" w:styleId="348">
    <w:name w:val="标题1.1"/>
    <w:basedOn w:val="346"/>
    <w:next w:val="262"/>
    <w:link w:val="349"/>
    <w:uiPriority w:val="99"/>
    <w:pPr>
      <w:numPr>
        <w:ilvl w:val="1"/>
        <w:numId w:val="3"/>
      </w:numPr>
      <w:tabs>
        <w:tab w:val="left" w:pos="360"/>
      </w:tabs>
      <w:jc w:val="both"/>
      <w:outlineLvl w:val="1"/>
    </w:pPr>
    <w:rPr>
      <w:sz w:val="32"/>
    </w:rPr>
  </w:style>
  <w:style w:type="character" w:customStyle="1" w:styleId="349">
    <w:name w:val="标题1.1 字符"/>
    <w:basedOn w:val="347"/>
    <w:link w:val="348"/>
    <w:uiPriority w:val="99"/>
    <w:rPr>
      <w:rFonts w:ascii="Times New Roman" w:hAnsi="Times New Roman" w:eastAsia="宋体" w:cs="宋体"/>
      <w:color w:val="000000" w:themeColor="text1"/>
      <w:kern w:val="48"/>
      <w:sz w:val="32"/>
      <w:szCs w:val="32"/>
      <w14:textFill>
        <w14:solidFill>
          <w14:schemeClr w14:val="tx1"/>
        </w14:solidFill>
      </w14:textFill>
    </w:rPr>
  </w:style>
  <w:style w:type="paragraph" w:customStyle="1" w:styleId="350">
    <w:name w:val="标题1.1.1"/>
    <w:basedOn w:val="348"/>
    <w:next w:val="262"/>
    <w:link w:val="351"/>
    <w:uiPriority w:val="99"/>
    <w:pPr>
      <w:numPr>
        <w:ilvl w:val="2"/>
      </w:numPr>
      <w:outlineLvl w:val="2"/>
    </w:pPr>
    <w:rPr>
      <w:sz w:val="28"/>
    </w:rPr>
  </w:style>
  <w:style w:type="character" w:customStyle="1" w:styleId="351">
    <w:name w:val="标题1.1.1 字符"/>
    <w:basedOn w:val="349"/>
    <w:link w:val="350"/>
    <w:qFormat/>
    <w:uiPriority w:val="99"/>
    <w:rPr>
      <w:rFonts w:ascii="Times New Roman" w:hAnsi="Times New Roman" w:eastAsia="宋体" w:cs="宋体"/>
      <w:color w:val="000000" w:themeColor="text1"/>
      <w:kern w:val="48"/>
      <w:sz w:val="28"/>
      <w:szCs w:val="32"/>
      <w14:textFill>
        <w14:solidFill>
          <w14:schemeClr w14:val="tx1"/>
        </w14:solidFill>
      </w14:textFill>
    </w:rPr>
  </w:style>
  <w:style w:type="paragraph" w:customStyle="1" w:styleId="352">
    <w:name w:val="标题1.1.1.1"/>
    <w:basedOn w:val="350"/>
    <w:next w:val="262"/>
    <w:uiPriority w:val="99"/>
    <w:pPr>
      <w:numPr>
        <w:ilvl w:val="3"/>
        <w:numId w:val="5"/>
      </w:numPr>
      <w:ind w:left="1620" w:hanging="360"/>
      <w:outlineLvl w:val="3"/>
    </w:pPr>
    <w:rPr>
      <w:sz w:val="24"/>
    </w:rPr>
  </w:style>
  <w:style w:type="paragraph" w:customStyle="1" w:styleId="353">
    <w:name w:val="表格题目"/>
    <w:basedOn w:val="262"/>
    <w:next w:val="354"/>
    <w:uiPriority w:val="0"/>
    <w:pPr>
      <w:widowControl w:val="0"/>
      <w:numPr>
        <w:ilvl w:val="4"/>
        <w:numId w:val="5"/>
      </w:numPr>
      <w:ind w:left="3115" w:firstLine="0" w:firstLineChars="0"/>
      <w:jc w:val="center"/>
    </w:pPr>
    <w:rPr>
      <w:rFonts w:ascii="Times New Roman" w:hAnsi="Times New Roman" w:eastAsiaTheme="minorEastAsia" w:cstheme="minorBidi"/>
      <w:b/>
      <w:color w:val="auto"/>
      <w:kern w:val="2"/>
      <w:sz w:val="21"/>
      <w:szCs w:val="22"/>
    </w:rPr>
  </w:style>
  <w:style w:type="paragraph" w:customStyle="1" w:styleId="354">
    <w:name w:val="表格内容居中"/>
    <w:uiPriority w:val="0"/>
    <w:pPr>
      <w:adjustRightInd w:val="0"/>
      <w:snapToGrid w:val="0"/>
      <w:jc w:val="center"/>
    </w:pPr>
    <w:rPr>
      <w:rFonts w:ascii="Times New Roman" w:hAnsi="Times New Roman" w:eastAsia="宋体" w:cs="Times New Roman"/>
      <w:kern w:val="0"/>
      <w:sz w:val="21"/>
      <w:szCs w:val="21"/>
      <w:lang w:val="en-US" w:eastAsia="zh-CN" w:bidi="ar-SA"/>
    </w:rPr>
  </w:style>
  <w:style w:type="paragraph" w:customStyle="1" w:styleId="355">
    <w:name w:val="图题"/>
    <w:basedOn w:val="262"/>
    <w:next w:val="262"/>
    <w:link w:val="356"/>
    <w:uiPriority w:val="0"/>
    <w:pPr>
      <w:widowControl w:val="0"/>
      <w:ind w:firstLine="0" w:firstLineChars="0"/>
      <w:jc w:val="center"/>
    </w:pPr>
    <w:rPr>
      <w:rFonts w:ascii="Times New Roman" w:hAnsi="Times New Roman" w:cs="Times New Roman"/>
      <w:b/>
      <w:color w:val="0D0D0D" w:themeColor="text1" w:themeTint="F2"/>
      <w:szCs w:val="24"/>
      <w14:textFill>
        <w14:solidFill>
          <w14:schemeClr w14:val="tx1">
            <w14:lumMod w14:val="95000"/>
            <w14:lumOff w14:val="5000"/>
          </w14:schemeClr>
        </w14:solidFill>
      </w14:textFill>
    </w:rPr>
  </w:style>
  <w:style w:type="character" w:customStyle="1" w:styleId="356">
    <w:name w:val="图题 字符"/>
    <w:basedOn w:val="263"/>
    <w:link w:val="355"/>
    <w:qFormat/>
    <w:uiPriority w:val="0"/>
    <w:rPr>
      <w:rFonts w:ascii="Times New Roman" w:hAnsi="Times New Roman" w:eastAsia="宋体" w:cs="Times New Roman"/>
      <w:b/>
      <w:color w:val="0D0D0D" w:themeColor="text1" w:themeTint="F2"/>
      <w:kern w:val="48"/>
      <w:sz w:val="24"/>
      <w:szCs w:val="24"/>
      <w14:textFill>
        <w14:solidFill>
          <w14:schemeClr w14:val="tx1">
            <w14:lumMod w14:val="95000"/>
            <w14:lumOff w14:val="5000"/>
          </w14:schemeClr>
        </w14:solidFill>
      </w14:textFill>
    </w:rPr>
  </w:style>
  <w:style w:type="character" w:customStyle="1" w:styleId="357">
    <w:name w:val="正文缩进 字符"/>
    <w:link w:val="13"/>
    <w:qFormat/>
    <w:uiPriority w:val="0"/>
    <w:rPr>
      <w:rFonts w:ascii="Times New Roman" w:hAnsi="Times New Roman" w:eastAsia="宋体" w:cs="Times New Roman"/>
      <w:sz w:val="24"/>
      <w:szCs w:val="24"/>
      <w:lang w:val="zh-CN"/>
    </w:rPr>
  </w:style>
  <w:style w:type="character" w:customStyle="1" w:styleId="358">
    <w:name w:val="正文文本首行缩进 字符"/>
    <w:basedOn w:val="344"/>
    <w:link w:val="39"/>
    <w:qFormat/>
    <w:uiPriority w:val="0"/>
    <w:rPr>
      <w:rFonts w:ascii="Times New Roman" w:hAnsi="Times New Roman" w:eastAsia="宋体" w:cs="Times New Roman"/>
      <w:sz w:val="24"/>
      <w:szCs w:val="24"/>
    </w:rPr>
  </w:style>
  <w:style w:type="character" w:customStyle="1" w:styleId="359">
    <w:name w:val="表格格式 Char"/>
    <w:locked/>
    <w:uiPriority w:val="0"/>
    <w:rPr>
      <w:rFonts w:ascii="Times New Roman" w:hAnsi="Times New Roman"/>
    </w:rPr>
  </w:style>
  <w:style w:type="paragraph" w:customStyle="1" w:styleId="360">
    <w:name w:val="大标题"/>
    <w:basedOn w:val="346"/>
    <w:link w:val="361"/>
    <w:uiPriority w:val="0"/>
    <w:pPr>
      <w:numPr>
        <w:numId w:val="6"/>
      </w:numPr>
    </w:pPr>
  </w:style>
  <w:style w:type="character" w:customStyle="1" w:styleId="361">
    <w:name w:val="大标题 Char"/>
    <w:basedOn w:val="347"/>
    <w:link w:val="360"/>
    <w:qFormat/>
    <w:uiPriority w:val="0"/>
    <w:rPr>
      <w:rFonts w:ascii="Times New Roman" w:hAnsi="Times New Roman" w:eastAsia="宋体" w:cs="宋体"/>
      <w:color w:val="000000" w:themeColor="text1"/>
      <w:kern w:val="48"/>
      <w:sz w:val="44"/>
      <w:szCs w:val="32"/>
      <w14:textFill>
        <w14:solidFill>
          <w14:schemeClr w14:val="tx1"/>
        </w14:solidFill>
      </w14:textFill>
    </w:rPr>
  </w:style>
  <w:style w:type="paragraph" w:customStyle="1" w:styleId="362">
    <w:name w:val="样式13"/>
    <w:basedOn w:val="1"/>
    <w:link w:val="363"/>
    <w:qFormat/>
    <w:uiPriority w:val="0"/>
    <w:pPr>
      <w:widowControl w:val="0"/>
      <w:adjustRightInd w:val="0"/>
      <w:snapToGrid w:val="0"/>
      <w:jc w:val="center"/>
    </w:pPr>
    <w:rPr>
      <w:rFonts w:ascii="Times New Roman" w:hAnsi="Times New Roman" w:cs="Times New Roman"/>
      <w:kern w:val="2"/>
      <w:sz w:val="21"/>
      <w:szCs w:val="21"/>
      <w:lang w:val="zh-CN"/>
    </w:rPr>
  </w:style>
  <w:style w:type="character" w:customStyle="1" w:styleId="363">
    <w:name w:val="样式13 Char"/>
    <w:link w:val="362"/>
    <w:qFormat/>
    <w:uiPriority w:val="0"/>
    <w:rPr>
      <w:rFonts w:ascii="Times New Roman" w:hAnsi="Times New Roman" w:eastAsia="宋体" w:cs="Times New Roman"/>
      <w:szCs w:val="21"/>
      <w:lang w:val="zh-CN"/>
    </w:rPr>
  </w:style>
  <w:style w:type="character" w:customStyle="1" w:styleId="364">
    <w:name w:val="正文文本 2 字符"/>
    <w:basedOn w:val="43"/>
    <w:link w:val="35"/>
    <w:qFormat/>
    <w:uiPriority w:val="0"/>
    <w:rPr>
      <w:rFonts w:ascii="Times New Roman" w:hAnsi="Times New Roman" w:eastAsia="宋体" w:cs="Times New Roman"/>
      <w:sz w:val="24"/>
      <w:szCs w:val="20"/>
    </w:rPr>
  </w:style>
  <w:style w:type="paragraph" w:customStyle="1" w:styleId="365">
    <w:name w:val="_Style 5"/>
    <w:next w:val="16"/>
    <w:qFormat/>
    <w:uiPriority w:val="0"/>
    <w:pPr>
      <w:widowControl w:val="0"/>
      <w:ind w:firstLine="200" w:firstLineChars="200"/>
      <w:jc w:val="both"/>
    </w:pPr>
    <w:rPr>
      <w:rFonts w:ascii="Calibri" w:hAnsi="Calibri" w:eastAsia="宋体" w:cs="宋体"/>
      <w:kern w:val="2"/>
      <w:sz w:val="24"/>
      <w:szCs w:val="24"/>
      <w:lang w:val="en-US" w:eastAsia="zh-CN" w:bidi="ar-SA"/>
    </w:rPr>
  </w:style>
  <w:style w:type="paragraph" w:customStyle="1" w:styleId="366">
    <w:name w:val="文章正文"/>
    <w:basedOn w:val="1"/>
    <w:qFormat/>
    <w:uiPriority w:val="0"/>
    <w:pPr>
      <w:widowControl w:val="0"/>
      <w:spacing w:line="360" w:lineRule="auto"/>
      <w:ind w:firstLine="200" w:firstLineChars="200"/>
      <w:jc w:val="both"/>
    </w:pPr>
    <w:rPr>
      <w:rFonts w:ascii="Times New Roman" w:hAnsi="Times New Roman" w:cs="Times New Roman"/>
      <w:kern w:val="2"/>
    </w:rPr>
  </w:style>
  <w:style w:type="paragraph" w:customStyle="1" w:styleId="367">
    <w:name w:val="报告书正文"/>
    <w:basedOn w:val="1"/>
    <w:qFormat/>
    <w:uiPriority w:val="0"/>
    <w:pPr>
      <w:widowControl w:val="0"/>
      <w:spacing w:line="360" w:lineRule="auto"/>
      <w:ind w:firstLine="200" w:firstLineChars="200"/>
      <w:jc w:val="both"/>
    </w:pPr>
    <w:rPr>
      <w:rFonts w:ascii="Times New Roman" w:hAnsi="Times New Roman" w:cs="Times New Roman"/>
    </w:rPr>
  </w:style>
  <w:style w:type="paragraph" w:customStyle="1" w:styleId="368">
    <w:name w:val="TOC Heading"/>
    <w:basedOn w:val="2"/>
    <w:next w:val="1"/>
    <w:unhideWhenUsed/>
    <w:qFormat/>
    <w:uiPriority w:val="39"/>
    <w:pPr>
      <w:widowControl/>
      <w:numPr>
        <w:numId w:val="0"/>
      </w:numPr>
      <w:spacing w:before="240" w:beforeLines="0" w:after="0" w:afterLines="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69">
    <w:name w:val="明显强调1"/>
    <w:basedOn w:val="43"/>
    <w:qFormat/>
    <w:uiPriority w:val="21"/>
    <w:rPr>
      <w:i/>
      <w:iCs/>
      <w:color w:val="2E75B6" w:themeColor="accent1" w:themeShade="BF"/>
    </w:rPr>
  </w:style>
  <w:style w:type="character" w:customStyle="1" w:styleId="370">
    <w:name w:val="明显参考1"/>
    <w:basedOn w:val="43"/>
    <w:qFormat/>
    <w:uiPriority w:val="32"/>
    <w:rPr>
      <w:b/>
      <w:bCs/>
      <w:smallCaps/>
      <w:color w:val="2E75B6" w:themeColor="accent1" w:themeShade="BF"/>
      <w:spacing w:val="5"/>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image" Target="media/image2.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image" Target="media/image1.png"/><Relationship Id="rId79" Type="http://schemas.openxmlformats.org/officeDocument/2006/relationships/image" Target="media/image69.jpe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jpeg"/><Relationship Id="rId70" Type="http://schemas.openxmlformats.org/officeDocument/2006/relationships/image" Target="media/image60.png"/><Relationship Id="rId7" Type="http://schemas.openxmlformats.org/officeDocument/2006/relationships/theme" Target="theme/theme1.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jpeg"/><Relationship Id="rId6" Type="http://schemas.openxmlformats.org/officeDocument/2006/relationships/footer" Target="footer4.xml"/><Relationship Id="rId59" Type="http://schemas.openxmlformats.org/officeDocument/2006/relationships/image" Target="media/image49.pn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footer" Target="footer3.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e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customXml" Target="ink/ink1.xml"/><Relationship Id="rId23" Type="http://schemas.openxmlformats.org/officeDocument/2006/relationships/image" Target="media/image14.emf"/><Relationship Id="rId22" Type="http://schemas.openxmlformats.org/officeDocument/2006/relationships/oleObject" Target="embeddings/oleObject2.bin"/><Relationship Id="rId21" Type="http://schemas.openxmlformats.org/officeDocument/2006/relationships/image" Target="media/image13.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6" units="1/cm"/>
          <inkml:channelProperty channel="Y" name="resolution" value="28.34646" units="1/cm"/>
          <inkml:channelProperty channel="F" name="resolution" value="0" units="1/dev"/>
        </inkml:channelProperties>
      </inkml:inkSource>
      <inkml:timestamp xml:id="ts0" timeString="2025-05-26T02:59:28"/>
    </inkml:context>
    <inkml:brush xml:id="br0">
      <inkml:brushProperty name="width" value="0.05292" units="cm"/>
      <inkml:brushProperty name="height" value="0.05292" units="cm"/>
      <inkml:brushProperty name="color" value="#f80600"/>
    </inkml:brush>
  </inkml:definitions>
  <inkml:trace contextRef="#ctx0" brushRef="#br0">7740.000 2033361.000 767</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574E76-C38F-44B9-A7EF-857B48D7EC2E}">
  <ds:schemaRefs/>
</ds:datastoreItem>
</file>

<file path=docProps/app.xml><?xml version="1.0" encoding="utf-8"?>
<Properties xmlns="http://schemas.openxmlformats.org/officeDocument/2006/extended-properties" xmlns:vt="http://schemas.openxmlformats.org/officeDocument/2006/docPropsVTypes">
  <Template>Normal</Template>
  <Pages>123</Pages>
  <Words>7902</Words>
  <Characters>8800</Characters>
  <Lines>560</Lines>
  <Paragraphs>157</Paragraphs>
  <TotalTime>895</TotalTime>
  <ScaleCrop>false</ScaleCrop>
  <LinksUpToDate>false</LinksUpToDate>
  <CharactersWithSpaces>8918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2025-09-05T09:15:00Z</dcterms:created>
  <dc:creator>JU</dc:creator>
  <cp:lastModifiedBy>高璐瑶</cp:lastModifiedBy>
  <cp:lastPrinted>2025-12-29T08:43:00Z</cp:lastPrinted>
  <dcterms:modified xsi:type="dcterms:W3CDTF">2025-12-30T06:22:59Z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A5CFDCA25A3442B790BE520C1A04AFA2_12</vt:lpwstr>
  </property>
</Properties>
</file>